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版本号：JZZB-【2026】-4020260717001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2026年残疾人家庭医生签约服务项目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JZZB-【2026】-40</w:t>
      </w:r>
      <w:r>
        <w:br/>
      </w:r>
      <w:r>
        <w:br/>
      </w:r>
      <w:r>
        <w:br/>
      </w:r>
    </w:p>
    <w:p>
      <w:pPr>
        <w:pStyle w:val="null3"/>
        <w:jc w:val="center"/>
        <w:outlineLvl w:val="2"/>
      </w:pPr>
      <w:r>
        <w:rPr>
          <w:rFonts w:ascii="仿宋_GB2312" w:hAnsi="仿宋_GB2312" w:cs="仿宋_GB2312" w:eastAsia="仿宋_GB2312"/>
          <w:sz w:val="28"/>
          <w:b/>
        </w:rPr>
        <w:t>西安市鄠邑区残疾人联合会</w:t>
      </w:r>
    </w:p>
    <w:p>
      <w:pPr>
        <w:pStyle w:val="null3"/>
        <w:jc w:val="center"/>
        <w:outlineLvl w:val="2"/>
      </w:pPr>
      <w:r>
        <w:rPr>
          <w:rFonts w:ascii="仿宋_GB2312" w:hAnsi="仿宋_GB2312" w:cs="仿宋_GB2312" w:eastAsia="仿宋_GB2312"/>
          <w:sz w:val="28"/>
          <w:b/>
        </w:rPr>
        <w:t>陕西金泽盛业项目管理有限公司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陕西金泽盛业项目管理有限公司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西安市鄠邑区残疾人联合会</w:t>
      </w:r>
      <w:r>
        <w:rPr>
          <w:rFonts w:ascii="仿宋_GB2312" w:hAnsi="仿宋_GB2312" w:cs="仿宋_GB2312" w:eastAsia="仿宋_GB2312"/>
        </w:rPr>
        <w:t>委托，拟对</w:t>
      </w:r>
      <w:r>
        <w:rPr>
          <w:rFonts w:ascii="仿宋_GB2312" w:hAnsi="仿宋_GB2312" w:cs="仿宋_GB2312" w:eastAsia="仿宋_GB2312"/>
        </w:rPr>
        <w:t>2026年残疾人家庭医生签约服务项目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JZZB-【2026】-40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2026年残疾人家庭医生签约服务项目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2026年残疾人家庭医生签约服务项目，通过与残疾人签约，为他们提供相应的基本医疗服务、公共卫生服务、健康管理服务、基本康复服务等，提高残疾人的生活、学习和工作质量。（2）以满足残疾人医疗卫生服务和康复需求为导向，以鄠邑全区残疾人基本服务状况和需求专项调查统计数据为基础，依托康复服务专业力量，组建残疾人基本康复服务团队。为有需求的残疾人，提供基本医疗服务、公共卫生服务、健康管理服务、基本康复服务。采购的残疾人基本康复服务机构，须接受采购人的业务管理，考评监督，并由采购人依据国家确定费用标准及考核办法进行考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等国家规定的相关证明，自然人参与的提供其身份证明：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2、资质要求：供应商须具备由相关行政审批单位颁发的《医疗机构执业许可证》。</w:t>
      </w:r>
    </w:p>
    <w:p>
      <w:pPr>
        <w:pStyle w:val="null3"/>
      </w:pPr>
      <w:r>
        <w:rPr>
          <w:rFonts w:ascii="仿宋_GB2312" w:hAnsi="仿宋_GB2312" w:cs="仿宋_GB2312" w:eastAsia="仿宋_GB2312"/>
        </w:rPr>
        <w:t>3、财务状况报表：提供2024年度或2025年度经审计的财务报告，或提交自2025年11月1日以来其基本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4、税收缴纳证明：提供供应商2025年至今任意一个月已缴纳的完税凭证或税务机关开具的完税证明（任意税种），依法免税的单位应提供相关证明材料；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5、社会保障资金缴纳证明：提供供应商2025年至今任意一个月的社会保障资金缴存单据或社保机构开具的社会保险参保缴费情况证明。依法不需要缴纳社会保障资金的供应商应提供相关证明文件；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6、声明书：提供具有履行本合同所必需的设备和专业技术能力的声明；</w:t>
      </w:r>
    </w:p>
    <w:p>
      <w:pPr>
        <w:pStyle w:val="null3"/>
      </w:pPr>
      <w:r>
        <w:rPr>
          <w:rFonts w:ascii="仿宋_GB2312" w:hAnsi="仿宋_GB2312" w:cs="仿宋_GB2312" w:eastAsia="仿宋_GB2312"/>
        </w:rPr>
        <w:t>7、声明书：出具参加政府采购活动前3年内在经营活动中没有重大违法记录的书面声明；</w:t>
      </w:r>
    </w:p>
    <w:p>
      <w:pPr>
        <w:pStyle w:val="null3"/>
      </w:pPr>
      <w:r>
        <w:rPr>
          <w:rFonts w:ascii="仿宋_GB2312" w:hAnsi="仿宋_GB2312" w:cs="仿宋_GB2312" w:eastAsia="仿宋_GB2312"/>
        </w:rPr>
        <w:t>8、法定代表人授权书：法定代表人授权书及被授权人身份证(法定代表人直接参加投标，须提交其身份证复印件及法定代表人身份证明)；</w:t>
      </w:r>
    </w:p>
    <w:p>
      <w:pPr>
        <w:pStyle w:val="null3"/>
      </w:pPr>
      <w:r>
        <w:rPr>
          <w:rFonts w:ascii="仿宋_GB2312" w:hAnsi="仿宋_GB2312" w:cs="仿宋_GB2312" w:eastAsia="仿宋_GB2312"/>
        </w:rPr>
        <w:t>9、信用截图：供应商不得为“信用中国”网站(www.creditchina.gov.cn)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pPr>
      <w:r>
        <w:rPr>
          <w:rFonts w:ascii="仿宋_GB2312" w:hAnsi="仿宋_GB2312" w:cs="仿宋_GB2312" w:eastAsia="仿宋_GB2312"/>
        </w:rPr>
        <w:t>10、联合体投标：本项目不接受联合体投标。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陕西省西安市鄠邑区草堂路72号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029-84812271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陕西金泽盛业项目管理有限公司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西安市经济技术开发区凤城五路123号秦创原软科中心A座20层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高翠翠、王闯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13109596903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一）以本项目中标价为基数，参照国家计委关于印发《招标代理服务收费管理暂行办法》的通知（计价格【2002】1980号）《国家发展改革委关于降低部分建设项目收费标准规范收费行为等有关问题的通知》（发改价格[2011]534号）规定计取采购代理服务费。代理费不足8000元的，按8000元收取。 （二）采购代理服务费由成交供应商支付，于发出成交通知书前一次性付清。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西安市鄠邑区残疾人联合会</w:t>
      </w:r>
      <w:r>
        <w:rPr>
          <w:rFonts w:ascii="仿宋_GB2312" w:hAnsi="仿宋_GB2312" w:cs="仿宋_GB2312" w:eastAsia="仿宋_GB2312"/>
        </w:rPr>
        <w:t>和</w:t>
      </w:r>
      <w:r>
        <w:rPr>
          <w:rFonts w:ascii="仿宋_GB2312" w:hAnsi="仿宋_GB2312" w:cs="仿宋_GB2312" w:eastAsia="仿宋_GB2312"/>
        </w:rPr>
        <w:t>陕西金泽盛业项目管理有限公司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陕西金泽盛业项目管理有限公司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陕西金泽盛业项目管理有限公司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成交单位应保证在本项目中使用的任何产品和服务(包括部分使用)，不会产生因第三方提出侵犯其专利权、商标权或其它知识产权而引起的法律和经济纠纷，如因专利权、商标权或其它知识产权而引起法律和经济纠纷，由成交单位承担所有相关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达到国家相关规范、标准及采购人考核要求。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联系电话：13109596903</w:t>
      </w:r>
    </w:p>
    <w:p>
      <w:pPr>
        <w:pStyle w:val="null3"/>
      </w:pPr>
      <w:r>
        <w:rPr>
          <w:rFonts w:ascii="仿宋_GB2312" w:hAnsi="仿宋_GB2312" w:cs="仿宋_GB2312" w:eastAsia="仿宋_GB2312"/>
        </w:rPr>
        <w:t>地址：西安市经济技术开发区凤城五路123号秦创原软科中心A座20层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2026年残疾人家庭医生签约服务项目，通过与残疾人签约，为他们提供相应的基本医疗服务、公共卫生服务、健康管理服务、基本康复服务等，提高残疾人的生活、学习和工作质量。（2）以满足残疾人医疗卫生服务和康复需求为导向，以鄠邑全区残疾人基本服务状况和需求专项调查统计数据为基础，依托康复服务专业力量，组建残疾人基本康复服务团队。为有需求的残疾人，提供基本医疗服务、公共卫生服务、健康管理服务、基本康复服务。采购的残疾人基本康复服务机构，须接受采购人的业务管理，考评监督，并由采购人依据国家确定费用标准及考核办法进行考核。</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2026年残疾人家庭医生签约服务项目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标的名称：2026年残疾人家庭医生签约服务项目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color w:val="000000"/>
              </w:rPr>
              <w:t>供应商</w:t>
            </w:r>
            <w:r>
              <w:rPr>
                <w:rFonts w:ascii="仿宋_GB2312" w:hAnsi="仿宋_GB2312" w:cs="仿宋_GB2312" w:eastAsia="仿宋_GB2312"/>
                <w:color w:val="000000"/>
              </w:rPr>
              <w:t>可参照陕西省残疾人基本康复服务目录（</w:t>
            </w:r>
            <w:r>
              <w:rPr>
                <w:rFonts w:ascii="仿宋_GB2312" w:hAnsi="仿宋_GB2312" w:cs="仿宋_GB2312" w:eastAsia="仿宋_GB2312"/>
                <w:color w:val="000000"/>
              </w:rPr>
              <w:t>2025年版）或</w:t>
            </w:r>
            <w:r>
              <w:rPr>
                <w:rFonts w:ascii="仿宋_GB2312" w:hAnsi="仿宋_GB2312" w:cs="仿宋_GB2312" w:eastAsia="仿宋_GB2312"/>
                <w:color w:val="000000"/>
              </w:rPr>
              <w:t>自拟</w:t>
            </w:r>
            <w:r>
              <w:rPr>
                <w:rFonts w:ascii="仿宋_GB2312" w:hAnsi="仿宋_GB2312" w:cs="仿宋_GB2312" w:eastAsia="仿宋_GB2312"/>
                <w:color w:val="000000"/>
              </w:rPr>
              <w:t>“康复服务包”里的相关服务内容，并制定详细实施方案，包括但不限于组织签约服务团队、开展签约服务工作业务培训、如何与各街道进行对接，如何组织残疾人、如何开展服务、如何确保服务效果等内容。</w:t>
            </w:r>
          </w:p>
          <w:p>
            <w:pPr>
              <w:pStyle w:val="null3"/>
              <w:ind w:firstLine="201"/>
              <w:jc w:val="both"/>
            </w:pPr>
            <w:r>
              <w:rPr>
                <w:rFonts w:ascii="仿宋_GB2312" w:hAnsi="仿宋_GB2312" w:cs="仿宋_GB2312" w:eastAsia="仿宋_GB2312"/>
                <w:b/>
                <w:color w:val="000000"/>
              </w:rPr>
              <w:t>基础康复</w:t>
            </w:r>
            <w:r>
              <w:rPr>
                <w:rFonts w:ascii="仿宋_GB2312" w:hAnsi="仿宋_GB2312" w:cs="仿宋_GB2312" w:eastAsia="仿宋_GB2312"/>
                <w:b/>
                <w:color w:val="000000"/>
              </w:rPr>
              <w:t>服务包</w:t>
            </w:r>
          </w:p>
          <w:p>
            <w:pPr>
              <w:pStyle w:val="null3"/>
              <w:jc w:val="both"/>
            </w:pP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供应商</w:t>
            </w:r>
            <w:r>
              <w:rPr>
                <w:rFonts w:ascii="仿宋_GB2312" w:hAnsi="仿宋_GB2312" w:cs="仿宋_GB2312" w:eastAsia="仿宋_GB2312"/>
                <w:color w:val="000000"/>
              </w:rPr>
              <w:t>筛查出有康复服务需求的残疾人</w:t>
            </w:r>
            <w:r>
              <w:rPr>
                <w:rFonts w:ascii="仿宋_GB2312" w:hAnsi="仿宋_GB2312" w:cs="仿宋_GB2312" w:eastAsia="仿宋_GB2312"/>
                <w:color w:val="000000"/>
              </w:rPr>
              <w:t>，</w:t>
            </w:r>
            <w:r>
              <w:rPr>
                <w:rFonts w:ascii="仿宋_GB2312" w:hAnsi="仿宋_GB2312" w:cs="仿宋_GB2312" w:eastAsia="仿宋_GB2312"/>
                <w:color w:val="000000"/>
              </w:rPr>
              <w:t>通过上门签约服务模式，开展入户</w:t>
            </w:r>
            <w:r>
              <w:rPr>
                <w:rFonts w:ascii="仿宋_GB2312" w:hAnsi="仿宋_GB2312" w:cs="仿宋_GB2312" w:eastAsia="仿宋_GB2312"/>
                <w:color w:val="000000"/>
              </w:rPr>
              <w:t>基本</w:t>
            </w:r>
            <w:r>
              <w:rPr>
                <w:rFonts w:ascii="仿宋_GB2312" w:hAnsi="仿宋_GB2312" w:cs="仿宋_GB2312" w:eastAsia="仿宋_GB2312"/>
                <w:color w:val="000000"/>
              </w:rPr>
              <w:t>康复服务工作。对有康复需求的签约残疾人</w:t>
            </w:r>
            <w:r>
              <w:rPr>
                <w:rFonts w:ascii="仿宋_GB2312" w:hAnsi="仿宋_GB2312" w:cs="仿宋_GB2312" w:eastAsia="仿宋_GB2312"/>
                <w:color w:val="000000"/>
              </w:rPr>
              <w:t>提供服务平均不少于</w:t>
            </w:r>
            <w:r>
              <w:rPr>
                <w:rFonts w:ascii="仿宋_GB2312" w:hAnsi="仿宋_GB2312" w:cs="仿宋_GB2312" w:eastAsia="仿宋_GB2312"/>
                <w:color w:val="000000"/>
              </w:rPr>
              <w:t>3次</w:t>
            </w:r>
            <w:r>
              <w:rPr>
                <w:rFonts w:ascii="仿宋_GB2312" w:hAnsi="仿宋_GB2312" w:cs="仿宋_GB2312" w:eastAsia="仿宋_GB2312"/>
                <w:color w:val="000000"/>
              </w:rPr>
              <w:t>。每次入户服务需提供电子版照片、服务记录表及残疾人签字纸质版记录等以备甲方查验。</w:t>
            </w:r>
          </w:p>
          <w:p>
            <w:pPr>
              <w:pStyle w:val="null3"/>
              <w:jc w:val="both"/>
            </w:pPr>
            <w:r>
              <w:rPr>
                <w:rFonts w:ascii="仿宋_GB2312" w:hAnsi="仿宋_GB2312" w:cs="仿宋_GB2312" w:eastAsia="仿宋_GB2312"/>
                <w:color w:val="000000"/>
              </w:rPr>
              <w:t>（</w:t>
            </w:r>
            <w:r>
              <w:rPr>
                <w:rFonts w:ascii="仿宋_GB2312" w:hAnsi="仿宋_GB2312" w:cs="仿宋_GB2312" w:eastAsia="仿宋_GB2312"/>
                <w:color w:val="000000"/>
              </w:rPr>
              <w:t>2）签约服务团队参照</w:t>
            </w:r>
            <w:r>
              <w:rPr>
                <w:rFonts w:ascii="仿宋_GB2312" w:hAnsi="仿宋_GB2312" w:cs="仿宋_GB2312" w:eastAsia="仿宋_GB2312"/>
                <w:color w:val="000000"/>
              </w:rPr>
              <w:t>陕西省残疾人基本康复服务目录（</w:t>
            </w:r>
            <w:r>
              <w:rPr>
                <w:rFonts w:ascii="仿宋_GB2312" w:hAnsi="仿宋_GB2312" w:cs="仿宋_GB2312" w:eastAsia="仿宋_GB2312"/>
                <w:color w:val="000000"/>
              </w:rPr>
              <w:t>2025年版）或供应商参照省目录自拟服务包内容，</w:t>
            </w:r>
            <w:r>
              <w:rPr>
                <w:rFonts w:ascii="仿宋_GB2312" w:hAnsi="仿宋_GB2312" w:cs="仿宋_GB2312" w:eastAsia="仿宋_GB2312"/>
                <w:color w:val="000000"/>
              </w:rPr>
              <w:t>为</w:t>
            </w:r>
            <w:r>
              <w:rPr>
                <w:rFonts w:ascii="仿宋_GB2312" w:hAnsi="仿宋_GB2312" w:cs="仿宋_GB2312" w:eastAsia="仿宋_GB2312"/>
                <w:color w:val="000000"/>
              </w:rPr>
              <w:t>有需求的残疾人</w:t>
            </w:r>
            <w:r>
              <w:rPr>
                <w:rFonts w:ascii="仿宋_GB2312" w:hAnsi="仿宋_GB2312" w:cs="仿宋_GB2312" w:eastAsia="仿宋_GB2312"/>
                <w:color w:val="000000"/>
              </w:rPr>
              <w:t>及残疾儿童少年提供上门访视、家庭护理、康复、用药、训练指导；提供康复知识宣传、适应性训练、支持性服务等服务。</w:t>
            </w:r>
          </w:p>
          <w:p>
            <w:pPr>
              <w:pStyle w:val="null3"/>
              <w:jc w:val="both"/>
            </w:pPr>
            <w:r>
              <w:rPr>
                <w:rFonts w:ascii="仿宋_GB2312" w:hAnsi="仿宋_GB2312" w:cs="仿宋_GB2312" w:eastAsia="仿宋_GB2312"/>
                <w:color w:val="000000"/>
              </w:rPr>
              <w:t>（</w:t>
            </w:r>
            <w:r>
              <w:rPr>
                <w:rFonts w:ascii="仿宋_GB2312" w:hAnsi="仿宋_GB2312" w:cs="仿宋_GB2312" w:eastAsia="仿宋_GB2312"/>
                <w:color w:val="000000"/>
              </w:rPr>
              <w:t>3）重度肢体残疾人每次上门服务费用</w:t>
            </w:r>
            <w:r>
              <w:rPr>
                <w:rFonts w:ascii="仿宋_GB2312" w:hAnsi="仿宋_GB2312" w:cs="仿宋_GB2312" w:eastAsia="仿宋_GB2312"/>
                <w:color w:val="000000"/>
              </w:rPr>
              <w:t>12</w:t>
            </w:r>
            <w:r>
              <w:rPr>
                <w:rFonts w:ascii="仿宋_GB2312" w:hAnsi="仿宋_GB2312" w:cs="仿宋_GB2312" w:eastAsia="仿宋_GB2312"/>
                <w:color w:val="000000"/>
              </w:rPr>
              <w:t>0元，</w:t>
            </w:r>
            <w:r>
              <w:rPr>
                <w:rFonts w:ascii="仿宋_GB2312" w:hAnsi="仿宋_GB2312" w:cs="仿宋_GB2312" w:eastAsia="仿宋_GB2312"/>
                <w:color w:val="000000"/>
              </w:rPr>
              <w:t>每次服务必须选择康复训练并同时在支持性服务、适应性训练、护理三项服务内容中再选择两项以上服务内容；</w:t>
            </w:r>
            <w:r>
              <w:rPr>
                <w:rFonts w:ascii="仿宋_GB2312" w:hAnsi="仿宋_GB2312" w:cs="仿宋_GB2312" w:eastAsia="仿宋_GB2312"/>
                <w:color w:val="000000"/>
              </w:rPr>
              <w:t>其它类别残疾人每次上门服务费用</w:t>
            </w:r>
            <w:r>
              <w:rPr>
                <w:rFonts w:ascii="仿宋_GB2312" w:hAnsi="仿宋_GB2312" w:cs="仿宋_GB2312" w:eastAsia="仿宋_GB2312"/>
                <w:color w:val="000000"/>
              </w:rPr>
              <w:t>4</w:t>
            </w:r>
            <w:r>
              <w:rPr>
                <w:rFonts w:ascii="仿宋_GB2312" w:hAnsi="仿宋_GB2312" w:cs="仿宋_GB2312" w:eastAsia="仿宋_GB2312"/>
                <w:color w:val="000000"/>
              </w:rPr>
              <w:t>0元，</w:t>
            </w:r>
            <w:r>
              <w:rPr>
                <w:rFonts w:ascii="仿宋_GB2312" w:hAnsi="仿宋_GB2312" w:cs="仿宋_GB2312" w:eastAsia="仿宋_GB2312"/>
                <w:color w:val="000000"/>
              </w:rPr>
              <w:t>每次服务不得只进行支持性</w:t>
            </w:r>
            <w:r>
              <w:rPr>
                <w:rFonts w:ascii="仿宋_GB2312" w:hAnsi="仿宋_GB2312" w:cs="仿宋_GB2312" w:eastAsia="仿宋_GB2312"/>
                <w:color w:val="000000"/>
              </w:rPr>
              <w:t>服务</w:t>
            </w:r>
            <w:r>
              <w:rPr>
                <w:rFonts w:ascii="仿宋_GB2312" w:hAnsi="仿宋_GB2312" w:cs="仿宋_GB2312" w:eastAsia="仿宋_GB2312"/>
                <w:color w:val="000000"/>
              </w:rPr>
              <w:t>。</w:t>
            </w:r>
            <w:r>
              <w:rPr>
                <w:rFonts w:ascii="仿宋_GB2312" w:hAnsi="仿宋_GB2312" w:cs="仿宋_GB2312" w:eastAsia="仿宋_GB2312"/>
                <w:color w:val="000000"/>
              </w:rPr>
              <w:t>总费用</w:t>
            </w:r>
            <w:r>
              <w:rPr>
                <w:rFonts w:ascii="仿宋_GB2312" w:hAnsi="仿宋_GB2312" w:cs="仿宋_GB2312" w:eastAsia="仿宋_GB2312"/>
                <w:color w:val="000000"/>
              </w:rPr>
              <w:t>不超过</w:t>
            </w:r>
            <w:r>
              <w:rPr>
                <w:rFonts w:ascii="仿宋_GB2312" w:hAnsi="仿宋_GB2312" w:cs="仿宋_GB2312" w:eastAsia="仿宋_GB2312"/>
                <w:color w:val="000000"/>
              </w:rPr>
              <w:t>380000</w:t>
            </w:r>
            <w:r>
              <w:rPr>
                <w:rFonts w:ascii="仿宋_GB2312" w:hAnsi="仿宋_GB2312" w:cs="仿宋_GB2312" w:eastAsia="仿宋_GB2312"/>
                <w:color w:val="000000"/>
              </w:rPr>
              <w:t>元</w:t>
            </w:r>
            <w:r>
              <w:rPr>
                <w:rFonts w:ascii="仿宋_GB2312" w:hAnsi="仿宋_GB2312" w:cs="仿宋_GB2312" w:eastAsia="仿宋_GB2312"/>
                <w:color w:val="000000"/>
              </w:rPr>
              <w:t>,最终根据实际服务人次数据实结算费用。即结算费用=全年总服务人数×每人每年服务次数×单人单次报价</w:t>
            </w:r>
          </w:p>
          <w:p>
            <w:pPr>
              <w:pStyle w:val="null3"/>
              <w:jc w:val="both"/>
            </w:pPr>
            <w:r>
              <w:rPr>
                <w:rFonts w:ascii="仿宋_GB2312" w:hAnsi="仿宋_GB2312" w:cs="仿宋_GB2312" w:eastAsia="仿宋_GB2312"/>
                <w:b/>
                <w:color w:val="000000"/>
              </w:rPr>
              <w:t>附件</w:t>
            </w:r>
          </w:p>
          <w:p>
            <w:pPr>
              <w:pStyle w:val="null3"/>
              <w:jc w:val="both"/>
            </w:pPr>
            <w:r>
              <w:rPr>
                <w:rFonts w:ascii="仿宋_GB2312" w:hAnsi="仿宋_GB2312" w:cs="仿宋_GB2312" w:eastAsia="仿宋_GB2312"/>
                <w:b/>
              </w:rPr>
              <w:t xml:space="preserve">        </w:t>
            </w:r>
          </w:p>
          <w:p>
            <w:pPr>
              <w:pStyle w:val="null3"/>
              <w:jc w:val="center"/>
            </w:pPr>
            <w:r>
              <w:rPr>
                <w:rFonts w:ascii="仿宋_GB2312" w:hAnsi="仿宋_GB2312" w:cs="仿宋_GB2312" w:eastAsia="仿宋_GB2312"/>
                <w:b/>
                <w:color w:val="000000"/>
              </w:rPr>
              <w:t>自拟基础</w:t>
            </w:r>
            <w:r>
              <w:rPr>
                <w:rFonts w:ascii="仿宋_GB2312" w:hAnsi="仿宋_GB2312" w:cs="仿宋_GB2312" w:eastAsia="仿宋_GB2312"/>
                <w:b/>
                <w:color w:val="000000"/>
              </w:rPr>
              <w:t>康复服务包</w:t>
            </w:r>
          </w:p>
          <w:tbl>
            <w:tblPr>
              <w:tblInd w:type="dxa" w:w="360"/>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服务对象</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服务</w:t>
                  </w:r>
                  <w:r>
                    <w:rPr>
                      <w:rFonts w:ascii="仿宋_GB2312" w:hAnsi="仿宋_GB2312" w:cs="仿宋_GB2312" w:eastAsia="仿宋_GB2312"/>
                      <w:sz w:val="19"/>
                      <w:b/>
                      <w:color w:val="000000"/>
                    </w:rPr>
                    <w:t>项目</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服务</w:t>
                  </w:r>
                  <w:r>
                    <w:rPr>
                      <w:rFonts w:ascii="仿宋_GB2312" w:hAnsi="仿宋_GB2312" w:cs="仿宋_GB2312" w:eastAsia="仿宋_GB2312"/>
                      <w:sz w:val="19"/>
                      <w:b/>
                      <w:color w:val="000000"/>
                    </w:rPr>
                    <w:t>内容</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残疾类别</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服务方按项目服务要求及特点，自行组织实施与管理，建立以负责人为核心的履行合同所必需人员团队，保证项目顺利实施。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供应商须根据本项目服务特点及需求提供相关的服务器材、设备。服务器材、设备配置充分、科学、合理，保证项目顺利实施。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合同签订之日起至2026年10月30日止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达到国家相关规范合格标准及采购人考核要求。 工作完成后，由甲方组织，对服务结果进行验收，验收标准应符合相应主管部门的审查要求，验收达不到要求的，继续完善至符合要求。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服务完成,交付后经验收合格，甲方将根据乙方提供的签约服务人员花名册和康复服务管理系统里服务数据比对,以实际签约服务人数和服务次数对产生的服务经费，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2.本合同履行期间，如中标单位未能按照本合同约定完成相应目标要求，采购人有权要求中标单位支付违约金，同时采购人有权视中标单位违约情况决定是否单方解除本合同，并要求中标单位赔偿采购人损失。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的磋商报价是供应商响应磋商项目要求的全部工作内容的价格体现，合同金额即中成交价，合同价格为含税价，乙方提供服务所发生的一切费用（包括人工费、设备费、管理费、利润、税金、风险及完成工作准备阶段、实施阶段、完成本项目所需的全部费用）等都已包含于合同价款中。在提供服务的过程中的任何遗漏，均由成交供应商免费提供，采购人将不再支付任何费用。 二、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 三、合格供应商少于3家的处理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条款规定情形外，若出现合格供应商少于3家时，采购人应依法重新组织采购活动。 四、成交供应商在领取成交通知书时提供纸质版投标文件两套，应通过专用制作软件直接打印，确保与电子投标文件保持一致，不允许修改和补充。提交地点：西安市经济技术开发区凤城五路123号秦创原软科中心A座20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供应商须具备由相关行政审批单位颁发的《医疗机构执业许可证》。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财务状况报表</w:t>
            </w:r>
          </w:p>
        </w:tc>
        <w:tc>
          <w:tcPr>
            <w:tcW w:type="dxa" w:w="3322"/>
          </w:tcPr>
          <w:p>
            <w:pPr>
              <w:pStyle w:val="null3"/>
            </w:pPr>
            <w:r>
              <w:rPr>
                <w:rFonts w:ascii="仿宋_GB2312" w:hAnsi="仿宋_GB2312" w:cs="仿宋_GB2312" w:eastAsia="仿宋_GB2312"/>
              </w:rPr>
              <w:t>提供2024年度或2025年度经审计的财务报告，或提交自2025年11月1日以来其基本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提供供应商2025年至今任意一个月已缴纳的完税凭证或税务机关开具的完税证明（任意税种），依法免税的单位应提供相关证明材料；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提供供应商2025年至今任意一个月的社会保障资金缴存单据或社保机构开具的社会保险参保缴费情况证明。依法不需要缴纳社会保障资金的供应商应提供相关证明文件；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法定代表人授权书及被授权人身份证(法定代表人直接参加投标，须提交其身份证复印件及法定代表人身份证明)；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响应文件上法定代表人或其委托代理人的签名齐全并加盖单位章</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业绩.docx 陕西省政府采购供应商拒绝政府采购领域商业贿赂承诺书.pdf 中小企业声明函 服务对象档案管理等规章制度.docx 商务应答表 供应商应提交的相关资格证明材料 服务内容及服务要求应答表 开展基本康复服务工作业务培训.docx 人员配备2.docx 响应文件封面 服务器材、设备配备情况.docx 人员配备1.docx 服务质量保障措施.docx 残疾人福利性单位声明函 突发应急处理方案.docx 标的清单 响应函 如何与各街道进行对接.docx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只能有一个有效报价，不得提交选择性报价，且报价不超过预算金额或最高限价或磋商小组认为低于成本价的报价。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响应情况</w:t>
            </w:r>
          </w:p>
        </w:tc>
        <w:tc>
          <w:tcPr>
            <w:tcW w:type="dxa" w:w="3322"/>
          </w:tcPr>
          <w:p>
            <w:pPr>
              <w:pStyle w:val="null3"/>
            </w:pPr>
            <w:r>
              <w:rPr>
                <w:rFonts w:ascii="仿宋_GB2312" w:hAnsi="仿宋_GB2312" w:cs="仿宋_GB2312" w:eastAsia="仿宋_GB2312"/>
              </w:rPr>
              <w:t>应满足竞争性磋商文件要求，响应文件未含有采购人不能接受的附加条件，且无其他无效标的情形。</w:t>
            </w:r>
          </w:p>
        </w:tc>
        <w:tc>
          <w:tcPr>
            <w:tcW w:type="dxa" w:w="1661"/>
          </w:tcPr>
          <w:p>
            <w:pPr>
              <w:pStyle w:val="null3"/>
            </w:pPr>
            <w:r>
              <w:rPr>
                <w:rFonts w:ascii="仿宋_GB2312" w:hAnsi="仿宋_GB2312" w:cs="仿宋_GB2312" w:eastAsia="仿宋_GB2312"/>
              </w:rPr>
              <w:t>商务应答表 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开展基本康复服务工作业务培训</w:t>
            </w:r>
          </w:p>
        </w:tc>
        <w:tc>
          <w:tcPr>
            <w:tcW w:type="dxa" w:w="2492"/>
          </w:tcPr>
          <w:p>
            <w:pPr>
              <w:pStyle w:val="null3"/>
            </w:pPr>
            <w:r>
              <w:rPr>
                <w:rFonts w:ascii="仿宋_GB2312" w:hAnsi="仿宋_GB2312" w:cs="仿宋_GB2312" w:eastAsia="仿宋_GB2312"/>
              </w:rPr>
              <w:t>供应商须根据本项目服务特点及需求组织开展签约服务工作业务培训。业务培训符合本项目服务特点，满足本项目服务需求计10分；业务培训基本符合本项目服务特点，满足本项目服务需求计8分； 业务培训基本符合本项目服务特点，基本满足本项目服务需求计6分； 业务培训内容不能够完全满足本项目服务需求，内容不够合理计4分； 未提供或提供的内容完全脱离本项目实际计0分。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开展基本康复服务工作业务培训.docx</w:t>
            </w:r>
          </w:p>
        </w:tc>
      </w:tr>
      <w:tr>
        <w:tc>
          <w:tcPr>
            <w:tcW w:type="dxa" w:w="831"/>
            <w:vMerge/>
          </w:tcPr>
          <w:p/>
        </w:tc>
        <w:tc>
          <w:tcPr>
            <w:tcW w:type="dxa" w:w="1661"/>
          </w:tcPr>
          <w:p>
            <w:pPr>
              <w:pStyle w:val="null3"/>
            </w:pPr>
            <w:r>
              <w:rPr>
                <w:rFonts w:ascii="仿宋_GB2312" w:hAnsi="仿宋_GB2312" w:cs="仿宋_GB2312" w:eastAsia="仿宋_GB2312"/>
              </w:rPr>
              <w:t>如何与各街道进行对接</w:t>
            </w:r>
          </w:p>
        </w:tc>
        <w:tc>
          <w:tcPr>
            <w:tcW w:type="dxa" w:w="2492"/>
          </w:tcPr>
          <w:p>
            <w:pPr>
              <w:pStyle w:val="null3"/>
            </w:pPr>
            <w:r>
              <w:rPr>
                <w:rFonts w:ascii="仿宋_GB2312" w:hAnsi="仿宋_GB2312" w:cs="仿宋_GB2312" w:eastAsia="仿宋_GB2312"/>
              </w:rPr>
              <w:t>供应商须根据本项目服务特点及需求制定如何与各街道进行对接实施方案。方案内容科学、合理，完全满足本项目服务需求计12分；方案内容基本科学、合理，能够满足本项目服务需求计8分；方案内容基本科学、合理，基本满足本项目服务需求计6分；方案内容不够科学、不合理，不能完全满足本项目服务需求计4分；未提供或提供的内容完全脱离本项目实际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如何与各街道进行对接.docx</w:t>
            </w:r>
          </w:p>
        </w:tc>
      </w:tr>
      <w:tr>
        <w:tc>
          <w:tcPr>
            <w:tcW w:type="dxa" w:w="831"/>
            <w:vMerge/>
          </w:tcPr>
          <w:p/>
        </w:tc>
        <w:tc>
          <w:tcPr>
            <w:tcW w:type="dxa" w:w="1661"/>
          </w:tcPr>
          <w:p>
            <w:pPr>
              <w:pStyle w:val="null3"/>
            </w:pPr>
            <w:r>
              <w:rPr>
                <w:rFonts w:ascii="仿宋_GB2312" w:hAnsi="仿宋_GB2312" w:cs="仿宋_GB2312" w:eastAsia="仿宋_GB2312"/>
              </w:rPr>
              <w:t>服务对象档案管理等规章制度</w:t>
            </w:r>
          </w:p>
        </w:tc>
        <w:tc>
          <w:tcPr>
            <w:tcW w:type="dxa" w:w="2492"/>
          </w:tcPr>
          <w:p>
            <w:pPr>
              <w:pStyle w:val="null3"/>
            </w:pPr>
            <w:r>
              <w:rPr>
                <w:rFonts w:ascii="仿宋_GB2312" w:hAnsi="仿宋_GB2312" w:cs="仿宋_GB2312" w:eastAsia="仿宋_GB2312"/>
              </w:rPr>
              <w:t>供应商须根据本项目服务特点及需求提供服务对象档案管理等规章制度。内容完整、合理、科学、针对性强计10分；内容基本完整、合理、科学、有一定的针对性计8分；内容基本完整、合理、科学计、针对性一般计6分；内容有缺失、不够合理、不够科学计4分；未提供或提供的内容完全脱离本项目实际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服务对象档案管理等规章制度.docx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供应商服务内容须满足本项目服务需求，并提供服务质量保障措施。内容完整、科学、合理、针对性很强计10分；内容完整、科学、合理、有一定的针对性计8分；内容基本完整、科学、合理、针对性一般计6分； 内容一般、针对性较弱计4分；内容不完整、不够科学、不够合理计2分；未提供或提供的内容完全脱离本项目实际计0分。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服务质量保障措施.docx</w:t>
            </w:r>
          </w:p>
        </w:tc>
      </w:tr>
      <w:tr>
        <w:tc>
          <w:tcPr>
            <w:tcW w:type="dxa" w:w="831"/>
            <w:vMerge/>
          </w:tcPr>
          <w:p/>
        </w:tc>
        <w:tc>
          <w:tcPr>
            <w:tcW w:type="dxa" w:w="1661"/>
          </w:tcPr>
          <w:p>
            <w:pPr>
              <w:pStyle w:val="null3"/>
            </w:pPr>
            <w:r>
              <w:rPr>
                <w:rFonts w:ascii="仿宋_GB2312" w:hAnsi="仿宋_GB2312" w:cs="仿宋_GB2312" w:eastAsia="仿宋_GB2312"/>
              </w:rPr>
              <w:t>突发应急处理方案</w:t>
            </w:r>
          </w:p>
        </w:tc>
        <w:tc>
          <w:tcPr>
            <w:tcW w:type="dxa" w:w="2492"/>
          </w:tcPr>
          <w:p>
            <w:pPr>
              <w:pStyle w:val="null3"/>
            </w:pPr>
            <w:r>
              <w:rPr>
                <w:rFonts w:ascii="仿宋_GB2312" w:hAnsi="仿宋_GB2312" w:cs="仿宋_GB2312" w:eastAsia="仿宋_GB2312"/>
              </w:rPr>
              <w:t>由于服务对象的特殊性，供应商针对在服务过程中服务对象身体健康出现突发应急事件，应具有健全应急预案。应急预案完整，条理清晰、合理、可行性很强的计10分； 应急预案完整，条理清晰、合理、有一定的可行性的计8分； 应急预案基本完整，条理较清晰、合理、可行性一般的计6分； 应急预案完整性、可行性较弱的计4分；未提供或提供的内容完全脱离本项目实际计0分。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突发应急处理方案.docx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供应商拟派本项目人员组织充分合理，人员分工明确，岗位设置全面。按其响应程度，组织架构合理全面可行性强的计10分；组织架构基本合理全面、有一定的可行性的计8分；组织架构较全面，可行性一般的计6分；组织架构不合理、可行性差的计4分；未提供或提供的内容完全脱离本项目实际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人员配备1.docx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针对本项目提供的专业技术人员需至少配备：1、医生或康复治疗师：2名自有或顾问医生或康复治理师(医生须具备康复治疗类专业，提供相关执业证书，顾问医生须提供顾问协议)，2、专业护理人员：2名专业护理人员（持有康复治疗技术，或护理资格证书）。（1）满足以上所有内容得6分，不满足得0分。 （2）每增加1名（医生或康复治疗师或专业护理人员，需提供相关证书）加1分，最高加4分。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人员配备2.docx</w:t>
            </w:r>
          </w:p>
        </w:tc>
      </w:tr>
      <w:tr>
        <w:tc>
          <w:tcPr>
            <w:tcW w:type="dxa" w:w="831"/>
            <w:vMerge/>
          </w:tcPr>
          <w:p/>
        </w:tc>
        <w:tc>
          <w:tcPr>
            <w:tcW w:type="dxa" w:w="1661"/>
          </w:tcPr>
          <w:p>
            <w:pPr>
              <w:pStyle w:val="null3"/>
            </w:pPr>
            <w:r>
              <w:rPr>
                <w:rFonts w:ascii="仿宋_GB2312" w:hAnsi="仿宋_GB2312" w:cs="仿宋_GB2312" w:eastAsia="仿宋_GB2312"/>
              </w:rPr>
              <w:t>服务器材、设备配备情况</w:t>
            </w:r>
          </w:p>
        </w:tc>
        <w:tc>
          <w:tcPr>
            <w:tcW w:type="dxa" w:w="2492"/>
          </w:tcPr>
          <w:p>
            <w:pPr>
              <w:pStyle w:val="null3"/>
            </w:pPr>
            <w:r>
              <w:rPr>
                <w:rFonts w:ascii="仿宋_GB2312" w:hAnsi="仿宋_GB2312" w:cs="仿宋_GB2312" w:eastAsia="仿宋_GB2312"/>
              </w:rPr>
              <w:t>供应商须根据本项目服务特点及需求提供相关的服务器材、设备。 服务器材、设备配置充分、科学、合理性强计10分； 服务器材、设备配置充分、科学、合理性一般计8分； 服务器材、设备配置基本充分、基本科学、合理计6分；服务器材、设备配置不够充分、不够科学、合理计4分；未提供或提供的内容完全脱离本项目实际计0分。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服务器材、设备配备情况.docx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供应商提供2023年1月（以合同签订时间为准）至今同类项目业绩，每份得2分，满分8分。(提供合同复印件并加盖公章)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价格分采用低价优先法计算，即满足磋商文件要求且投标价格最低的投标报价为评审基准价，其价格分为满分。其他投标人的价格分统一 按照下列公式计算：投标报价得分 =（评审基准价/磋商报价）×价格权值×10分。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详见附件：服务器材、设备配备情况.docx</w:t>
      </w:r>
    </w:p>
    <w:p>
      <w:pPr>
        <w:pStyle w:val="null3"/>
        <w:ind w:firstLine="960"/>
      </w:pPr>
      <w:r>
        <w:rPr>
          <w:rFonts w:ascii="仿宋_GB2312" w:hAnsi="仿宋_GB2312" w:cs="仿宋_GB2312" w:eastAsia="仿宋_GB2312"/>
        </w:rPr>
        <w:t>详见附件：服务质量保障措施.docx</w:t>
      </w:r>
    </w:p>
    <w:p>
      <w:pPr>
        <w:pStyle w:val="null3"/>
        <w:ind w:firstLine="960"/>
      </w:pPr>
      <w:r>
        <w:rPr>
          <w:rFonts w:ascii="仿宋_GB2312" w:hAnsi="仿宋_GB2312" w:cs="仿宋_GB2312" w:eastAsia="仿宋_GB2312"/>
        </w:rPr>
        <w:t>详见附件：开展基本康复服务工作业务培训.docx</w:t>
      </w:r>
    </w:p>
    <w:p>
      <w:pPr>
        <w:pStyle w:val="null3"/>
        <w:ind w:firstLine="960"/>
      </w:pPr>
      <w:r>
        <w:rPr>
          <w:rFonts w:ascii="仿宋_GB2312" w:hAnsi="仿宋_GB2312" w:cs="仿宋_GB2312" w:eastAsia="仿宋_GB2312"/>
        </w:rPr>
        <w:t>详见附件：人员配备1.docx</w:t>
      </w:r>
    </w:p>
    <w:p>
      <w:pPr>
        <w:pStyle w:val="null3"/>
        <w:ind w:firstLine="960"/>
      </w:pPr>
      <w:r>
        <w:rPr>
          <w:rFonts w:ascii="仿宋_GB2312" w:hAnsi="仿宋_GB2312" w:cs="仿宋_GB2312" w:eastAsia="仿宋_GB2312"/>
        </w:rPr>
        <w:t>详见附件：人员配备2.docx</w:t>
      </w:r>
    </w:p>
    <w:p>
      <w:pPr>
        <w:pStyle w:val="null3"/>
        <w:ind w:firstLine="960"/>
      </w:pPr>
      <w:r>
        <w:rPr>
          <w:rFonts w:ascii="仿宋_GB2312" w:hAnsi="仿宋_GB2312" w:cs="仿宋_GB2312" w:eastAsia="仿宋_GB2312"/>
        </w:rPr>
        <w:t>详见附件：如何与各街道进行对接.docx</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详见附件：服务对象档案管理等规章制度.docx</w:t>
      </w:r>
    </w:p>
    <w:p>
      <w:pPr>
        <w:pStyle w:val="null3"/>
        <w:ind w:firstLine="960"/>
      </w:pPr>
      <w:r>
        <w:rPr>
          <w:rFonts w:ascii="仿宋_GB2312" w:hAnsi="仿宋_GB2312" w:cs="仿宋_GB2312" w:eastAsia="仿宋_GB2312"/>
        </w:rPr>
        <w:t>详见附件：突发应急处理方案.docx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