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版本号：NBC-2026-ZFCS-F-9520260810001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理化实验室设备维护服务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NBC-2026-ZFCS-F-95</w:t>
      </w:r>
      <w:r>
        <w:br/>
      </w:r>
      <w:r>
        <w:br/>
      </w:r>
      <w:r>
        <w:br/>
      </w:r>
    </w:p>
    <w:p>
      <w:pPr>
        <w:pStyle w:val="null3"/>
        <w:jc w:val="center"/>
        <w:outlineLvl w:val="2"/>
      </w:pPr>
      <w:r>
        <w:rPr>
          <w:rFonts w:ascii="仿宋_GB2312" w:hAnsi="仿宋_GB2312" w:cs="仿宋_GB2312" w:eastAsia="仿宋_GB2312"/>
          <w:sz w:val="28"/>
          <w:b/>
        </w:rPr>
        <w:t>西安市公安局刑事侦查支队</w:t>
      </w:r>
    </w:p>
    <w:p>
      <w:pPr>
        <w:pStyle w:val="null3"/>
        <w:jc w:val="center"/>
        <w:outlineLvl w:val="2"/>
      </w:pPr>
      <w:r>
        <w:rPr>
          <w:rFonts w:ascii="仿宋_GB2312" w:hAnsi="仿宋_GB2312" w:cs="仿宋_GB2312" w:eastAsia="仿宋_GB2312"/>
          <w:sz w:val="28"/>
          <w:b/>
        </w:rPr>
        <w:t>纳百川项目管理咨询有限公司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纳百川项目管理咨询有限公司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西安市公安局刑事侦查支队</w:t>
      </w:r>
      <w:r>
        <w:rPr>
          <w:rFonts w:ascii="仿宋_GB2312" w:hAnsi="仿宋_GB2312" w:cs="仿宋_GB2312" w:eastAsia="仿宋_GB2312"/>
        </w:rPr>
        <w:t>委托，拟对</w:t>
      </w:r>
      <w:r>
        <w:rPr>
          <w:rFonts w:ascii="仿宋_GB2312" w:hAnsi="仿宋_GB2312" w:cs="仿宋_GB2312" w:eastAsia="仿宋_GB2312"/>
        </w:rPr>
        <w:t>理化实验室设备维护服务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NBC-2026-ZFCS-F-95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理化实验室设备维护服务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为保障实验室理化分析设备的正常运行，确保检测数据的准确性和可靠性，满足日常检测工作需要，拟对实验室现有10台理化分析设备提供整机维保服务。维保服务期限为1年。 本项目维保服务涵盖气质联用仪、气相色谱仪、顶空气相色谱仪、扫描电镜、离子色谱仪、ICP-MS、液相色谱仪、液质联用仪、紫外分光光度计等大型精密分析仪器，服务内容包括定期巡检、故障维修、备件更换等全方位维保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采购包1（理化实验室设备维护服务）：属于专门面向中小企业采购。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授权委托书：提供法定代表人授权书（附法定代表人、被授权人身份证复印件），法定代表人直接参加竞争性磋商的，须提供法定代表人身份证明；法定代表人授权他人参加竞争性磋商的，须提供法定代表人授权委托书、被授权人身份证复印件。</w:t>
      </w:r>
    </w:p>
    <w:p>
      <w:pPr>
        <w:pStyle w:val="null3"/>
      </w:pPr>
      <w:r>
        <w:rPr>
          <w:rFonts w:ascii="仿宋_GB2312" w:hAnsi="仿宋_GB2312" w:cs="仿宋_GB2312" w:eastAsia="仿宋_GB2312"/>
        </w:rPr>
        <w:t>2、供应商企业关系关联及联合体说明：本项目不接受联合体投标，单位负责人为同一人或者存在直接控股、管理关系的不同供应商，不得参加同一合同项下的政府采购活动。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西安市公安局刑事侦查支队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西安市公安局刑事侦查支队经办王新浩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86757083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纳百川项目管理咨询有限公司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陕西省西安市曲江新区南三环辅路以南曲江文创中心7幢1单元 1701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姚田拓、张贝贝、贾玲芬、王文生、武鲍华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13279407295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参见国家计委颁布的《招标代理服务收费管理暂行办法》（计价格〔2002〕1980号）和（发改办价格〔2003〕857号）收费标准正常收取；此采购代理服务费应计入响应报价中，但不需要单独开列。2、收款账户如下： 收款单位：纳百川项目管理咨询有限公司； 开户银行：西安银行长延堡支行；银行账号：803011580000040227 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西安市公安局刑事侦查支队</w:t>
      </w:r>
      <w:r>
        <w:rPr>
          <w:rFonts w:ascii="仿宋_GB2312" w:hAnsi="仿宋_GB2312" w:cs="仿宋_GB2312" w:eastAsia="仿宋_GB2312"/>
        </w:rPr>
        <w:t>和</w:t>
      </w:r>
      <w:r>
        <w:rPr>
          <w:rFonts w:ascii="仿宋_GB2312" w:hAnsi="仿宋_GB2312" w:cs="仿宋_GB2312" w:eastAsia="仿宋_GB2312"/>
        </w:rPr>
        <w:t>纳百川项目管理咨询有限公司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西安市公安局刑事侦查支队</w:t>
      </w:r>
      <w:r>
        <w:rPr>
          <w:rFonts w:ascii="仿宋_GB2312" w:hAnsi="仿宋_GB2312" w:cs="仿宋_GB2312" w:eastAsia="仿宋_GB2312"/>
        </w:rPr>
        <w:t>负责解释。除上述磋商文件内容，其他内容由</w:t>
      </w:r>
      <w:r>
        <w:rPr>
          <w:rFonts w:ascii="仿宋_GB2312" w:hAnsi="仿宋_GB2312" w:cs="仿宋_GB2312" w:eastAsia="仿宋_GB2312"/>
        </w:rPr>
        <w:t>纳百川项目管理咨询有限公司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西安市公安局刑事侦查支队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纳百川项目管理咨询有限公司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按国家有关规定以及竞争性磋商文件的要求、供应商的响应文件及承诺与本项目合同约定标准进行验收。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联系人：贾玲芬</w:t>
      </w:r>
    </w:p>
    <w:p>
      <w:pPr>
        <w:pStyle w:val="null3"/>
      </w:pPr>
      <w:r>
        <w:rPr>
          <w:rFonts w:ascii="仿宋_GB2312" w:hAnsi="仿宋_GB2312" w:cs="仿宋_GB2312" w:eastAsia="仿宋_GB2312"/>
        </w:rPr>
        <w:t>联系电话：13279407295</w:t>
      </w:r>
    </w:p>
    <w:p>
      <w:pPr>
        <w:pStyle w:val="null3"/>
      </w:pPr>
      <w:r>
        <w:rPr>
          <w:rFonts w:ascii="仿宋_GB2312" w:hAnsi="仿宋_GB2312" w:cs="仿宋_GB2312" w:eastAsia="仿宋_GB2312"/>
        </w:rPr>
        <w:t>地址：陕西省西安市曲江新区南三环辅路以南曲江文创中心7幢1单元 1701 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为保障实验室理化分析设备的正常运行，确保检测数据的准确性和可靠性，满足日常检测工作需要，拟对实验室现有10台理化分析设备提供整机维保服务。维保服务期限为1年。 本项目维保服务涵盖气质联用仪、气相色谱仪、顶空气相色谱仪、扫描电镜、离子色谱仪、ICP-MS、液相色谱仪、液质联用仪、紫外分光光度计等大型精密分析仪器，服务内容包括定期巡检、故障维修、备件更换等全方位维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其他维修和保养服务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标的名称：其他维修和保养服务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5"/>
              <w:gridCol w:w="162"/>
              <w:gridCol w:w="2146"/>
            </w:tblGrid>
            <w:tr>
              <w:tc>
                <w:tcPr>
                  <w:tcW w:type="dxa" w:w="245"/>
                  <w:tcBorders>
                    <w:top w:val="single" w:color="333333" w:sz="4"/>
                    <w:left w:val="single" w:color="333333"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4"/>
                    </w:rPr>
                    <w:t>一般参数</w:t>
                  </w:r>
                </w:p>
              </w:tc>
              <w:tc>
                <w:tcPr>
                  <w:tcW w:type="dxa" w:w="162"/>
                  <w:tcBorders>
                    <w:top w:val="single" w:color="333333" w:sz="4"/>
                    <w:left w:val="none" w:color="000000"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4"/>
                    </w:rPr>
                    <w:t>1</w:t>
                  </w:r>
                </w:p>
              </w:tc>
              <w:tc>
                <w:tcPr>
                  <w:tcW w:type="dxa" w:w="2146"/>
                  <w:tcBorders>
                    <w:top w:val="single" w:color="333333" w:sz="4"/>
                    <w:left w:val="none" w:color="000000" w:sz="4"/>
                    <w:bottom w:val="single" w:color="333333" w:sz="4"/>
                    <w:right w:val="single" w:color="333333" w:sz="4"/>
                  </w:tcBorders>
                  <w:tcMar>
                    <w:top w:type="dxa" w:w="75"/>
                    <w:left w:type="dxa" w:w="120"/>
                    <w:bottom w:type="dxa" w:w="75"/>
                    <w:right w:type="dxa" w:w="120"/>
                  </w:tcMar>
                  <w:vAlign w:val="top"/>
                </w:tcPr>
                <w:p>
                  <w:pPr>
                    <w:pStyle w:val="null3"/>
                    <w:jc w:val="both"/>
                  </w:pPr>
                  <w:r>
                    <w:rPr>
                      <w:rFonts w:ascii="仿宋_GB2312" w:hAnsi="仿宋_GB2312" w:cs="仿宋_GB2312" w:eastAsia="仿宋_GB2312"/>
                      <w:sz w:val="28"/>
                      <w:b/>
                    </w:rPr>
                    <w:t>一、项目概况</w:t>
                  </w:r>
                </w:p>
                <w:p>
                  <w:pPr>
                    <w:pStyle w:val="null3"/>
                    <w:ind w:firstLine="420"/>
                    <w:jc w:val="both"/>
                  </w:pPr>
                  <w:r>
                    <w:rPr>
                      <w:rFonts w:ascii="仿宋_GB2312" w:hAnsi="仿宋_GB2312" w:cs="仿宋_GB2312" w:eastAsia="仿宋_GB2312"/>
                      <w:sz w:val="21"/>
                    </w:rPr>
                    <w:t>为保障实验室理化分析设备的正常运行，确保检测数据的准确性和可靠性，满足日常检测工作需要，拟对实验室现有</w:t>
                  </w:r>
                  <w:r>
                    <w:rPr>
                      <w:rFonts w:ascii="仿宋_GB2312" w:hAnsi="仿宋_GB2312" w:cs="仿宋_GB2312" w:eastAsia="仿宋_GB2312"/>
                      <w:sz w:val="21"/>
                    </w:rPr>
                    <w:t>10</w:t>
                  </w:r>
                  <w:r>
                    <w:rPr>
                      <w:rFonts w:ascii="仿宋_GB2312" w:hAnsi="仿宋_GB2312" w:cs="仿宋_GB2312" w:eastAsia="仿宋_GB2312"/>
                      <w:sz w:val="21"/>
                    </w:rPr>
                    <w:t>台理化分析设备提供整机维保服务。维保服务期限为</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ind w:firstLine="420"/>
                    <w:jc w:val="both"/>
                  </w:pPr>
                  <w:r>
                    <w:rPr>
                      <w:rFonts w:ascii="仿宋_GB2312" w:hAnsi="仿宋_GB2312" w:cs="仿宋_GB2312" w:eastAsia="仿宋_GB2312"/>
                      <w:sz w:val="21"/>
                    </w:rPr>
                    <w:t>本项目维保服务涵盖气质联用仪、气相色谱仪、顶空气相色谱仪、扫描电镜、离子色谱仪、</w:t>
                  </w:r>
                  <w:r>
                    <w:rPr>
                      <w:rFonts w:ascii="仿宋_GB2312" w:hAnsi="仿宋_GB2312" w:cs="仿宋_GB2312" w:eastAsia="仿宋_GB2312"/>
                      <w:sz w:val="21"/>
                    </w:rPr>
                    <w:t>ICP-MS</w:t>
                  </w:r>
                  <w:r>
                    <w:rPr>
                      <w:rFonts w:ascii="仿宋_GB2312" w:hAnsi="仿宋_GB2312" w:cs="仿宋_GB2312" w:eastAsia="仿宋_GB2312"/>
                      <w:sz w:val="21"/>
                    </w:rPr>
                    <w:t>、液相色谱仪、液质联用仪、紫外分光光度计等大型精密分析仪器，服务内容包括定期巡检、故障维修、备件更换等全方位维保服务。</w:t>
                  </w:r>
                </w:p>
                <w:p>
                  <w:pPr>
                    <w:pStyle w:val="null3"/>
                    <w:jc w:val="both"/>
                  </w:pPr>
                  <w:r>
                    <w:rPr>
                      <w:rFonts w:ascii="仿宋_GB2312" w:hAnsi="仿宋_GB2312" w:cs="仿宋_GB2312" w:eastAsia="仿宋_GB2312"/>
                      <w:sz w:val="28"/>
                      <w:b/>
                    </w:rPr>
                    <w:t>二、采购内容</w:t>
                  </w:r>
                </w:p>
                <w:p>
                  <w:pPr>
                    <w:pStyle w:val="null3"/>
                    <w:ind w:firstLine="420"/>
                    <w:jc w:val="both"/>
                  </w:pPr>
                  <w:r>
                    <w:rPr>
                      <w:rFonts w:ascii="仿宋_GB2312" w:hAnsi="仿宋_GB2312" w:cs="仿宋_GB2312" w:eastAsia="仿宋_GB2312"/>
                      <w:sz w:val="21"/>
                    </w:rPr>
                    <w:t>本项目采购理化设备维保服务</w:t>
                  </w:r>
                  <w:r>
                    <w:rPr>
                      <w:rFonts w:ascii="仿宋_GB2312" w:hAnsi="仿宋_GB2312" w:cs="仿宋_GB2312" w:eastAsia="仿宋_GB2312"/>
                      <w:sz w:val="21"/>
                    </w:rPr>
                    <w:t>1</w:t>
                  </w:r>
                  <w:r>
                    <w:rPr>
                      <w:rFonts w:ascii="仿宋_GB2312" w:hAnsi="仿宋_GB2312" w:cs="仿宋_GB2312" w:eastAsia="仿宋_GB2312"/>
                      <w:sz w:val="21"/>
                    </w:rPr>
                    <w:t>项，涉及</w:t>
                  </w:r>
                  <w:r>
                    <w:rPr>
                      <w:rFonts w:ascii="仿宋_GB2312" w:hAnsi="仿宋_GB2312" w:cs="仿宋_GB2312" w:eastAsia="仿宋_GB2312"/>
                      <w:sz w:val="21"/>
                    </w:rPr>
                    <w:t>10</w:t>
                  </w:r>
                  <w:r>
                    <w:rPr>
                      <w:rFonts w:ascii="仿宋_GB2312" w:hAnsi="仿宋_GB2312" w:cs="仿宋_GB2312" w:eastAsia="仿宋_GB2312"/>
                      <w:sz w:val="21"/>
                    </w:rPr>
                    <w:t>台理化分析仪器的整机维保服务。具体维保设备清单如下：</w:t>
                  </w:r>
                </w:p>
                <w:tbl>
                  <w:tblPr>
                    <w:tblBorders>
                      <w:top w:val="none" w:color="000000" w:sz="4"/>
                      <w:left w:val="none" w:color="000000" w:sz="4"/>
                      <w:bottom w:val="none" w:color="000000" w:sz="4"/>
                      <w:right w:val="none" w:color="000000" w:sz="4"/>
                      <w:insideH w:val="none"/>
                      <w:insideV w:val="none"/>
                    </w:tblBorders>
                  </w:tblPr>
                  <w:tblGrid>
                    <w:gridCol w:w="165"/>
                    <w:gridCol w:w="312"/>
                    <w:gridCol w:w="416"/>
                    <w:gridCol w:w="243"/>
                    <w:gridCol w:w="793"/>
                  </w:tblGrid>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品牌型号</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p>
                        <w:pPr>
                          <w:pStyle w:val="null3"/>
                          <w:jc w:val="center"/>
                        </w:pPr>
                        <w:r>
                          <w:rPr>
                            <w:rFonts w:ascii="仿宋_GB2312" w:hAnsi="仿宋_GB2312" w:cs="仿宋_GB2312" w:eastAsia="仿宋_GB2312"/>
                            <w:sz w:val="21"/>
                            <w:b/>
                          </w:rPr>
                          <w:t>（台）</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维保服务内容要求</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气质联用仪</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赛默飞</w:t>
                        </w:r>
                        <w:r>
                          <w:rPr>
                            <w:rFonts w:ascii="仿宋_GB2312" w:hAnsi="仿宋_GB2312" w:cs="仿宋_GB2312" w:eastAsia="仿宋_GB2312"/>
                            <w:sz w:val="21"/>
                          </w:rPr>
                          <w:t xml:space="preserve"> ISQ QD</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提供整机维保服务，包括定期巡检、故障维修、</w:t>
                        </w:r>
                        <w:r>
                          <w:rPr>
                            <w:rFonts w:ascii="仿宋_GB2312" w:hAnsi="仿宋_GB2312" w:cs="仿宋_GB2312" w:eastAsia="仿宋_GB2312"/>
                            <w:sz w:val="21"/>
                          </w:rPr>
                          <w:t>配</w:t>
                        </w:r>
                        <w:r>
                          <w:rPr>
                            <w:rFonts w:ascii="仿宋_GB2312" w:hAnsi="仿宋_GB2312" w:cs="仿宋_GB2312" w:eastAsia="仿宋_GB2312"/>
                            <w:sz w:val="21"/>
                          </w:rPr>
                          <w:t>件更换等，确保设备正常运行</w:t>
                        </w:r>
                      </w:p>
                      <w:p>
                        <w:pPr>
                          <w:pStyle w:val="null3"/>
                          <w:jc w:val="both"/>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气相色谱仪</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赛默飞</w:t>
                        </w:r>
                        <w:r>
                          <w:rPr>
                            <w:rFonts w:ascii="仿宋_GB2312" w:hAnsi="仿宋_GB2312" w:cs="仿宋_GB2312" w:eastAsia="仿宋_GB2312"/>
                            <w:sz w:val="21"/>
                          </w:rPr>
                          <w:t xml:space="preserve"> Trace1310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3"/>
                        <w:vMerge/>
                        <w:tcBorders>
                          <w:top w:val="none" w:color="000000" w:sz="4"/>
                          <w:left w:val="none" w:color="000000" w:sz="4"/>
                          <w:bottom w:val="single" w:color="000000" w:sz="4"/>
                          <w:right w:val="single" w:color="000000" w:sz="4"/>
                        </w:tcBorders>
                      </w:tc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顶空气相色谱仪</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安捷伦</w:t>
                        </w:r>
                        <w:r>
                          <w:rPr>
                            <w:rFonts w:ascii="仿宋_GB2312" w:hAnsi="仿宋_GB2312" w:cs="仿宋_GB2312" w:eastAsia="仿宋_GB2312"/>
                            <w:sz w:val="21"/>
                          </w:rPr>
                          <w:t xml:space="preserve"> 7890A</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3"/>
                        <w:vMerge/>
                        <w:tcBorders>
                          <w:top w:val="none" w:color="000000" w:sz="4"/>
                          <w:left w:val="none" w:color="000000" w:sz="4"/>
                          <w:bottom w:val="single" w:color="000000" w:sz="4"/>
                          <w:right w:val="single" w:color="000000" w:sz="4"/>
                        </w:tcBorders>
                      </w:tc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扫描电镜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FEI QUANTA650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3"/>
                        <w:vMerge/>
                        <w:tcBorders>
                          <w:top w:val="none" w:color="000000" w:sz="4"/>
                          <w:left w:val="none" w:color="000000" w:sz="4"/>
                          <w:bottom w:val="single" w:color="000000" w:sz="4"/>
                          <w:right w:val="single" w:color="000000" w:sz="4"/>
                        </w:tcBorders>
                      </w:tc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离子色谱仪</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赛默飞</w:t>
                        </w:r>
                        <w:r>
                          <w:rPr>
                            <w:rFonts w:ascii="仿宋_GB2312" w:hAnsi="仿宋_GB2312" w:cs="仿宋_GB2312" w:eastAsia="仿宋_GB2312"/>
                            <w:sz w:val="21"/>
                          </w:rPr>
                          <w:t xml:space="preserve"> ICS-5000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3"/>
                        <w:vMerge/>
                        <w:tcBorders>
                          <w:top w:val="none" w:color="000000" w:sz="4"/>
                          <w:left w:val="none" w:color="000000" w:sz="4"/>
                          <w:bottom w:val="single" w:color="000000" w:sz="4"/>
                          <w:right w:val="single" w:color="000000" w:sz="4"/>
                        </w:tcBorders>
                      </w:tc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ICP-MS</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赛默飞</w:t>
                        </w:r>
                        <w:r>
                          <w:rPr>
                            <w:rFonts w:ascii="仿宋_GB2312" w:hAnsi="仿宋_GB2312" w:cs="仿宋_GB2312" w:eastAsia="仿宋_GB2312"/>
                            <w:sz w:val="21"/>
                          </w:rPr>
                          <w:t xml:space="preserve"> ICAP RQ</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3"/>
                        <w:vMerge/>
                        <w:tcBorders>
                          <w:top w:val="none" w:color="000000" w:sz="4"/>
                          <w:left w:val="none" w:color="000000" w:sz="4"/>
                          <w:bottom w:val="single" w:color="000000" w:sz="4"/>
                          <w:right w:val="single" w:color="000000" w:sz="4"/>
                        </w:tcBorders>
                      </w:tc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液相色谱仪</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赛默飞</w:t>
                        </w:r>
                        <w:r>
                          <w:rPr>
                            <w:rFonts w:ascii="仿宋_GB2312" w:hAnsi="仿宋_GB2312" w:cs="仿宋_GB2312" w:eastAsia="仿宋_GB2312"/>
                            <w:sz w:val="21"/>
                          </w:rPr>
                          <w:t xml:space="preserve"> U3000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3"/>
                        <w:vMerge/>
                        <w:tcBorders>
                          <w:top w:val="none" w:color="000000" w:sz="4"/>
                          <w:left w:val="none" w:color="000000" w:sz="4"/>
                          <w:bottom w:val="single" w:color="000000" w:sz="4"/>
                          <w:right w:val="single" w:color="000000" w:sz="4"/>
                        </w:tcBorders>
                      </w:tc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液质联用仪</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AB-SCIEX 5500+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3"/>
                        <w:vMerge/>
                        <w:tcBorders>
                          <w:top w:val="none" w:color="000000" w:sz="4"/>
                          <w:left w:val="none" w:color="000000" w:sz="4"/>
                          <w:bottom w:val="single" w:color="000000" w:sz="4"/>
                          <w:right w:val="single" w:color="000000" w:sz="4"/>
                        </w:tcBorders>
                      </w:tc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紫外分光光度计</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岛津</w:t>
                        </w:r>
                        <w:r>
                          <w:rPr>
                            <w:rFonts w:ascii="仿宋_GB2312" w:hAnsi="仿宋_GB2312" w:cs="仿宋_GB2312" w:eastAsia="仿宋_GB2312"/>
                            <w:sz w:val="21"/>
                          </w:rPr>
                          <w:t xml:space="preserve"> UV2550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3"/>
                        <w:vMerge/>
                        <w:tcBorders>
                          <w:top w:val="none" w:color="000000" w:sz="4"/>
                          <w:left w:val="none" w:color="000000" w:sz="4"/>
                          <w:bottom w:val="single" w:color="000000" w:sz="4"/>
                          <w:right w:val="single" w:color="000000" w:sz="4"/>
                        </w:tcBorders>
                      </w:tc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液质联用仪</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禾信</w:t>
                        </w:r>
                        <w:r>
                          <w:rPr>
                            <w:rFonts w:ascii="仿宋_GB2312" w:hAnsi="仿宋_GB2312" w:cs="仿宋_GB2312" w:eastAsia="仿宋_GB2312"/>
                            <w:sz w:val="21"/>
                          </w:rPr>
                          <w:t xml:space="preserve"> LC-TQ5200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93"/>
                        <w:vMerge/>
                        <w:tcBorders>
                          <w:top w:val="none" w:color="000000" w:sz="4"/>
                          <w:left w:val="none" w:color="000000" w:sz="4"/>
                          <w:bottom w:val="single" w:color="000000" w:sz="4"/>
                          <w:right w:val="single" w:color="000000" w:sz="4"/>
                        </w:tcBorders>
                      </w:tcPr>
                      <w:p/>
                    </w:tc>
                  </w:tr>
                  <w:tr>
                    <w:tc>
                      <w:tcPr>
                        <w:tcW w:type="dxa" w:w="192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注：本清单所列设备品牌、型号均为采购人现使用设备，系客观描述，非指定或倾向。凡列明品牌型号之处，均允许供应商提供</w:t>
                        </w:r>
                        <w:r>
                          <w:rPr>
                            <w:rFonts w:ascii="仿宋_GB2312" w:hAnsi="仿宋_GB2312" w:cs="仿宋_GB2312" w:eastAsia="仿宋_GB2312"/>
                            <w:sz w:val="21"/>
                            <w:b/>
                          </w:rPr>
                          <w:t>“或同等档次”的技术方案。</w:t>
                        </w:r>
                      </w:p>
                    </w:tc>
                  </w:tr>
                </w:tbl>
                <w:p>
                  <w:pPr>
                    <w:pStyle w:val="null3"/>
                    <w:jc w:val="both"/>
                  </w:pPr>
                  <w:r>
                    <w:rPr>
                      <w:rFonts w:ascii="仿宋_GB2312" w:hAnsi="仿宋_GB2312" w:cs="仿宋_GB2312" w:eastAsia="仿宋_GB2312"/>
                      <w:sz w:val="28"/>
                      <w:b/>
                    </w:rPr>
                    <w:t>三、服务要求</w:t>
                  </w:r>
                </w:p>
                <w:p>
                  <w:pPr>
                    <w:pStyle w:val="null3"/>
                    <w:jc w:val="both"/>
                  </w:pPr>
                  <w:r>
                    <w:rPr>
                      <w:rFonts w:ascii="仿宋_GB2312" w:hAnsi="仿宋_GB2312" w:cs="仿宋_GB2312" w:eastAsia="仿宋_GB2312"/>
                      <w:sz w:val="21"/>
                      <w:b/>
                    </w:rPr>
                    <w:t>（一）维保服务内容</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、定期巡检服务：每季度对所有维保设备进行一次全面巡检，检查设备运行状态，清洁设备内部，排查潜在故障隐患，出具巡检报告。</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、故障维修服务：设备出现故障时，供应商须及时响应并提供维修服务，排除故障，确保设备尽快恢复正常运行。</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、备件更换服务：维保期内，因设备正常使用造成的零部件损坏，供应商须免费提供原厂正品备件并进行更换，确保设备性能达到原厂标准。</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、技术支持服务：提供</w:t>
                  </w:r>
                  <w:r>
                    <w:rPr>
                      <w:rFonts w:ascii="仿宋_GB2312" w:hAnsi="仿宋_GB2312" w:cs="仿宋_GB2312" w:eastAsia="仿宋_GB2312"/>
                      <w:sz w:val="21"/>
                    </w:rPr>
                    <w:t>7×24</w:t>
                  </w:r>
                  <w:r>
                    <w:rPr>
                      <w:rFonts w:ascii="仿宋_GB2312" w:hAnsi="仿宋_GB2312" w:cs="仿宋_GB2312" w:eastAsia="仿宋_GB2312"/>
                      <w:sz w:val="21"/>
                    </w:rPr>
                    <w:t>小时电话技术支持，解答用户在设备使用和维护方面的技术问题。</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、培训服务：为用户操作人员提供设备日常维护和简单故障排除的培训服务，提高用户自主维护能力。</w:t>
                  </w:r>
                </w:p>
                <w:p>
                  <w:pPr>
                    <w:pStyle w:val="null3"/>
                    <w:jc w:val="both"/>
                  </w:pPr>
                  <w:r>
                    <w:rPr>
                      <w:rFonts w:ascii="仿宋_GB2312" w:hAnsi="仿宋_GB2312" w:cs="仿宋_GB2312" w:eastAsia="仿宋_GB2312"/>
                      <w:sz w:val="21"/>
                      <w:b/>
                    </w:rPr>
                    <w:t>（二）服务质量要求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、响应时间要求：接到故障报修通知后，须在</w:t>
                  </w:r>
                  <w:r>
                    <w:rPr>
                      <w:rFonts w:ascii="仿宋_GB2312" w:hAnsi="仿宋_GB2312" w:cs="仿宋_GB2312" w:eastAsia="仿宋_GB2312"/>
                      <w:sz w:val="21"/>
                    </w:rPr>
                    <w:t>2</w:t>
                  </w:r>
                  <w:r>
                    <w:rPr>
                      <w:rFonts w:ascii="仿宋_GB2312" w:hAnsi="仿宋_GB2312" w:cs="仿宋_GB2312" w:eastAsia="仿宋_GB2312"/>
                      <w:sz w:val="21"/>
                    </w:rPr>
                    <w:t>小时内响应，</w:t>
                  </w:r>
                  <w:r>
                    <w:rPr>
                      <w:rFonts w:ascii="仿宋_GB2312" w:hAnsi="仿宋_GB2312" w:cs="仿宋_GB2312" w:eastAsia="仿宋_GB2312"/>
                      <w:sz w:val="21"/>
                    </w:rPr>
                    <w:t>24</w:t>
                  </w:r>
                  <w:r>
                    <w:rPr>
                      <w:rFonts w:ascii="仿宋_GB2312" w:hAnsi="仿宋_GB2312" w:cs="仿宋_GB2312" w:eastAsia="仿宋_GB2312"/>
                      <w:sz w:val="21"/>
                    </w:rPr>
                    <w:t>小时内到达现场（西安市内），</w:t>
                  </w:r>
                  <w:r>
                    <w:rPr>
                      <w:rFonts w:ascii="仿宋_GB2312" w:hAnsi="仿宋_GB2312" w:cs="仿宋_GB2312" w:eastAsia="仿宋_GB2312"/>
                      <w:sz w:val="21"/>
                    </w:rPr>
                    <w:t>48</w:t>
                  </w:r>
                  <w:r>
                    <w:rPr>
                      <w:rFonts w:ascii="仿宋_GB2312" w:hAnsi="仿宋_GB2312" w:cs="仿宋_GB2312" w:eastAsia="仿宋_GB2312"/>
                      <w:sz w:val="21"/>
                    </w:rPr>
                    <w:t>小时内排除故障；如需更换配件，则</w:t>
                  </w:r>
                  <w:r>
                    <w:rPr>
                      <w:rFonts w:ascii="仿宋_GB2312" w:hAnsi="仿宋_GB2312" w:cs="仿宋_GB2312" w:eastAsia="仿宋_GB2312"/>
                      <w:sz w:val="21"/>
                    </w:rPr>
                    <w:t>5</w:t>
                  </w:r>
                  <w:r>
                    <w:rPr>
                      <w:rFonts w:ascii="仿宋_GB2312" w:hAnsi="仿宋_GB2312" w:cs="仿宋_GB2312" w:eastAsia="仿宋_GB2312"/>
                      <w:sz w:val="21"/>
                    </w:rPr>
                    <w:t>个工作日内排除故障（除不可抗力因素）；如无法在要求时间内排除故障，须提供备用设备或替代方案，确保用户检测工作不受影响。</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、维修质量要求：维修后的设备须达到原厂技术标准，</w:t>
                  </w:r>
                  <w:r>
                    <w:rPr>
                      <w:rFonts w:ascii="仿宋_GB2312" w:hAnsi="仿宋_GB2312" w:cs="仿宋_GB2312" w:eastAsia="仿宋_GB2312"/>
                      <w:sz w:val="21"/>
                    </w:rPr>
                    <w:t>保证设备正常运行使用。</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、备件质量要求：所有更换的备件须为原厂正品备件，与原设备完全兼容，不得使用二手备件或仿冒备件；更换备件须提供备件合格证或原厂证明。</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、人员要求：维修技术人员须经过设备厂家培训并取得相应维修资质证书。</w:t>
                  </w:r>
                </w:p>
                <w:p>
                  <w:pPr>
                    <w:pStyle w:val="null3"/>
                    <w:jc w:val="both"/>
                  </w:pPr>
                  <w:r>
                    <w:rPr>
                      <w:rFonts w:ascii="仿宋_GB2312" w:hAnsi="仿宋_GB2312" w:cs="仿宋_GB2312" w:eastAsia="仿宋_GB2312"/>
                      <w:sz w:val="21"/>
                      <w:b/>
                    </w:rPr>
                    <w:t>（三）服务人员要求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、供应商须配备专职的维修工程师团队，负责本项目的维保服务工作；</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、维修工程师须具备相应的专业技术资质和丰富的维修经验，熟悉各类设备的原理、结构和维修方法；</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、服务人员须遵守采购单位的各项规章制度，服从现场管理，注意安全操作；</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、服务人员须对在服务过程中知悉的采购单位技术信息和商业秘密保密。</w:t>
                  </w:r>
                </w:p>
                <w:p>
                  <w:pPr>
                    <w:pStyle w:val="null3"/>
                    <w:jc w:val="both"/>
                  </w:pPr>
                  <w:r>
                    <w:rPr>
                      <w:rFonts w:ascii="仿宋_GB2312" w:hAnsi="仿宋_GB2312" w:cs="仿宋_GB2312" w:eastAsia="仿宋_GB2312"/>
                      <w:sz w:val="28"/>
                      <w:b/>
                    </w:rPr>
                    <w:t>四、商务要求</w:t>
                  </w:r>
                </w:p>
                <w:p>
                  <w:pPr>
                    <w:pStyle w:val="null3"/>
                    <w:jc w:val="both"/>
                  </w:pPr>
                  <w:r>
                    <w:rPr>
                      <w:rFonts w:ascii="仿宋_GB2312" w:hAnsi="仿宋_GB2312" w:cs="仿宋_GB2312" w:eastAsia="仿宋_GB2312"/>
                      <w:sz w:val="21"/>
                      <w:b/>
                    </w:rPr>
                    <w:t>（一）服务期限</w:t>
                  </w:r>
                </w:p>
                <w:p>
                  <w:pPr>
                    <w:pStyle w:val="null3"/>
                    <w:ind w:firstLine="420"/>
                    <w:jc w:val="both"/>
                  </w:pPr>
                  <w:r>
                    <w:rPr>
                      <w:rFonts w:ascii="仿宋_GB2312" w:hAnsi="仿宋_GB2312" w:cs="仿宋_GB2312" w:eastAsia="仿宋_GB2312"/>
                      <w:sz w:val="21"/>
                    </w:rPr>
                    <w:t>自合同签订之日起</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b/>
                    </w:rPr>
                    <w:t>（二）服务地点</w:t>
                  </w:r>
                </w:p>
                <w:p>
                  <w:pPr>
                    <w:pStyle w:val="null3"/>
                    <w:ind w:firstLine="420"/>
                    <w:jc w:val="both"/>
                  </w:pPr>
                  <w:r>
                    <w:rPr>
                      <w:rFonts w:ascii="仿宋_GB2312" w:hAnsi="仿宋_GB2312" w:cs="仿宋_GB2312" w:eastAsia="仿宋_GB2312"/>
                      <w:sz w:val="21"/>
                    </w:rPr>
                    <w:t>采购人指定地点（西安市内）。</w:t>
                  </w:r>
                </w:p>
                <w:p>
                  <w:pPr>
                    <w:pStyle w:val="null3"/>
                    <w:ind w:left="420"/>
                    <w:jc w:val="both"/>
                  </w:pPr>
                  <w:r>
                    <w:rPr>
                      <w:rFonts w:ascii="仿宋_GB2312" w:hAnsi="仿宋_GB2312" w:cs="仿宋_GB2312" w:eastAsia="仿宋_GB2312"/>
                      <w:sz w:val="21"/>
                      <w:b/>
                    </w:rPr>
                    <w:t>（三）款项结算</w:t>
                  </w:r>
                  <w:r>
                    <w:br/>
                  </w:r>
                  <w:r>
                    <w:rPr>
                      <w:rFonts w:ascii="仿宋_GB2312" w:hAnsi="仿宋_GB2312" w:cs="仿宋_GB2312" w:eastAsia="仿宋_GB2312"/>
                      <w:sz w:val="21"/>
                    </w:rPr>
                    <w:t>依照合同条款执行</w:t>
                  </w:r>
                </w:p>
                <w:p>
                  <w:pPr>
                    <w:pStyle w:val="null3"/>
                    <w:jc w:val="both"/>
                  </w:pPr>
                  <w:r>
                    <w:rPr>
                      <w:rFonts w:ascii="仿宋_GB2312" w:hAnsi="仿宋_GB2312" w:cs="仿宋_GB2312" w:eastAsia="仿宋_GB2312"/>
                      <w:sz w:val="21"/>
                      <w:b/>
                    </w:rPr>
                    <w:t>（四）验收标准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、按照国家相关标准及合同约定进行验收；</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、设备运行正常，性能指标符合原厂技术标准和相关国家标准要求；</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、维保服务记录完整，包括巡检报告、维修记录等；</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、服务响应时间和维修质量符合合同约定要求；</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、用户满意度评价达到合格以上。</w:t>
                  </w:r>
                </w:p>
                <w:p>
                  <w:pPr>
                    <w:pStyle w:val="null3"/>
                    <w:jc w:val="both"/>
                  </w:pPr>
                  <w:r>
                    <w:rPr>
                      <w:rFonts w:ascii="仿宋_GB2312" w:hAnsi="仿宋_GB2312" w:cs="仿宋_GB2312" w:eastAsia="仿宋_GB2312"/>
                      <w:sz w:val="28"/>
                      <w:b/>
                    </w:rPr>
                    <w:t>五、其他</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）服务质量考核标准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、设备开机率：维保期内设备年开机率不低于</w:t>
                  </w:r>
                  <w:r>
                    <w:rPr>
                      <w:rFonts w:ascii="仿宋_GB2312" w:hAnsi="仿宋_GB2312" w:cs="仿宋_GB2312" w:eastAsia="仿宋_GB2312"/>
                      <w:sz w:val="21"/>
                    </w:rPr>
                    <w:t>95%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、响应及时性：故障响应及时率达到</w:t>
                  </w:r>
                  <w:r>
                    <w:rPr>
                      <w:rFonts w:ascii="仿宋_GB2312" w:hAnsi="仿宋_GB2312" w:cs="仿宋_GB2312" w:eastAsia="仿宋_GB2312"/>
                      <w:sz w:val="21"/>
                    </w:rPr>
                    <w:t>100%</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、维修质量：一次维修合格率不低于</w:t>
                  </w:r>
                  <w:r>
                    <w:rPr>
                      <w:rFonts w:ascii="仿宋_GB2312" w:hAnsi="仿宋_GB2312" w:cs="仿宋_GB2312" w:eastAsia="仿宋_GB2312"/>
                      <w:sz w:val="21"/>
                    </w:rPr>
                    <w:t>95%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、用户满意度：用户满意度评价不低于</w:t>
                  </w:r>
                  <w:r>
                    <w:rPr>
                      <w:rFonts w:ascii="仿宋_GB2312" w:hAnsi="仿宋_GB2312" w:cs="仿宋_GB2312" w:eastAsia="仿宋_GB2312"/>
                      <w:sz w:val="21"/>
                    </w:rPr>
                    <w:t>90</w:t>
                  </w:r>
                  <w:r>
                    <w:rPr>
                      <w:rFonts w:ascii="仿宋_GB2312" w:hAnsi="仿宋_GB2312" w:cs="仿宋_GB2312" w:eastAsia="仿宋_GB2312"/>
                      <w:sz w:val="21"/>
                    </w:rPr>
                    <w:t>分。</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）违约责任</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、若供应商未能按合同约定时间响应或到达现场，每逾期一次，应向采购人支付合同总价款</w:t>
                  </w:r>
                  <w:r>
                    <w:rPr>
                      <w:rFonts w:ascii="仿宋_GB2312" w:hAnsi="仿宋_GB2312" w:cs="仿宋_GB2312" w:eastAsia="仿宋_GB2312"/>
                      <w:sz w:val="21"/>
                    </w:rPr>
                    <w:t>0.5‰</w:t>
                  </w:r>
                  <w:r>
                    <w:rPr>
                      <w:rFonts w:ascii="仿宋_GB2312" w:hAnsi="仿宋_GB2312" w:cs="仿宋_GB2312" w:eastAsia="仿宋_GB2312"/>
                      <w:sz w:val="21"/>
                    </w:rPr>
                    <w:t>的违约金；</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、因供应商维修不及时或维修质量问题造成设备停机超过</w:t>
                  </w:r>
                  <w:r>
                    <w:rPr>
                      <w:rFonts w:ascii="仿宋_GB2312" w:hAnsi="仿宋_GB2312" w:cs="仿宋_GB2312" w:eastAsia="仿宋_GB2312"/>
                      <w:sz w:val="21"/>
                    </w:rPr>
                    <w:t>7</w:t>
                  </w:r>
                  <w:r>
                    <w:rPr>
                      <w:rFonts w:ascii="仿宋_GB2312" w:hAnsi="仿宋_GB2312" w:cs="仿宋_GB2312" w:eastAsia="仿宋_GB2312"/>
                      <w:sz w:val="21"/>
                    </w:rPr>
                    <w:t>天的，每停机</w:t>
                  </w:r>
                  <w:r>
                    <w:rPr>
                      <w:rFonts w:ascii="仿宋_GB2312" w:hAnsi="仿宋_GB2312" w:cs="仿宋_GB2312" w:eastAsia="仿宋_GB2312"/>
                      <w:sz w:val="21"/>
                    </w:rPr>
                    <w:t>1</w:t>
                  </w:r>
                  <w:r>
                    <w:rPr>
                      <w:rFonts w:ascii="仿宋_GB2312" w:hAnsi="仿宋_GB2312" w:cs="仿宋_GB2312" w:eastAsia="仿宋_GB2312"/>
                      <w:sz w:val="21"/>
                    </w:rPr>
                    <w:t>天，扣除合同总价款的</w:t>
                  </w:r>
                  <w:r>
                    <w:rPr>
                      <w:rFonts w:ascii="仿宋_GB2312" w:hAnsi="仿宋_GB2312" w:cs="仿宋_GB2312" w:eastAsia="仿宋_GB2312"/>
                      <w:sz w:val="21"/>
                    </w:rPr>
                    <w:t>1‰</w:t>
                  </w:r>
                  <w:r>
                    <w:rPr>
                      <w:rFonts w:ascii="仿宋_GB2312" w:hAnsi="仿宋_GB2312" w:cs="仿宋_GB2312" w:eastAsia="仿宋_GB2312"/>
                      <w:sz w:val="21"/>
                    </w:rPr>
                    <w:t>作为违约金；</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、供应商使用非原厂备件的，须免费更换为原厂备件，并向采购人支付该备件价格双倍的违约金；</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、其他违约责任按《中华人民共和国民法典》及相关法律法规执行。</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按本项目要求、供应商的响应文件及承诺与本项目合同约定标准执行。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按本项目要求、供应商的响应文件及承诺与本项目合同约定标准执行。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按本项目要求、供应商的响应文件及承诺与本项目合同约定标准执行。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1、按照国家相关标准及合同约定进行验收； 2、设备运行正常，性能指标符合原厂技术标准和相关国家标准要求； 3、维保服务记录完整，包括巡检报告、维修记录等； 4、服务响应时间和维修质量符合合同约定要求； 5、用户满意度评价达到合格以上。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甲、乙双方应首先通过友好协商解决;如果协商不能解决争议，甲乙双方同意采取向西安市仲裁委员会按其仲裁规则申请仲裁。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1、供应商应是独立承担民事责任能力的法人、其他组织或自然人，法人、其他组织须提供合法有效的营业执照(或事业单位法人证书)等证明资料，自然人须提供身份证明。 2、提供 2025年度经审计的财务报告或在响应文件递交截止之日近一年内其基本开户银行出具的资信证明（如提供资信证明，须同时提供基本存款账户开户许可证或基本账户信息表）或财政部门认可的政府采购专业担保机构出具的投标担保函（以上三种形式的资料提供任何一种即可）。 注：根据“【财办2022】32号”的规定，2022年后出具的审计报告须在注册会计师行业统一监管平台http://acc.mof.gov.cn/qrcapp/search.htmltimestamp=1709602157914)进行自动赋码验证，未赋码的视为审计报告无效。供应商须提供“注册会计师行业统一监管平台”审计报告查验结果截图。 3、有依法缴纳税收的良好记录：提供响应文件递交截止之日近一年内任意时段的缴纳证明，依法免税或无须缴纳税收的供应商，应提供相应证明文件； 4、有依法缴纳社会保障资金的良好记录：提供响应文件递交截止之日近一年内任意时段的缴纳证明，依法不需要缴纳社会保障资金的应提供相关文件证明。 5、①提供参加政府采购活动前3年内在经营活动中没有重大违法记录的书面声明；②提供具有履行本合同所必需的设备和专业技术能力的声明。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竞争性磋商的，须提供法定代表人身份证明；法定代表人授权他人参加竞争性磋商的，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签章均符合竞争性磋商文件要求，且无遗漏</w:t>
            </w:r>
          </w:p>
        </w:tc>
        <w:tc>
          <w:tcPr>
            <w:tcW w:type="dxa" w:w="1661"/>
          </w:tcPr>
          <w:p>
            <w:pPr>
              <w:pStyle w:val="null3"/>
            </w:pPr>
            <w:r>
              <w:rPr>
                <w:rFonts w:ascii="仿宋_GB2312" w:hAnsi="仿宋_GB2312" w:cs="仿宋_GB2312" w:eastAsia="仿宋_GB2312"/>
              </w:rPr>
              <w:t>响应文件封面 技术规格响应偏离表.docx 供应商应提交的相关资格证明材料.docx 中小企业声明函 残疾人福利性单位声明函 标的清单 商务条款响应偏离表.docx 报价表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响应文件语言、计量单位、报价货币</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技术规格响应偏离表.docx 供应商应提交的相关资格证明材料.docx 中小企业声明函 残疾人福利性单位声明函 标的清单 商务条款响应偏离表.docx 报价表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中小企业要求</w:t>
            </w:r>
          </w:p>
        </w:tc>
        <w:tc>
          <w:tcPr>
            <w:tcW w:type="dxa" w:w="3322"/>
          </w:tcPr>
          <w:p>
            <w:pPr>
              <w:pStyle w:val="null3"/>
            </w:pPr>
            <w:r>
              <w:rPr>
                <w:rFonts w:ascii="仿宋_GB2312" w:hAnsi="仿宋_GB2312" w:cs="仿宋_GB2312" w:eastAsia="仿宋_GB2312"/>
              </w:rPr>
              <w:t>本项目专门面向中小企业，供应商须提供中小企业声明函加盖公章。</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完全响应竞争性磋商文件商务要求及合同实质性条款。</w:t>
            </w:r>
          </w:p>
        </w:tc>
        <w:tc>
          <w:tcPr>
            <w:tcW w:type="dxa" w:w="1661"/>
          </w:tcPr>
          <w:p>
            <w:pPr>
              <w:pStyle w:val="null3"/>
            </w:pPr>
            <w:r>
              <w:rPr>
                <w:rFonts w:ascii="仿宋_GB2312" w:hAnsi="仿宋_GB2312" w:cs="仿宋_GB2312" w:eastAsia="仿宋_GB2312"/>
              </w:rPr>
              <w:t>响应文件封面 标的清单 商务条款响应偏离表.docx 报价表 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技术规格响应</w:t>
            </w:r>
          </w:p>
        </w:tc>
        <w:tc>
          <w:tcPr>
            <w:tcW w:type="dxa" w:w="3322"/>
          </w:tcPr>
          <w:p>
            <w:pPr>
              <w:pStyle w:val="null3"/>
            </w:pPr>
            <w:r>
              <w:rPr>
                <w:rFonts w:ascii="仿宋_GB2312" w:hAnsi="仿宋_GB2312" w:cs="仿宋_GB2312" w:eastAsia="仿宋_GB2312"/>
              </w:rPr>
              <w:t>完全响应竞争性磋商文件服务要求</w:t>
            </w:r>
          </w:p>
        </w:tc>
        <w:tc>
          <w:tcPr>
            <w:tcW w:type="dxa" w:w="1661"/>
          </w:tcPr>
          <w:p>
            <w:pPr>
              <w:pStyle w:val="null3"/>
            </w:pPr>
            <w:r>
              <w:rPr>
                <w:rFonts w:ascii="仿宋_GB2312" w:hAnsi="仿宋_GB2312" w:cs="仿宋_GB2312" w:eastAsia="仿宋_GB2312"/>
              </w:rPr>
              <w:t>响应文件封面 技术规格响应偏离表.docx 标的清单 报价表 服务方案.docx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技术规格响应偏离表.docx 供应商应提交的相关资格证明材料.docx 中小企业声明函 残疾人福利性单位声明函 标的清单 商务条款响应偏离表.docx 报价表 响应函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 技术规格响应偏离表.docx 供应商应提交的相关资格证明材料.docx 中小企业声明函 残疾人福利性单位声明函 标的清单 商务条款响应偏离表.docx 报价表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一、评审内容： 供应商针对本项目采购需求中的内容，制定项目总体实施方案，包括①项目实施总体思路；②服务内容及目标；③故障诊断与修复方案（包括但不限于清单中所列设备的故障树分析、典型故障处置预案等内容）；④备件保障方案（包括但不限于备件库设置、物流响应及停产设备的备件可持续供应方案等内容）；⑤服务质量保障方案。 二、评审标准： 1、完整性：方案必须全面，对评审内容中的各项要求有详细描述； 2、可实施性：切合本项目实际情况，提出切实可行、合理的方案； 3、针对性：方案能够紧扣项目实际情况，内容科学合理。 三、赋分标准(满分19.5分) ①项目实施总体思路：每完全满足一个评审标准得1分，满分1.5分；方案内容有缺陷的不计分。 ②服务内容及目标：每完全满足一个评审标准得1分，满分3分；方案内容有缺陷的不计分。 ③故障诊断与修复方案：每完全满足一个评审标准得1.5分，满分4.5分；方案内容有缺陷的不计分。 ④备件保障方案：每完全满足一个评审标准得2分，满分6分； ⑤服务质量保障方案：每完全满足一个评审标准得1.5分，满分4.5分；</w:t>
            </w:r>
          </w:p>
        </w:tc>
        <w:tc>
          <w:tcPr>
            <w:tcW w:type="dxa" w:w="831"/>
          </w:tcPr>
          <w:p>
            <w:pPr>
              <w:pStyle w:val="null3"/>
              <w:jc w:val="right"/>
            </w:pPr>
            <w:r>
              <w:rPr>
                <w:rFonts w:ascii="仿宋_GB2312" w:hAnsi="仿宋_GB2312" w:cs="仿宋_GB2312" w:eastAsia="仿宋_GB2312"/>
              </w:rPr>
              <w:t>19.5000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设备维修能力证明</w:t>
            </w:r>
          </w:p>
        </w:tc>
        <w:tc>
          <w:tcPr>
            <w:tcW w:type="dxa" w:w="2492"/>
          </w:tcPr>
          <w:p>
            <w:pPr>
              <w:pStyle w:val="null3"/>
            </w:pPr>
            <w:r>
              <w:rPr>
                <w:rFonts w:ascii="仿宋_GB2312" w:hAnsi="仿宋_GB2312" w:cs="仿宋_GB2312" w:eastAsia="仿宋_GB2312"/>
              </w:rPr>
              <w:t>①提供维保清单中相应种类的包含但不限于仪器维修、安装、培训等内容的工程师培训证书或证明材料，每提供一类得1.5分，最高得4.5分； ②提供近3年同类型设备维修工单或维修报告（内容详实，可隐去业主信息），每类2分，最高6分。 ③供应商在维保服务中拟投入使用的设备应包括但不限于万用表、辐射测量仪、温湿度数据采集仪等。供应商自有校准设备中，每有一类设备具有相关检定机构出具的检定证书或校准证书的，得1.5分，最高得4.5分。 注：以响应文件中证明材料加盖公章为准。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一、评审内容：供应商提供拟投入本项目团队配置方案，方案应包括但不限于：①拟派人员清单及人员简历(不少于2人)；②拟派人员分工及岗位职责；③人员排班及考勤管理制度；④周末及节假日人员保障方案。 二、评审标准： 1、完整性：方案必须全面，对评审内容中的各项要求有详细描述； 2、可实施性：切合本项目实际情况，提出切实可行、合理的方案； 3、针对性：方案能够紧扣项目实际情况，内容科学合理。 三、赋分标准： ①拟派人员清单及人员简历(不少于2人)：每完全满足一个评审标准得0.5分，满分1.5分；方案内容有缺陷的不计分。 ②拟派人员分工及岗位职责：每完全满足一个评审标准得0.5分，满分1.5分；方案内容有缺陷的不计分。 ③人员排班及考勤管理制度：每完全满足一个评审标准得0.5分，满分1.5分；方案内容有缺陷的不计分。 ④周末及节假日人员保障方案：每完全满足一个评审标准得0.5分，满分1.5分；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①技术负责人具备相关专业（包含但不限于环境、化学、生物类）学历得1分；以供应商提供相关证明材料加盖公章为准，未提供不计分。 ②具备相关专业（仪器仪表类、设备工程类、计量类等）职称；中级职称得1分；高级及以上职称（含研究员、教授）得2分）。 注：以供应商提供相关证明资料加盖公章为准，未提供不计分。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承诺2小时内响应、24小时内到场7分；4小时内响应、48小时内到场得分4分；其他得1分。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配件供应能力</w:t>
            </w:r>
          </w:p>
        </w:tc>
        <w:tc>
          <w:tcPr>
            <w:tcW w:type="dxa" w:w="2492"/>
          </w:tcPr>
          <w:p>
            <w:pPr>
              <w:pStyle w:val="null3"/>
            </w:pPr>
            <w:r>
              <w:rPr>
                <w:rFonts w:ascii="仿宋_GB2312" w:hAnsi="仿宋_GB2312" w:cs="仿宋_GB2312" w:eastAsia="仿宋_GB2312"/>
              </w:rPr>
              <w:t>提供主要设备原厂配件供应承诺函得5分；无则不得分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提供2023年1月1日至今（以合同签订时间为准）实验室分析设备维保类业绩，每提供1个计4分，满分16分。 以供应商提供合同扫描件加盖公章为准。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根据本项目采购需求中的内容，制定培训计划，内容包含：①操作培训；②日常维护培训。 二、评审标准： ①完整性：方案必须完整，全面； ②可实施性：切合本项目实际情况，提出切实可行、合理的方案； ③针对性：方案能够紧扣项目实际情况，内容科学合理。 三、赋分标准(满分6分) ①操作培训：每满足一个评审标准得1分，满分3分； ②日常维护培训：每满足一个评审标准得1分，满分3分；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根据本项目采购需求中的内容，针对设备突发故障制定应急预案，内容包含：①应急准备；②应急人员安排；③监测与预警；④应急处理与总结改进。 二、评审标准： ①完整性：方案必须全面，对评审内容中的各项要求有详细描述； ②可实施性：切合本项目实际情况，提出切实可行、合理的方案； ③针对性：方案能够紧扣项目实际情况，内容科学合理。 三、赋分标准(满分6分) ①应急准备：每满足一个评审标准得0.5分，满分1.5分； ②应急人数及人员安排：每满足一个评审标准得0.5分，满分1.5分； ③监测与预警：每满足一个评审标准得1分，满分3分； ④应急处理与总结改进：每满足一个评审标准得0.5分，满分1.5分。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1.经初审合格的响应文件，其响应报价为有效响应报价。 2.满足竞争性磋商文件实质性要求且最终响应报价最低的供应商的价格基准价，其价格分为满分15分。 3.投标报价得分=(基准价÷投标报价)×15。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