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50648">
      <w:pPr>
        <w:jc w:val="center"/>
        <w:rPr>
          <w:color w:val="000000" w:themeColor="text1"/>
          <w:highlight w:val="none"/>
          <w14:textFill>
            <w14:solidFill>
              <w14:schemeClr w14:val="tx1"/>
            </w14:solidFill>
          </w14:textFill>
        </w:rPr>
      </w:pPr>
      <w:bookmarkStart w:id="0"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4C2C89A1">
      <w:pPr>
        <w:pStyle w:val="2"/>
        <w:spacing w:line="360" w:lineRule="auto"/>
        <w:jc w:val="both"/>
        <w:rPr>
          <w:rFonts w:ascii="黑体" w:eastAsia="黑体"/>
          <w:color w:val="000000" w:themeColor="text1"/>
          <w:sz w:val="44"/>
          <w:szCs w:val="44"/>
          <w:highlight w:val="none"/>
          <w14:textFill>
            <w14:solidFill>
              <w14:schemeClr w14:val="tx1"/>
            </w14:solidFill>
          </w14:textFill>
        </w:rPr>
      </w:pPr>
    </w:p>
    <w:p w14:paraId="0900D5BF">
      <w:pPr>
        <w:rPr>
          <w:rFonts w:hint="eastAsia" w:ascii="仿宋" w:hAnsi="仿宋" w:eastAsia="仿宋" w:cs="仿宋"/>
          <w:color w:val="000000" w:themeColor="text1"/>
          <w:sz w:val="44"/>
          <w:szCs w:val="44"/>
          <w:highlight w:val="none"/>
          <w14:textFill>
            <w14:solidFill>
              <w14:schemeClr w14:val="tx1"/>
            </w14:solidFill>
          </w14:textFill>
        </w:rPr>
      </w:pPr>
    </w:p>
    <w:p w14:paraId="61FFDF99">
      <w:pPr>
        <w:pageBreakBefore w:val="0"/>
        <w:kinsoku/>
        <w:wordWrap/>
        <w:overflowPunct/>
        <w:topLinePunct w:val="0"/>
        <w:bidi w:val="0"/>
        <w:spacing w:line="324" w:lineRule="auto"/>
        <w:ind w:left="420" w:leftChars="200"/>
        <w:textAlignment w:val="auto"/>
        <w:rPr>
          <w:rFonts w:hint="eastAsia" w:ascii="仿宋" w:hAnsi="仿宋" w:eastAsia="仿宋" w:cs="仿宋"/>
          <w:i/>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i/>
          <w:iCs/>
          <w:color w:val="000000" w:themeColor="text1"/>
          <w:sz w:val="21"/>
          <w:szCs w:val="21"/>
          <w:highlight w:val="none"/>
          <w14:textFill>
            <w14:solidFill>
              <w14:schemeClr w14:val="tx1"/>
            </w14:solidFill>
          </w14:textFill>
        </w:rPr>
        <w:t>（分包项目须填写完整的分包号及分包名称）</w:t>
      </w:r>
    </w:p>
    <w:p w14:paraId="7F7FB719">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637A6C6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995830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38AFA93C">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乙方（中标人）：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160C143">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3C5D925">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30A6ABD9">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02152A20">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0A71B420">
      <w:pPr>
        <w:pageBreakBefore w:val="0"/>
        <w:kinsoku/>
        <w:wordWrap/>
        <w:overflowPunct/>
        <w:topLinePunct w:val="0"/>
        <w:bidi w:val="0"/>
        <w:spacing w:line="324" w:lineRule="auto"/>
        <w:ind w:left="420" w:leftChars="200"/>
        <w:jc w:val="center"/>
        <w:textAlignment w:val="auto"/>
        <w:rPr>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single"/>
          <w14:textFill>
            <w14:solidFill>
              <w14:schemeClr w14:val="tx1"/>
            </w14:solidFill>
          </w14:textFill>
        </w:rPr>
        <w:br w:type="page"/>
      </w:r>
      <w:r>
        <w:rPr>
          <w:rFonts w:hint="eastAsia"/>
          <w:b/>
          <w:color w:val="000000" w:themeColor="text1"/>
          <w:sz w:val="21"/>
          <w:szCs w:val="21"/>
          <w:highlight w:val="none"/>
          <w14:textFill>
            <w14:solidFill>
              <w14:schemeClr w14:val="tx1"/>
            </w14:solidFill>
          </w14:textFill>
        </w:rPr>
        <w:t>使 用 说 明</w:t>
      </w:r>
    </w:p>
    <w:p w14:paraId="757A22A9">
      <w:pPr>
        <w:pStyle w:val="3"/>
        <w:rPr>
          <w:color w:val="000000" w:themeColor="text1"/>
          <w:highlight w:val="none"/>
          <w14:textFill>
            <w14:solidFill>
              <w14:schemeClr w14:val="tx1"/>
            </w14:solidFill>
          </w14:textFill>
        </w:rPr>
      </w:pPr>
    </w:p>
    <w:p w14:paraId="28EE84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1.本合同标准文本适用于购买现成货物的采购项目，不包括需要供应商定制开发、创新研发的货物采购项目。</w:t>
      </w:r>
    </w:p>
    <w:p w14:paraId="5BCBAE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2.本合同标准文本为政府采购货物买卖合同编制提供参考，可以结合采购项目具体情况，对文本作必要的调整修订后使用。</w:t>
      </w:r>
    </w:p>
    <w:p w14:paraId="458DF4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0E8E6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4C48F546">
      <w:pP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br w:type="page"/>
      </w:r>
    </w:p>
    <w:p w14:paraId="7420EE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第一节 政府采购合同协议书</w:t>
      </w:r>
    </w:p>
    <w:p w14:paraId="40767D7E">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甲甲方（全称）：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（采购人</w:t>
      </w:r>
      <w:r>
        <w:rPr>
          <w:rFonts w:hint="eastAsia" w:ascii="仿宋" w:hAnsi="仿宋" w:eastAsia="仿宋" w:cs="仿宋"/>
          <w:color w:val="000000" w:themeColor="text1"/>
          <w:sz w:val="21"/>
          <w:szCs w:val="21"/>
          <w:highlight w:val="none"/>
          <w:lang w:eastAsia="zh-CN"/>
          <w14:textFill>
            <w14:solidFill>
              <w14:schemeClr w14:val="tx1"/>
            </w14:solidFill>
          </w14:textFill>
        </w:rPr>
        <w:t>、受采购人委托签订合同的单位</w:t>
      </w:r>
      <w:r>
        <w:rPr>
          <w:rFonts w:hint="eastAsia" w:ascii="仿宋" w:hAnsi="仿宋" w:eastAsia="仿宋" w:cs="仿宋"/>
          <w:color w:val="000000" w:themeColor="text1"/>
          <w:sz w:val="21"/>
          <w:szCs w:val="21"/>
          <w:highlight w:val="none"/>
          <w14:textFill>
            <w14:solidFill>
              <w14:schemeClr w14:val="tx1"/>
            </w14:solidFill>
          </w14:textFill>
        </w:rPr>
        <w:t>或采购文件约定的合同甲方）</w:t>
      </w:r>
    </w:p>
    <w:p w14:paraId="6E298B90">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成交供应商</w:t>
      </w:r>
      <w:r>
        <w:rPr>
          <w:rFonts w:hint="eastAsia" w:ascii="仿宋" w:hAnsi="仿宋" w:eastAsia="仿宋" w:cs="仿宋"/>
          <w:color w:val="000000" w:themeColor="text1"/>
          <w:sz w:val="21"/>
          <w:szCs w:val="21"/>
          <w:highlight w:val="none"/>
          <w14:textFill>
            <w14:solidFill>
              <w14:schemeClr w14:val="tx1"/>
            </w14:solidFill>
          </w14:textFill>
        </w:rPr>
        <w:t>）</w:t>
      </w:r>
    </w:p>
    <w:p w14:paraId="1DE85A63">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依据《中华人民共和国民法典</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中华人民共和国政府采购法》等有关的法律法规，以及</w:t>
      </w:r>
      <w:r>
        <w:rPr>
          <w:rFonts w:hint="eastAsia" w:ascii="仿宋" w:hAnsi="仿宋" w:eastAsia="仿宋" w:cs="仿宋"/>
          <w:i w:val="0"/>
          <w:iCs w:val="0"/>
          <w:color w:val="000000" w:themeColor="text1"/>
          <w:sz w:val="21"/>
          <w:szCs w:val="21"/>
          <w:highlight w:val="none"/>
          <w:u w:val="none"/>
          <w:lang w:eastAsia="zh-CN"/>
          <w14:textFill>
            <w14:solidFill>
              <w14:schemeClr w14:val="tx1"/>
            </w14:solidFill>
          </w14:textFill>
        </w:rPr>
        <w:t>本采购项目</w:t>
      </w:r>
      <w:r>
        <w:rPr>
          <w:rFonts w:hint="eastAsia" w:ascii="仿宋" w:hAnsi="仿宋" w:eastAsia="仿宋" w:cs="仿宋"/>
          <w:color w:val="000000" w:themeColor="text1"/>
          <w:sz w:val="21"/>
          <w:szCs w:val="21"/>
          <w:highlight w:val="none"/>
          <w14:textFill>
            <w14:solidFill>
              <w14:schemeClr w14:val="tx1"/>
            </w14:solidFill>
          </w14:textFill>
        </w:rPr>
        <w:t>的采购文件</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乙方的《</w:t>
      </w:r>
      <w:r>
        <w:rPr>
          <w:rFonts w:hint="eastAsia" w:ascii="仿宋" w:hAnsi="仿宋" w:eastAsia="仿宋" w:cs="仿宋"/>
          <w:color w:val="000000" w:themeColor="text1"/>
          <w:sz w:val="21"/>
          <w:szCs w:val="21"/>
          <w:highlight w:val="none"/>
          <w:lang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 xml:space="preserve">》及《中标通知书》，甲乙双方同意签订本合同。具体情况及要求如下：     </w:t>
      </w:r>
    </w:p>
    <w:p w14:paraId="1F4E8FAC">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1.</w:t>
      </w:r>
      <w:r>
        <w:rPr>
          <w:rFonts w:hint="eastAsia" w:ascii="仿宋" w:hAnsi="仿宋" w:eastAsia="仿宋" w:cs="仿宋"/>
          <w:b/>
          <w:color w:val="000000" w:themeColor="text1"/>
          <w:sz w:val="21"/>
          <w:szCs w:val="21"/>
          <w:highlight w:val="none"/>
          <w14:textFill>
            <w14:solidFill>
              <w14:schemeClr w14:val="tx1"/>
            </w14:solidFill>
          </w14:textFill>
        </w:rPr>
        <w:t>项目信息</w:t>
      </w:r>
    </w:p>
    <w:p w14:paraId="3D7600E6">
      <w:pPr>
        <w:pStyle w:val="4"/>
        <w:keepNext w:val="0"/>
        <w:keepLines w:val="0"/>
        <w:pageBreakBefore w:val="0"/>
        <w:numPr>
          <w:ilvl w:val="0"/>
          <w:numId w:val="1"/>
        </w:numPr>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394219CE">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76EC3F59">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（2）采购计划编号：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060BD4B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（3）项目内容：</w:t>
      </w:r>
    </w:p>
    <w:p w14:paraId="4ADBCBAA">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采购标的及</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数量</w:t>
      </w:r>
      <w:r>
        <w:rPr>
          <w:rFonts w:hint="eastAsia" w:ascii="仿宋" w:hAnsi="仿宋" w:eastAsia="仿宋" w:cs="仿宋"/>
          <w:color w:val="000000" w:themeColor="text1"/>
          <w:sz w:val="21"/>
          <w:szCs w:val="21"/>
          <w:highlight w:val="none"/>
          <w:lang w:val="en-US" w:eastAsia="zh-CN"/>
          <w14:textFill>
            <w14:solidFill>
              <w14:schemeClr w14:val="tx1"/>
            </w14:solidFill>
          </w14:textFill>
        </w:rPr>
        <w:t>（台/套</w:t>
      </w:r>
      <w:r>
        <w:rPr>
          <w:rFonts w:hint="eastAsia" w:ascii="仿宋" w:hAnsi="仿宋" w:eastAsia="仿宋" w:cs="仿宋"/>
          <w:color w:val="000000" w:themeColor="text1"/>
          <w:sz w:val="21"/>
          <w:szCs w:val="21"/>
          <w:highlight w:val="none"/>
          <w:lang w:val="en" w:eastAsia="zh-CN"/>
          <w14:textFill>
            <w14:solidFill>
              <w14:schemeClr w14:val="tx1"/>
            </w14:solidFill>
          </w14:textFill>
        </w:rPr>
        <w:t>/个/架/组等</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46858D98">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p>
    <w:p w14:paraId="5A66A640">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采购标的的技术要求、商务要求具体见附件。</w:t>
      </w:r>
    </w:p>
    <w:p w14:paraId="735DA4C2">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①涉及信息类产品，请填写该产品关键部件的品牌、型号：</w:t>
      </w:r>
    </w:p>
    <w:p w14:paraId="1273FCB8">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标的名称：</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p>
    <w:p w14:paraId="4B391D44">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070C747B">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456A71B7">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4997BE2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（注：关键部件是指财政部会同有关部门发布的政府采购需求标准规定的需要通过国家有关部门指定的测评机构开展的安全可靠测评的软硬件，如CPU芯片、操作系统、数据库等。）</w:t>
      </w:r>
    </w:p>
    <w:p w14:paraId="23790B70">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②涉及车辆采购，请填写是否属于新能源汽车：</w:t>
      </w:r>
    </w:p>
    <w:p w14:paraId="425C4EE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w:t>
      </w:r>
      <w:r>
        <w:rPr>
          <w:rFonts w:hint="eastAsia" w:ascii="仿宋" w:hAnsi="仿宋" w:eastAsia="仿宋" w:cs="仿宋"/>
          <w:color w:val="000000" w:themeColor="text1"/>
          <w:sz w:val="21"/>
          <w:szCs w:val="21"/>
          <w:highlight w:val="none"/>
          <w:lang w:val="en-US" w:eastAsia="zh-CN"/>
          <w14:textFill>
            <w14:solidFill>
              <w14:schemeClr w14:val="tx1"/>
            </w14:solidFill>
          </w14:textFill>
        </w:rPr>
        <w:t>分类</w:t>
      </w:r>
      <w:r>
        <w:rPr>
          <w:rFonts w:hint="eastAsia" w:ascii="仿宋" w:hAnsi="仿宋" w:eastAsia="仿宋" w:cs="仿宋"/>
          <w:iCs w:val="0"/>
          <w:color w:val="000000" w:themeColor="text1"/>
          <w:sz w:val="21"/>
          <w:szCs w:val="21"/>
          <w:highlight w:val="none"/>
          <w:lang w:eastAsia="zh-CN"/>
          <w14:textFill>
            <w14:solidFill>
              <w14:schemeClr w14:val="tx1"/>
            </w14:solidFill>
          </w14:textFill>
        </w:rPr>
        <w:t>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数量：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p>
    <w:p w14:paraId="4E3F44C2">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03075B5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4</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）政府采购组织形式：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政府集中采购</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部门集中采购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分散采购</w:t>
      </w:r>
    </w:p>
    <w:p w14:paraId="25B1211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5</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）政府采购方式：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公开招标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邀请招标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竞争性谈判</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竞争性磋商</w:t>
      </w:r>
    </w:p>
    <w:p w14:paraId="0350637D">
      <w:pPr>
        <w:pStyle w:val="8"/>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询价</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单一来源</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框架协议</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其他：</w:t>
      </w:r>
      <w:r>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t xml:space="preserve">          </w:t>
      </w:r>
    </w:p>
    <w:p w14:paraId="23AF32DC">
      <w:pPr>
        <w:pStyle w:val="8"/>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u w:val="none"/>
          <w:lang w:val="en-US" w:eastAsia="zh-CN"/>
          <w14:textFill>
            <w14:solidFill>
              <w14:schemeClr w14:val="tx1"/>
            </w14:solidFill>
          </w14:textFill>
        </w:rPr>
        <w:t>（注：在框架协议采购的第二阶段，可选择使用该合同文本）</w:t>
      </w:r>
    </w:p>
    <w:p w14:paraId="2AA47FE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6</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中标(成交)采购标的制造商是否为中小企业：</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 xml:space="preserve">是      </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否</w:t>
      </w:r>
    </w:p>
    <w:p w14:paraId="294A0AF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w w:val="100"/>
          <w:sz w:val="21"/>
          <w:szCs w:val="21"/>
          <w:highlight w:val="none"/>
          <w:lang w:val="en-US" w:eastAsia="zh-CN"/>
          <w14:textFill>
            <w14:solidFill>
              <w14:schemeClr w14:val="tx1"/>
            </w14:solidFill>
          </w14:textFill>
        </w:rPr>
        <w:t>本合同</w:t>
      </w:r>
      <w:r>
        <w:rPr>
          <w:rFonts w:hint="eastAsia" w:ascii="仿宋" w:hAnsi="仿宋" w:eastAsia="仿宋" w:cs="仿宋"/>
          <w:color w:val="000000" w:themeColor="text1"/>
          <w:w w:val="100"/>
          <w:sz w:val="21"/>
          <w:szCs w:val="21"/>
          <w:highlight w:val="none"/>
          <w14:textFill>
            <w14:solidFill>
              <w14:schemeClr w14:val="tx1"/>
            </w14:solidFill>
          </w14:textFill>
        </w:rPr>
        <w:t>是否</w:t>
      </w:r>
      <w:r>
        <w:rPr>
          <w:rFonts w:hint="eastAsia" w:ascii="仿宋" w:hAnsi="仿宋" w:eastAsia="仿宋" w:cs="仿宋"/>
          <w:color w:val="000000" w:themeColor="text1"/>
          <w:w w:val="100"/>
          <w:sz w:val="21"/>
          <w:szCs w:val="21"/>
          <w:highlight w:val="none"/>
          <w:lang w:eastAsia="zh-CN"/>
          <w14:textFill>
            <w14:solidFill>
              <w14:schemeClr w14:val="tx1"/>
            </w14:solidFill>
          </w14:textFill>
        </w:rPr>
        <w:t>为专门面向</w:t>
      </w:r>
      <w:r>
        <w:rPr>
          <w:rFonts w:hint="eastAsia" w:ascii="仿宋" w:hAnsi="仿宋" w:eastAsia="仿宋" w:cs="仿宋"/>
          <w:color w:val="000000" w:themeColor="text1"/>
          <w:w w:val="100"/>
          <w:sz w:val="21"/>
          <w:szCs w:val="21"/>
          <w:highlight w:val="none"/>
          <w14:textFill>
            <w14:solidFill>
              <w14:schemeClr w14:val="tx1"/>
            </w14:solidFill>
          </w14:textFill>
        </w:rPr>
        <w:t>中小企业</w:t>
      </w:r>
      <w:r>
        <w:rPr>
          <w:rFonts w:hint="eastAsia" w:ascii="仿宋" w:hAnsi="仿宋" w:eastAsia="仿宋" w:cs="仿宋"/>
          <w:color w:val="000000" w:themeColor="text1"/>
          <w:w w:val="100"/>
          <w:sz w:val="21"/>
          <w:szCs w:val="21"/>
          <w:highlight w:val="none"/>
          <w:lang w:eastAsia="zh-CN"/>
          <w14:textFill>
            <w14:solidFill>
              <w14:schemeClr w14:val="tx1"/>
            </w14:solidFill>
          </w14:textFill>
        </w:rPr>
        <w:t>的采</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购</w:t>
      </w:r>
      <w:r>
        <w:rPr>
          <w:rFonts w:hint="eastAsia" w:ascii="仿宋" w:hAnsi="仿宋" w:eastAsia="仿宋" w:cs="仿宋"/>
          <w:color w:val="000000" w:themeColor="text1"/>
          <w:w w:val="100"/>
          <w:sz w:val="21"/>
          <w:szCs w:val="21"/>
          <w:highlight w:val="none"/>
          <w:shd w:val="clear" w:color="auto" w:fill="auto"/>
          <w14:textFill>
            <w14:solidFill>
              <w14:schemeClr w14:val="tx1"/>
            </w14:solidFill>
          </w14:textFill>
        </w:rPr>
        <w:t>合同</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（中小企业预留合同）</w:t>
      </w:r>
      <w:r>
        <w:rPr>
          <w:rFonts w:hint="eastAsia" w:ascii="仿宋" w:hAnsi="仿宋" w:eastAsia="仿宋" w:cs="仿宋"/>
          <w:color w:val="000000" w:themeColor="text1"/>
          <w:sz w:val="21"/>
          <w:szCs w:val="21"/>
          <w:highlight w:val="none"/>
          <w:shd w:val="clear" w:color="auto" w:fill="auto"/>
          <w14:textFill>
            <w14:solidFill>
              <w14:schemeClr w14:val="tx1"/>
            </w14:solidFill>
          </w14:textFill>
        </w:rPr>
        <w:t>：</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7D45E7C1">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若本项目不专门面向中小企业采购，是否给予小微企业评审优惠：</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A37F521">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中标(成交)采购标的制造商是否为残疾人福利性单位：</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是   </w:t>
      </w:r>
      <w:r>
        <w:rPr>
          <w:rFonts w:hint="eastAsia" w:ascii="仿宋" w:hAnsi="仿宋" w:eastAsia="仿宋" w:cs="仿宋"/>
          <w:color w:val="000000" w:themeColor="text1"/>
          <w:sz w:val="21"/>
          <w:szCs w:val="21"/>
          <w:highlight w:val="none"/>
          <w:lang w:val="en-US" w:eastAsia="zh-CN"/>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119D8D38">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中标(成交)采购标的制造商是否为监狱企业：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465F449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）合同是否分包：</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7F7BCA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分包主要内容：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EC8195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w:t>
      </w:r>
      <w:r>
        <w:rPr>
          <w:rFonts w:hint="eastAsia" w:ascii="仿宋" w:hAnsi="仿宋" w:eastAsia="仿宋" w:cs="仿宋"/>
          <w:color w:val="000000" w:themeColor="text1"/>
          <w:sz w:val="21"/>
          <w:szCs w:val="21"/>
          <w:highlight w:val="none"/>
          <w:lang w:val="en-US" w:eastAsia="zh-CN"/>
          <w14:textFill>
            <w14:solidFill>
              <w14:schemeClr w14:val="tx1"/>
            </w14:solidFill>
          </w14:textFill>
        </w:rPr>
        <w:t>供应商</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名称</w:t>
      </w:r>
      <w:r>
        <w:rPr>
          <w:rFonts w:hint="eastAsia" w:ascii="仿宋" w:hAnsi="仿宋" w:eastAsia="仿宋" w:cs="仿宋"/>
          <w:color w:val="000000" w:themeColor="text1"/>
          <w:sz w:val="21"/>
          <w:szCs w:val="21"/>
          <w:highlight w:val="none"/>
          <w:lang w:eastAsia="zh-CN"/>
          <w14:textFill>
            <w14:solidFill>
              <w14:schemeClr w14:val="tx1"/>
            </w14:solidFill>
          </w14:textFill>
        </w:rPr>
        <w:t>（如供应商和制造商不同，请分别填写）</w:t>
      </w:r>
      <w:r>
        <w:rPr>
          <w:rFonts w:hint="eastAsia" w:ascii="仿宋" w:hAnsi="仿宋" w:eastAsia="仿宋" w:cs="仿宋"/>
          <w:color w:val="000000" w:themeColor="text1"/>
          <w:sz w:val="21"/>
          <w:szCs w:val="21"/>
          <w:highlight w:val="none"/>
          <w14:textFill>
            <w14:solidFill>
              <w14:schemeClr w14:val="tx1"/>
            </w14:solidFill>
          </w14:textFill>
        </w:rPr>
        <w:t>：</w:t>
      </w:r>
    </w:p>
    <w:p w14:paraId="4FC9AC0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74FDAFD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分包供应商</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类型</w:t>
      </w:r>
      <w:r>
        <w:rPr>
          <w:rFonts w:hint="eastAsia" w:ascii="仿宋" w:hAnsi="仿宋" w:eastAsia="仿宋" w:cs="仿宋"/>
          <w:color w:val="000000" w:themeColor="text1"/>
          <w:sz w:val="21"/>
          <w:szCs w:val="21"/>
          <w:highlight w:val="none"/>
          <w:lang w:eastAsia="zh-CN"/>
          <w14:textFill>
            <w14:solidFill>
              <w14:schemeClr w14:val="tx1"/>
            </w14:solidFill>
          </w14:textFill>
        </w:rPr>
        <w:t>（如果供应商和制造商不同，只填写制造商类型）</w:t>
      </w:r>
      <w:r>
        <w:rPr>
          <w:rFonts w:hint="eastAsia" w:ascii="仿宋" w:hAnsi="仿宋" w:eastAsia="仿宋" w:cs="仿宋"/>
          <w:color w:val="000000" w:themeColor="text1"/>
          <w:sz w:val="21"/>
          <w:szCs w:val="21"/>
          <w:highlight w:val="none"/>
          <w14:textFill>
            <w14:solidFill>
              <w14:schemeClr w14:val="tx1"/>
            </w14:solidFill>
          </w14:textFill>
        </w:rPr>
        <w:t>：</w:t>
      </w:r>
    </w:p>
    <w:p w14:paraId="0FD5AE7C">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大型企业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中型企业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小微型企业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22F55EF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残疾人福利性单位</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监狱</w:t>
      </w:r>
      <w:r>
        <w:rPr>
          <w:rFonts w:hint="eastAsia" w:ascii="仿宋" w:hAnsi="仿宋" w:eastAsia="仿宋" w:cs="仿宋"/>
          <w:iCs/>
          <w:color w:val="000000" w:themeColor="text1"/>
          <w:sz w:val="21"/>
          <w:szCs w:val="21"/>
          <w:highlight w:val="none"/>
          <w14:textFill>
            <w14:solidFill>
              <w14:schemeClr w14:val="tx1"/>
            </w14:solidFill>
          </w14:textFill>
        </w:rPr>
        <w:t>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p>
    <w:p w14:paraId="769FD7F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8</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）中标(成交)供应商是否为外商投资企业：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400558C3">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外商投资企业类型：</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全部由外国投资者投资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val="en-US" w:eastAsia="zh-CN"/>
          <w14:textFill>
            <w14:solidFill>
              <w14:schemeClr w14:val="tx1"/>
            </w14:solidFill>
          </w14:textFill>
        </w:rPr>
        <w:t>部分由外国投资者投资</w:t>
      </w:r>
    </w:p>
    <w:p w14:paraId="79826684">
      <w:pPr>
        <w:keepNext w:val="0"/>
        <w:keepLines w:val="0"/>
        <w:pageBreakBefore w:val="0"/>
        <w:numPr>
          <w:ilvl w:val="0"/>
          <w:numId w:val="0"/>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9</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）是否涉及进口产品：</w:t>
      </w:r>
    </w:p>
    <w:p w14:paraId="5F990772">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，《政府采购品目分类目录》底级品目名称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0FF04BC3">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国别：</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t xml:space="preserve">      </w:t>
      </w:r>
    </w:p>
    <w:p w14:paraId="25135C34">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4DE1722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（1</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0</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是否</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涉及节能产品：</w:t>
      </w:r>
    </w:p>
    <w:p w14:paraId="497D0ED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，《节能产品政府采购品目清单》的底级品目名称：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654F63B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6D9830A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0998E98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是否涉及环境标志产品：</w:t>
      </w:r>
    </w:p>
    <w:p w14:paraId="5BEDF46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w:t>
      </w:r>
      <w:r>
        <w:rPr>
          <w:rFonts w:hint="eastAsia" w:ascii="仿宋" w:hAnsi="仿宋" w:eastAsia="仿宋" w:cs="仿宋"/>
          <w:iCs/>
          <w:color w:val="000000" w:themeColor="text1"/>
          <w:sz w:val="21"/>
          <w:szCs w:val="21"/>
          <w:highlight w:val="none"/>
          <w:lang w:eastAsia="zh-CN"/>
          <w14:textFill>
            <w14:solidFill>
              <w14:schemeClr w14:val="tx1"/>
            </w14:solidFill>
          </w14:textFill>
        </w:rPr>
        <w:t>环境</w:t>
      </w:r>
      <w:r>
        <w:rPr>
          <w:rFonts w:hint="eastAsia" w:ascii="仿宋" w:hAnsi="仿宋" w:eastAsia="仿宋" w:cs="仿宋"/>
          <w:iCs w:val="0"/>
          <w:color w:val="000000" w:themeColor="text1"/>
          <w:sz w:val="21"/>
          <w:szCs w:val="21"/>
          <w:highlight w:val="none"/>
          <w:lang w:eastAsia="zh-CN"/>
          <w14:textFill>
            <w14:solidFill>
              <w14:schemeClr w14:val="tx1"/>
            </w14:solidFill>
          </w14:textFill>
        </w:rPr>
        <w:t>标志产品政府采购品目清单》的底级品目名称：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21E6FD6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6556DBBD">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0BABBE2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kern w:val="2"/>
          <w:sz w:val="21"/>
          <w:szCs w:val="21"/>
          <w:highlight w:val="none"/>
          <w:u w:val="none"/>
          <w:lang w:val="en-US" w:eastAsia="zh-CN"/>
          <w14:textFill>
            <w14:solidFill>
              <w14:schemeClr w14:val="tx1"/>
            </w14:solidFill>
          </w14:textFill>
        </w:rPr>
        <w:t>是否涉及绿色产品：</w:t>
      </w:r>
      <w:r>
        <w:rPr>
          <w:rFonts w:hint="eastAsia" w:ascii="仿宋" w:hAnsi="仿宋" w:eastAsia="仿宋" w:cs="仿宋"/>
          <w:iCs w:val="0"/>
          <w:color w:val="000000" w:themeColor="text1"/>
          <w:kern w:val="2"/>
          <w:sz w:val="21"/>
          <w:szCs w:val="21"/>
          <w:highlight w:val="none"/>
          <w:u w:val="none"/>
          <w:lang w:val="en-US" w:eastAsia="zh-CN"/>
          <w14:textFill>
            <w14:solidFill>
              <w14:schemeClr w14:val="tx1"/>
            </w14:solidFill>
          </w14:textFill>
        </w:rPr>
        <w:t xml:space="preserve"> </w:t>
      </w:r>
    </w:p>
    <w:p w14:paraId="5B8EBAC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是</w:t>
      </w:r>
      <w:r>
        <w:rPr>
          <w:rFonts w:hint="eastAsia" w:ascii="仿宋" w:hAnsi="仿宋" w:eastAsia="仿宋" w:cs="仿宋"/>
          <w:iCs w:val="0"/>
          <w:color w:val="000000" w:themeColor="text1"/>
          <w:kern w:val="2"/>
          <w:sz w:val="21"/>
          <w:szCs w:val="21"/>
          <w:highlight w:val="none"/>
          <w:u w:val="none"/>
          <w:lang w:eastAsia="zh-CN"/>
          <w14:textFill>
            <w14:solidFill>
              <w14:schemeClr w14:val="tx1"/>
            </w14:solidFill>
          </w14:textFill>
        </w:rPr>
        <w:t>，绿色产品政府采购相关政策确定的底级品目名称：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5C39B1C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4A78D3D4">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否</w:t>
      </w:r>
    </w:p>
    <w:p w14:paraId="534F9DC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lang w:val="en"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）涉及商品包装和</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快递</w:t>
      </w:r>
      <w:r>
        <w:rPr>
          <w:rFonts w:hint="eastAsia" w:ascii="仿宋" w:hAnsi="仿宋" w:eastAsia="仿宋" w:cs="仿宋"/>
          <w:color w:val="000000" w:themeColor="text1"/>
          <w:sz w:val="21"/>
          <w:szCs w:val="21"/>
          <w:highlight w:val="none"/>
          <w:lang w:val="en-US" w:eastAsia="zh-CN"/>
          <w14:textFill>
            <w14:solidFill>
              <w14:schemeClr w14:val="tx1"/>
            </w14:solidFill>
          </w14:textFill>
        </w:rPr>
        <w:t>包装的，是否参考</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快递包装政府采购需求标准（试行）》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明确产品及相关快递服务的具体包装要求：</w:t>
      </w:r>
    </w:p>
    <w:p w14:paraId="218083F4">
      <w:pPr>
        <w:keepNext w:val="0"/>
        <w:keepLines w:val="0"/>
        <w:pageBreakBefore w:val="0"/>
        <w:numPr>
          <w:ilvl w:val="0"/>
          <w:numId w:val="0"/>
        </w:numPr>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 xml:space="preserve">是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不涉及</w:t>
      </w:r>
    </w:p>
    <w:p w14:paraId="458523D1">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2.</w:t>
      </w:r>
      <w:r>
        <w:rPr>
          <w:rFonts w:hint="eastAsia" w:ascii="仿宋" w:hAnsi="仿宋" w:eastAsia="仿宋" w:cs="仿宋"/>
          <w:b/>
          <w:color w:val="000000" w:themeColor="text1"/>
          <w:sz w:val="21"/>
          <w:szCs w:val="21"/>
          <w:highlight w:val="none"/>
          <w14:textFill>
            <w14:solidFill>
              <w14:schemeClr w14:val="tx1"/>
            </w14:solidFill>
          </w14:textFill>
        </w:rPr>
        <w:t>合同金额</w:t>
      </w:r>
    </w:p>
    <w:p w14:paraId="48D9362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（1）合同金额小写：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76897E6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分包金额</w:t>
      </w:r>
      <w:r>
        <w:rPr>
          <w:rFonts w:hint="eastAsia" w:ascii="仿宋" w:hAnsi="仿宋" w:eastAsia="仿宋" w:cs="仿宋"/>
          <w:color w:val="000000" w:themeColor="text1"/>
          <w:sz w:val="21"/>
          <w:szCs w:val="21"/>
          <w:highlight w:val="none"/>
          <w:lang w:eastAsia="zh-CN"/>
          <w14:textFill>
            <w14:solidFill>
              <w14:schemeClr w14:val="tx1"/>
            </w14:solidFill>
          </w14:textFill>
        </w:rPr>
        <w:t>（如有）</w:t>
      </w:r>
      <w:r>
        <w:rPr>
          <w:rFonts w:hint="eastAsia" w:ascii="仿宋" w:hAnsi="仿宋" w:eastAsia="仿宋" w:cs="仿宋"/>
          <w:color w:val="000000" w:themeColor="text1"/>
          <w:sz w:val="21"/>
          <w:szCs w:val="21"/>
          <w:highlight w:val="none"/>
          <w14:textFill>
            <w14:solidFill>
              <w14:schemeClr w14:val="tx1"/>
            </w14:solidFill>
          </w14:textFill>
        </w:rPr>
        <w:t>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965E67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（注：固定单价合同应填写单价和最高限价）</w:t>
      </w:r>
    </w:p>
    <w:p w14:paraId="2C57D4B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合同</w:t>
      </w:r>
      <w:r>
        <w:rPr>
          <w:rFonts w:hint="eastAsia" w:ascii="仿宋" w:hAnsi="仿宋" w:eastAsia="仿宋" w:cs="仿宋"/>
          <w:color w:val="000000" w:themeColor="text1"/>
          <w:sz w:val="21"/>
          <w:szCs w:val="21"/>
          <w:highlight w:val="none"/>
          <w:lang w:val="en-US" w:eastAsia="zh-CN"/>
          <w14:textFill>
            <w14:solidFill>
              <w14:schemeClr w14:val="tx1"/>
            </w14:solidFill>
          </w14:textFill>
        </w:rPr>
        <w:t>定价</w:t>
      </w:r>
      <w:r>
        <w:rPr>
          <w:rFonts w:hint="eastAsia" w:ascii="仿宋" w:hAnsi="仿宋" w:eastAsia="仿宋" w:cs="仿宋"/>
          <w:color w:val="000000" w:themeColor="text1"/>
          <w:sz w:val="21"/>
          <w:szCs w:val="21"/>
          <w:highlight w:val="none"/>
          <w14:textFill>
            <w14:solidFill>
              <w14:schemeClr w14:val="tx1"/>
            </w14:solidFill>
          </w14:textFill>
        </w:rPr>
        <w:t>方式</w:t>
      </w:r>
      <w:r>
        <w:rPr>
          <w:rFonts w:hint="eastAsia" w:ascii="仿宋" w:hAnsi="仿宋" w:eastAsia="仿宋" w:cs="仿宋"/>
          <w:color w:val="000000" w:themeColor="text1"/>
          <w:sz w:val="21"/>
          <w:szCs w:val="21"/>
          <w:highlight w:val="none"/>
          <w:lang w:eastAsia="zh-CN"/>
          <w14:textFill>
            <w14:solidFill>
              <w14:schemeClr w14:val="tx1"/>
            </w14:solidFill>
          </w14:textFill>
        </w:rPr>
        <w:t>（采用组合定价方式的，可以勾选多项）</w:t>
      </w:r>
      <w:r>
        <w:rPr>
          <w:rFonts w:hint="eastAsia" w:ascii="仿宋" w:hAnsi="仿宋" w:eastAsia="仿宋" w:cs="仿宋"/>
          <w:color w:val="000000" w:themeColor="text1"/>
          <w:sz w:val="21"/>
          <w:szCs w:val="21"/>
          <w:highlight w:val="none"/>
          <w14:textFill>
            <w14:solidFill>
              <w14:schemeClr w14:val="tx1"/>
            </w14:solidFill>
          </w14:textFill>
        </w:rPr>
        <w:t>：</w:t>
      </w:r>
    </w:p>
    <w:p w14:paraId="038D4572">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固定总价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固定单价</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固定费率</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成本补偿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绩效激励</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001FA11">
      <w:pPr>
        <w:pStyle w:val="9"/>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）付款方式（按项目实际勾选填写）：</w:t>
      </w:r>
    </w:p>
    <w:p w14:paraId="4C91223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全额付款：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明确</w:t>
      </w:r>
      <w:r>
        <w:rPr>
          <w:rFonts w:hint="eastAsia" w:ascii="仿宋" w:hAnsi="仿宋" w:eastAsia="仿宋" w:cs="仿宋"/>
          <w:color w:val="000000" w:themeColor="text1"/>
          <w:sz w:val="21"/>
          <w:szCs w:val="21"/>
          <w:highlight w:val="none"/>
          <w:u w:val="single"/>
          <w14:textFill>
            <w14:solidFill>
              <w14:schemeClr w14:val="tx1"/>
            </w14:solidFill>
          </w14:textFill>
        </w:rPr>
        <w:t>一次性支付合同款项</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的条件</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ED9BA2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分期付款：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（应明确分期支付合同款项的各期比例和支付条件</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，各期支付条件应与分期履约验收情况挂钩</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其中涉及预付款的</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（应明确预付款的支付比例和支付条件） </w:t>
      </w:r>
    </w:p>
    <w:p w14:paraId="462C9AC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成本补偿：</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（应明确按照成本补偿方式的支付方式和支付条件）   </w:t>
      </w:r>
    </w:p>
    <w:p w14:paraId="058BA6F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绩效激励：</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（应明确按照绩效激励方式的支付方式和支付条件）   </w:t>
      </w:r>
    </w:p>
    <w:p w14:paraId="67F43A50">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bCs w:val="0"/>
          <w:color w:val="000000" w:themeColor="text1"/>
          <w:sz w:val="21"/>
          <w:szCs w:val="21"/>
          <w:highlight w:val="none"/>
          <w:u w:val="single"/>
          <w14:textFill>
            <w14:solidFill>
              <w14:schemeClr w14:val="tx1"/>
            </w14:solidFill>
          </w14:textFill>
        </w:rPr>
      </w:pPr>
      <w:r>
        <w:rPr>
          <w:rFonts w:hint="eastAsia" w:ascii="仿宋" w:hAnsi="仿宋" w:eastAsia="仿宋" w:cs="仿宋"/>
          <w:b/>
          <w:bCs w:val="0"/>
          <w:color w:val="000000" w:themeColor="text1"/>
          <w:sz w:val="21"/>
          <w:szCs w:val="21"/>
          <w:highlight w:val="none"/>
          <w:lang w:val="en-US" w:eastAsia="zh-CN"/>
          <w14:textFill>
            <w14:solidFill>
              <w14:schemeClr w14:val="tx1"/>
            </w14:solidFill>
          </w14:textFill>
        </w:rPr>
        <w:t>3.</w:t>
      </w:r>
      <w:r>
        <w:rPr>
          <w:rFonts w:hint="eastAsia" w:ascii="仿宋" w:hAnsi="仿宋" w:eastAsia="仿宋" w:cs="仿宋"/>
          <w:b/>
          <w:bCs w:val="0"/>
          <w:color w:val="000000" w:themeColor="text1"/>
          <w:sz w:val="21"/>
          <w:szCs w:val="21"/>
          <w:highlight w:val="none"/>
          <w14:textFill>
            <w14:solidFill>
              <w14:schemeClr w14:val="tx1"/>
            </w14:solidFill>
          </w14:textFill>
        </w:rPr>
        <w:t>合同履行</w:t>
      </w:r>
    </w:p>
    <w:p w14:paraId="7CD8411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（1）起始日期：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日，完成日期：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7FE7A052">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履约</w:t>
      </w: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b w:val="0"/>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7582F0E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（3）履约担保：</w:t>
      </w:r>
      <w:r>
        <w:rPr>
          <w:rFonts w:hint="eastAsia" w:ascii="仿宋" w:hAnsi="仿宋" w:eastAsia="仿宋" w:cs="仿宋"/>
          <w:color w:val="000000" w:themeColor="text1"/>
          <w:sz w:val="21"/>
          <w:szCs w:val="21"/>
          <w:highlight w:val="none"/>
          <w:lang w:val="en-US" w:eastAsia="zh-CN"/>
          <w14:textFill>
            <w14:solidFill>
              <w14:schemeClr w14:val="tx1"/>
            </w14:solidFill>
          </w14:textFill>
        </w:rPr>
        <w:t>是否收取履约保证金：</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是</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否</w:t>
      </w:r>
    </w:p>
    <w:p w14:paraId="5E9DD3E9">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收取履约保证金形式：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05BAE71C">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收取履约保证金金额：</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B7C6072">
      <w:pPr>
        <w:keepNext w:val="0"/>
        <w:keepLines w:val="0"/>
        <w:pageBreakBefore w:val="0"/>
        <w:kinsoku/>
        <w:wordWrap/>
        <w:overflowPunct/>
        <w:topLinePunct w:val="0"/>
        <w:bidi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履约担保期限</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10D806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（4）分期履行要求：</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19F9D6B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w:t>
      </w:r>
      <w:r>
        <w:rPr>
          <w:rFonts w:hint="eastAsia" w:ascii="仿宋" w:hAnsi="仿宋" w:eastAsia="仿宋" w:cs="仿宋"/>
          <w:bCs/>
          <w:color w:val="000000" w:themeColor="text1"/>
          <w:sz w:val="21"/>
          <w:szCs w:val="21"/>
          <w:highlight w:val="none"/>
          <w:lang w:eastAsia="zh-CN"/>
          <w14:textFill>
            <w14:solidFill>
              <w14:schemeClr w14:val="tx1"/>
            </w14:solidFill>
          </w14:textFill>
        </w:rPr>
        <w:t>风险处置措施和替代方案</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3899BA90">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4.</w:t>
      </w:r>
      <w:r>
        <w:rPr>
          <w:rFonts w:hint="eastAsia" w:ascii="仿宋" w:hAnsi="仿宋" w:eastAsia="仿宋" w:cs="仿宋"/>
          <w:b/>
          <w:color w:val="000000" w:themeColor="text1"/>
          <w:sz w:val="21"/>
          <w:szCs w:val="21"/>
          <w:highlight w:val="none"/>
          <w14:textFill>
            <w14:solidFill>
              <w14:schemeClr w14:val="tx1"/>
            </w14:solidFill>
          </w14:textFill>
        </w:rPr>
        <w:t>合同验收</w:t>
      </w:r>
    </w:p>
    <w:p w14:paraId="066D0C14">
      <w:pPr>
        <w:keepNext w:val="0"/>
        <w:keepLines w:val="0"/>
        <w:pageBreakBefore w:val="0"/>
        <w:numPr>
          <w:ilvl w:val="0"/>
          <w:numId w:val="2"/>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自行组织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委托第三方组织</w:t>
      </w:r>
    </w:p>
    <w:p w14:paraId="144BF7E1">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验收主体：</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43028D32">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是否邀请本项目的其他供应商</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68ED3F3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是否邀请专家</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4F64009A">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是否邀请服务对象</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CC18FDD">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是否邀请第三方检测机构</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65AB6360">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是否进行抽查检测：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，抽查比例：</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44E074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是否存在破坏性检测：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（应明确对被破坏的检测产品的处理方式）</w:t>
      </w:r>
    </w:p>
    <w:p w14:paraId="7AAB06E4">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2520655B">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验收组织的其他事项：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1C30B88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（2）履约验收时间：</w:t>
      </w:r>
      <w:r>
        <w:rPr>
          <w:rFonts w:hint="eastAsia" w:ascii="仿宋" w:hAnsi="仿宋" w:eastAsia="仿宋" w:cs="仿宋"/>
          <w:bCs/>
          <w:color w:val="000000" w:themeColor="text1"/>
          <w:sz w:val="21"/>
          <w:szCs w:val="21"/>
          <w:highlight w:val="none"/>
          <w:u w:val="single"/>
          <w14:textFill>
            <w14:solidFill>
              <w14:schemeClr w14:val="tx1"/>
            </w14:solidFill>
          </w14:textFill>
        </w:rPr>
        <w:t>（计划于何时验收/供应商提出验收申请之日起   日内组织验收）</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5A3E07A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（3）履约验收方式：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一次性验收         </w:t>
      </w:r>
    </w:p>
    <w:p w14:paraId="23EFBFB0">
      <w:pPr>
        <w:keepNext w:val="0"/>
        <w:keepLines w:val="0"/>
        <w:pageBreakBefore w:val="0"/>
        <w:kinsoku/>
        <w:wordWrap/>
        <w:overflowPunct/>
        <w:topLinePunct w:val="0"/>
        <w:bidi w:val="0"/>
        <w:adjustRightInd w:val="0"/>
        <w:snapToGrid w:val="0"/>
        <w:spacing w:line="300" w:lineRule="auto"/>
        <w:ind w:firstLine="0" w:firstLineChars="0"/>
        <w:textAlignment w:val="auto"/>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分期/分项验收</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（应明确分期</w:t>
      </w:r>
      <w:r>
        <w:rPr>
          <w:rFonts w:hint="eastAsia" w:ascii="仿宋" w:hAnsi="仿宋" w:eastAsia="仿宋" w:cs="仿宋"/>
          <w:bCs/>
          <w:color w:val="000000" w:themeColor="text1"/>
          <w:sz w:val="21"/>
          <w:szCs w:val="21"/>
          <w:highlight w:val="none"/>
          <w:u w:val="single"/>
          <w:lang w:val="en" w:eastAsia="zh-CN"/>
          <w14:textFill>
            <w14:solidFill>
              <w14:schemeClr w14:val="tx1"/>
            </w14:solidFill>
          </w14:textFill>
        </w:rPr>
        <w:t>/分项验收的工作安排</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5A5E45F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（4）履约验收程序：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AB4305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（5）履约验收的内容：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61B68E6">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（6）履约验收标准：</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8907D3F">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7</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）是否以采购活动中供应商提供的样品作为参考：</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0062CA3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（8）履约验收其他事项：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i w:val="0"/>
          <w:iCs w:val="0"/>
          <w:color w:val="000000" w:themeColor="text1"/>
          <w:sz w:val="21"/>
          <w:szCs w:val="21"/>
          <w:highlight w:val="none"/>
          <w:u w:val="single"/>
          <w14:textFill>
            <w14:solidFill>
              <w14:schemeClr w14:val="tx1"/>
            </w14:solidFill>
          </w14:textFill>
        </w:rPr>
        <w:t>（产权过户登记等）</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467AED3E">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5.</w:t>
      </w:r>
      <w:r>
        <w:rPr>
          <w:rFonts w:hint="eastAsia" w:ascii="仿宋" w:hAnsi="仿宋" w:eastAsia="仿宋" w:cs="仿宋"/>
          <w:b/>
          <w:color w:val="000000" w:themeColor="text1"/>
          <w:sz w:val="21"/>
          <w:szCs w:val="21"/>
          <w:highlight w:val="none"/>
          <w14:textFill>
            <w14:solidFill>
              <w14:schemeClr w14:val="tx1"/>
            </w14:solidFill>
          </w14:textFill>
        </w:rPr>
        <w:t>组成合同的文件</w:t>
      </w:r>
    </w:p>
    <w:p w14:paraId="4CEE8D3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本协议书与下列文件一起构成合同文件，如下述文件之间有任何抵触、矛盾或歧义，应按以下顺序解释：</w:t>
      </w:r>
    </w:p>
    <w:p w14:paraId="50727AF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政府采购</w:t>
      </w:r>
      <w:r>
        <w:rPr>
          <w:rFonts w:hint="eastAsia" w:ascii="仿宋" w:hAnsi="仿宋" w:eastAsia="仿宋" w:cs="仿宋"/>
          <w:color w:val="000000" w:themeColor="text1"/>
          <w:sz w:val="21"/>
          <w:szCs w:val="21"/>
          <w:highlight w:val="none"/>
          <w14:textFill>
            <w14:solidFill>
              <w14:schemeClr w14:val="tx1"/>
            </w14:solidFill>
          </w14:textFill>
        </w:rPr>
        <w:t>合同协议书及其变更、补充</w:t>
      </w:r>
      <w:r>
        <w:rPr>
          <w:rFonts w:hint="eastAsia" w:ascii="仿宋" w:hAnsi="仿宋" w:eastAsia="仿宋" w:cs="仿宋"/>
          <w:color w:val="000000" w:themeColor="text1"/>
          <w:sz w:val="21"/>
          <w:szCs w:val="21"/>
          <w:highlight w:val="none"/>
          <w:lang w:eastAsia="zh-CN"/>
          <w14:textFill>
            <w14:solidFill>
              <w14:schemeClr w14:val="tx1"/>
            </w14:solidFill>
          </w14:textFill>
        </w:rPr>
        <w:t>协议</w:t>
      </w:r>
    </w:p>
    <w:p w14:paraId="739AE686">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）政府采购合同专用条款</w:t>
      </w:r>
    </w:p>
    <w:p w14:paraId="27A5D78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）政府采购合同通用条款</w:t>
      </w:r>
    </w:p>
    <w:p w14:paraId="719BF892">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中标(成交)</w:t>
      </w:r>
      <w:r>
        <w:rPr>
          <w:rFonts w:hint="eastAsia" w:ascii="仿宋" w:hAnsi="仿宋" w:eastAsia="仿宋" w:cs="仿宋"/>
          <w:color w:val="000000" w:themeColor="text1"/>
          <w:sz w:val="21"/>
          <w:szCs w:val="21"/>
          <w:highlight w:val="none"/>
          <w14:textFill>
            <w14:solidFill>
              <w14:schemeClr w14:val="tx1"/>
            </w14:solidFill>
          </w14:textFill>
        </w:rPr>
        <w:t>通知书</w:t>
      </w:r>
    </w:p>
    <w:p w14:paraId="70C98DC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）投标（响应）文件</w:t>
      </w:r>
    </w:p>
    <w:p w14:paraId="3B2B4E5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（6）采购文件</w:t>
      </w:r>
    </w:p>
    <w:p w14:paraId="409D7E9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（7）有关技术文件，图纸</w:t>
      </w:r>
    </w:p>
    <w:p w14:paraId="1B69D038">
      <w:pPr>
        <w:pStyle w:val="8"/>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14F4336E">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6.</w:t>
      </w:r>
      <w:r>
        <w:rPr>
          <w:rFonts w:hint="eastAsia" w:ascii="仿宋" w:hAnsi="仿宋" w:eastAsia="仿宋" w:cs="仿宋"/>
          <w:b/>
          <w:color w:val="000000" w:themeColor="text1"/>
          <w:sz w:val="21"/>
          <w:szCs w:val="21"/>
          <w:highlight w:val="none"/>
          <w14:textFill>
            <w14:solidFill>
              <w14:schemeClr w14:val="tx1"/>
            </w14:solidFill>
          </w14:textFill>
        </w:rPr>
        <w:t>合同生效</w:t>
      </w:r>
    </w:p>
    <w:p w14:paraId="09D1616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本合同自</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生效。</w:t>
      </w:r>
    </w:p>
    <w:p w14:paraId="75F92B12">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7.</w:t>
      </w:r>
      <w:r>
        <w:rPr>
          <w:rFonts w:hint="eastAsia" w:ascii="仿宋" w:hAnsi="仿宋" w:eastAsia="仿宋" w:cs="仿宋"/>
          <w:b/>
          <w:color w:val="000000" w:themeColor="text1"/>
          <w:sz w:val="21"/>
          <w:szCs w:val="21"/>
          <w:highlight w:val="none"/>
          <w14:textFill>
            <w14:solidFill>
              <w14:schemeClr w14:val="tx1"/>
            </w14:solidFill>
          </w14:textFill>
        </w:rPr>
        <w:t>合同份数</w:t>
      </w:r>
    </w:p>
    <w:p w14:paraId="296136A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本合同一式</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乙方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份，均具有同等法律效力。</w:t>
      </w:r>
    </w:p>
    <w:p w14:paraId="41D1890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48CE1CB6">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合同订立地点：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3473FD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附件：具体标</w:t>
      </w:r>
      <w:r>
        <w:rPr>
          <w:rFonts w:hint="eastAsia" w:ascii="仿宋" w:hAnsi="仿宋" w:eastAsia="仿宋" w:cs="仿宋"/>
          <w:color w:val="000000" w:themeColor="text1"/>
          <w:sz w:val="21"/>
          <w:szCs w:val="21"/>
          <w:highlight w:val="none"/>
          <w:lang w:eastAsia="zh-CN"/>
          <w14:textFill>
            <w14:solidFill>
              <w14:schemeClr w14:val="tx1"/>
            </w14:solidFill>
          </w14:textFill>
        </w:rPr>
        <w:t>的及其</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技术要求和商务要求</w:t>
      </w:r>
      <w:r>
        <w:rPr>
          <w:rFonts w:hint="eastAsia" w:ascii="仿宋" w:hAnsi="仿宋" w:eastAsia="仿宋" w:cs="仿宋"/>
          <w:color w:val="000000" w:themeColor="text1"/>
          <w:sz w:val="21"/>
          <w:szCs w:val="21"/>
          <w:highlight w:val="none"/>
          <w14:textFill>
            <w14:solidFill>
              <w14:schemeClr w14:val="tx1"/>
            </w14:solidFill>
          </w14:textFill>
        </w:rPr>
        <w:t>、联合协议、分包</w:t>
      </w:r>
      <w:r>
        <w:rPr>
          <w:rFonts w:hint="eastAsia" w:ascii="仿宋" w:hAnsi="仿宋" w:eastAsia="仿宋" w:cs="仿宋"/>
          <w:color w:val="000000" w:themeColor="text1"/>
          <w:sz w:val="21"/>
          <w:szCs w:val="21"/>
          <w:highlight w:val="none"/>
          <w:lang w:eastAsia="zh-CN"/>
          <w14:textFill>
            <w14:solidFill>
              <w14:schemeClr w14:val="tx1"/>
            </w14:solidFill>
          </w14:textFill>
        </w:rPr>
        <w:t>意向</w:t>
      </w:r>
      <w:r>
        <w:rPr>
          <w:rFonts w:hint="eastAsia" w:ascii="仿宋" w:hAnsi="仿宋" w:eastAsia="仿宋" w:cs="仿宋"/>
          <w:color w:val="000000" w:themeColor="text1"/>
          <w:sz w:val="21"/>
          <w:szCs w:val="21"/>
          <w:highlight w:val="none"/>
          <w14:textFill>
            <w14:solidFill>
              <w14:schemeClr w14:val="tx1"/>
            </w14:solidFill>
          </w14:textFill>
        </w:rPr>
        <w:t>协议等。</w:t>
      </w:r>
    </w:p>
    <w:p w14:paraId="76083787">
      <w:pPr>
        <w:pStyle w:val="3"/>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p>
    <w:tbl>
      <w:tblPr>
        <w:tblStyle w:val="6"/>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71B381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vAlign w:val="center"/>
          </w:tcPr>
          <w:p w14:paraId="6DAD32F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1CF7590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w:t>
            </w:r>
          </w:p>
        </w:tc>
      </w:tr>
      <w:tr w14:paraId="08BB5C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3024B2F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540CF2D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46FD25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tcBorders>
            <w:vAlign w:val="center"/>
          </w:tcPr>
          <w:p w14:paraId="6A955CAB">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5B6F56B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30D8B7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2F6D995B">
            <w:pPr>
              <w:adjustRightInd w:val="0"/>
              <w:snapToGrid w:val="0"/>
              <w:spacing w:line="300" w:lineRule="exact"/>
              <w:ind w:firstLine="100" w:firstLineChars="48"/>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5D8DF46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730AA918">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31490C7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tcBorders>
            <w:vAlign w:val="center"/>
          </w:tcPr>
          <w:p w14:paraId="6CE57B1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47B39B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096F0EE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vMerge w:val="continue"/>
            <w:tcBorders>
              <w:left w:val="single" w:color="auto" w:sz="2" w:space="0"/>
              <w:bottom w:val="single" w:color="auto" w:sz="2" w:space="0"/>
              <w:right w:val="single" w:color="auto" w:sz="2" w:space="0"/>
            </w:tcBorders>
            <w:vAlign w:val="center"/>
          </w:tcPr>
          <w:p w14:paraId="1013433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67D428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拥有者性别</w:t>
            </w:r>
          </w:p>
        </w:tc>
        <w:tc>
          <w:tcPr>
            <w:tcW w:w="1259" w:type="pct"/>
            <w:tcBorders>
              <w:top w:val="single" w:color="auto" w:sz="2" w:space="0"/>
              <w:left w:val="single" w:color="auto" w:sz="2" w:space="0"/>
              <w:bottom w:val="single" w:color="auto" w:sz="2" w:space="0"/>
            </w:tcBorders>
            <w:vAlign w:val="center"/>
          </w:tcPr>
          <w:p w14:paraId="3CF5D54C">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222BA3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E5708D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905C2DD">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31EC87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259" w:type="pct"/>
            <w:tcBorders>
              <w:top w:val="single" w:color="auto" w:sz="2" w:space="0"/>
              <w:left w:val="single" w:color="auto" w:sz="2" w:space="0"/>
              <w:bottom w:val="single" w:color="auto" w:sz="2" w:space="0"/>
            </w:tcBorders>
            <w:vAlign w:val="center"/>
          </w:tcPr>
          <w:p w14:paraId="12D8D85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10512E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E760F6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9E127A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90F08E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259" w:type="pct"/>
            <w:tcBorders>
              <w:top w:val="single" w:color="auto" w:sz="2" w:space="0"/>
              <w:left w:val="single" w:color="auto" w:sz="2" w:space="0"/>
              <w:bottom w:val="single" w:color="auto" w:sz="2" w:space="0"/>
            </w:tcBorders>
            <w:vAlign w:val="center"/>
          </w:tcPr>
          <w:p w14:paraId="1C458320">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45C8A92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C35AA0">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325C3FB">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2DA7C3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259" w:type="pct"/>
            <w:tcBorders>
              <w:top w:val="single" w:color="auto" w:sz="2" w:space="0"/>
              <w:left w:val="single" w:color="auto" w:sz="2" w:space="0"/>
              <w:bottom w:val="single" w:color="auto" w:sz="2" w:space="0"/>
            </w:tcBorders>
            <w:vAlign w:val="center"/>
          </w:tcPr>
          <w:p w14:paraId="0A130C4B">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E8536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977CE9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FAE16A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B7561E8">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259" w:type="pct"/>
            <w:tcBorders>
              <w:top w:val="single" w:color="auto" w:sz="2" w:space="0"/>
              <w:left w:val="single" w:color="auto" w:sz="2" w:space="0"/>
              <w:bottom w:val="single" w:color="auto" w:sz="2" w:space="0"/>
            </w:tcBorders>
            <w:vAlign w:val="center"/>
          </w:tcPr>
          <w:p w14:paraId="1F359F51">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A71C5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4951DC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D7C68C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B59162D">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259" w:type="pct"/>
            <w:tcBorders>
              <w:top w:val="single" w:color="auto" w:sz="2" w:space="0"/>
              <w:left w:val="single" w:color="auto" w:sz="2" w:space="0"/>
              <w:bottom w:val="single" w:color="auto" w:sz="2" w:space="0"/>
            </w:tcBorders>
            <w:vAlign w:val="center"/>
          </w:tcPr>
          <w:p w14:paraId="10140E6F">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3B19A3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7F8F468">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7B8E87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6BA120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259" w:type="pct"/>
            <w:tcBorders>
              <w:top w:val="single" w:color="auto" w:sz="2" w:space="0"/>
              <w:left w:val="single" w:color="auto" w:sz="2" w:space="0"/>
              <w:bottom w:val="single" w:color="auto" w:sz="2" w:space="0"/>
            </w:tcBorders>
            <w:vAlign w:val="center"/>
          </w:tcPr>
          <w:p w14:paraId="214838A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2856CDB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22DE4BB">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43BB69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BFE9CC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tcBorders>
            <w:vAlign w:val="center"/>
          </w:tcPr>
          <w:p w14:paraId="300BD96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3323F4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783B3D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7B60000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ED8ED3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开户名称</w:t>
            </w:r>
          </w:p>
        </w:tc>
        <w:tc>
          <w:tcPr>
            <w:tcW w:w="1259" w:type="pct"/>
            <w:tcBorders>
              <w:top w:val="single" w:color="auto" w:sz="2" w:space="0"/>
              <w:left w:val="single" w:color="auto" w:sz="2" w:space="0"/>
              <w:bottom w:val="single" w:color="auto" w:sz="2" w:space="0"/>
            </w:tcBorders>
            <w:vAlign w:val="center"/>
          </w:tcPr>
          <w:p w14:paraId="03712048">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38171D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71685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4C84B99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38AE5A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开户银行</w:t>
            </w:r>
          </w:p>
        </w:tc>
        <w:tc>
          <w:tcPr>
            <w:tcW w:w="1259" w:type="pct"/>
            <w:tcBorders>
              <w:top w:val="single" w:color="auto" w:sz="2" w:space="0"/>
              <w:left w:val="single" w:color="auto" w:sz="2" w:space="0"/>
              <w:bottom w:val="single" w:color="auto" w:sz="2" w:space="0"/>
            </w:tcBorders>
            <w:vAlign w:val="center"/>
          </w:tcPr>
          <w:p w14:paraId="51446A9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206F50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81B12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BA10A7B">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45E2E1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银行账号</w:t>
            </w:r>
          </w:p>
        </w:tc>
        <w:tc>
          <w:tcPr>
            <w:tcW w:w="1259" w:type="pct"/>
            <w:tcBorders>
              <w:top w:val="single" w:color="auto" w:sz="2" w:space="0"/>
              <w:left w:val="single" w:color="auto" w:sz="2" w:space="0"/>
              <w:bottom w:val="single" w:color="auto" w:sz="2" w:space="0"/>
            </w:tcBorders>
            <w:vAlign w:val="center"/>
          </w:tcPr>
          <w:p w14:paraId="3585212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50BA164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B4E47FB">
            <w:pPr>
              <w:pStyle w:val="4"/>
              <w:adjustRightInd w:val="0"/>
              <w:snapToGrid w:val="0"/>
              <w:spacing w:before="156" w:beforeLines="50" w:line="360" w:lineRule="auto"/>
              <w:ind w:firstLine="210"/>
              <w:jc w:val="left"/>
              <w:rPr>
                <w:rFonts w:hint="eastAsia" w:ascii="仿宋" w:hAnsi="仿宋" w:eastAsia="仿宋" w:cs="仿宋"/>
                <w:color w:val="000000" w:themeColor="text1"/>
                <w:spacing w:val="2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注：涉及联合体或其他合同主体的信息应按上表格式加列。</w:t>
            </w:r>
          </w:p>
        </w:tc>
      </w:tr>
    </w:tbl>
    <w:p w14:paraId="4F0F837C">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6AFEC759">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46AE789B">
      <w:pPr>
        <w:pStyle w:val="5"/>
        <w:ind w:firstLine="210"/>
        <w:rPr>
          <w:rFonts w:hint="eastAsia" w:ascii="仿宋" w:hAnsi="仿宋" w:eastAsia="仿宋" w:cs="仿宋"/>
          <w:color w:val="000000" w:themeColor="text1"/>
          <w:sz w:val="21"/>
          <w:szCs w:val="21"/>
          <w:highlight w:val="none"/>
          <w14:textFill>
            <w14:solidFill>
              <w14:schemeClr w14:val="tx1"/>
            </w14:solidFill>
          </w14:textFill>
        </w:rPr>
      </w:pPr>
    </w:p>
    <w:p w14:paraId="764D060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第二节 政府采购合同通用条款</w:t>
      </w:r>
    </w:p>
    <w:p w14:paraId="76C3B88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 定义</w:t>
      </w:r>
    </w:p>
    <w:p w14:paraId="5A5D2B9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1.1合同当事人</w:t>
      </w:r>
    </w:p>
    <w:p w14:paraId="391A2BE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（1）采购人（以下称甲方）是指使用财政性资金，通过政府采购方式向</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购买货物及其相关服务的国家机关、事业单位、团体组织。</w:t>
      </w:r>
    </w:p>
    <w:p w14:paraId="5E1E9D0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（以下称乙方）是指参加政府采购活动并且</w:t>
      </w:r>
      <w:r>
        <w:rPr>
          <w:rFonts w:hint="eastAsia" w:ascii="仿宋" w:hAnsi="仿宋" w:eastAsia="仿宋" w:cs="仿宋"/>
          <w:color w:val="000000" w:themeColor="text1"/>
          <w:sz w:val="21"/>
          <w:szCs w:val="21"/>
          <w:highlight w:val="none"/>
          <w:lang w:eastAsia="zh-CN"/>
          <w14:textFill>
            <w14:solidFill>
              <w14:schemeClr w14:val="tx1"/>
            </w14:solidFill>
          </w14:textFill>
        </w:rPr>
        <w:t>中标(成交)</w:t>
      </w:r>
      <w:r>
        <w:rPr>
          <w:rFonts w:hint="eastAsia" w:ascii="仿宋" w:hAnsi="仿宋" w:eastAsia="仿宋" w:cs="仿宋"/>
          <w:color w:val="000000" w:themeColor="text1"/>
          <w:sz w:val="21"/>
          <w:szCs w:val="21"/>
          <w:highlight w:val="none"/>
          <w14:textFill>
            <w14:solidFill>
              <w14:schemeClr w14:val="tx1"/>
            </w14:solidFill>
          </w14:textFill>
        </w:rPr>
        <w:t>，向采购人提供合同约定的货物及其相关服务的法人、非法人组织或者自然人。</w:t>
      </w:r>
    </w:p>
    <w:p w14:paraId="5B1AAD1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（3）其他合同主体是指除采购人和</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以外，依法参与合同缔结或履行，享有权利、承担义务的合同当事人。</w:t>
      </w:r>
    </w:p>
    <w:p w14:paraId="21A88BB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1.2本合同下列术语应解释为：</w:t>
      </w:r>
    </w:p>
    <w:p w14:paraId="1C026FE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（1）“合同”系指合同当事人意思表示达成一致的任何协议，包括签署的政府采购合同协议书及其变更、补充协议，政府采购合同专用条款，政府采购合同通用条款，</w:t>
      </w:r>
      <w:r>
        <w:rPr>
          <w:rFonts w:hint="eastAsia" w:ascii="仿宋" w:hAnsi="仿宋" w:eastAsia="仿宋" w:cs="仿宋"/>
          <w:color w:val="000000" w:themeColor="text1"/>
          <w:sz w:val="21"/>
          <w:szCs w:val="21"/>
          <w:highlight w:val="none"/>
          <w:lang w:eastAsia="zh-CN"/>
          <w14:textFill>
            <w14:solidFill>
              <w14:schemeClr w14:val="tx1"/>
            </w14:solidFill>
          </w14:textFill>
        </w:rPr>
        <w:t>中标(成交)</w:t>
      </w:r>
      <w:r>
        <w:rPr>
          <w:rFonts w:hint="eastAsia" w:ascii="仿宋" w:hAnsi="仿宋" w:eastAsia="仿宋" w:cs="仿宋"/>
          <w:color w:val="000000" w:themeColor="text1"/>
          <w:sz w:val="21"/>
          <w:szCs w:val="21"/>
          <w:highlight w:val="none"/>
          <w14:textFill>
            <w14:solidFill>
              <w14:schemeClr w14:val="tx1"/>
            </w14:solidFill>
          </w14:textFill>
        </w:rPr>
        <w:t>通知书，投标（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）文件，采购文件，有关技术文件和图纸，以及国家法律、行政法规和规章制度规定或合同约定的作为合同组成部分的其他文件。</w:t>
      </w:r>
    </w:p>
    <w:p w14:paraId="2850C16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（2）“合同价款”系指根据本合同规定乙方在全面履行合同义务后甲方应支付给乙方的价款。</w:t>
      </w:r>
    </w:p>
    <w:p w14:paraId="0420C7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（3）“货物”系指乙方根据本合同规定须向甲方提供的各种形态和种类的物品，包括原材料、设备、产品（包括软件）及相关的其备品备件、工具、手册及其他技术资料和材料等。</w:t>
      </w:r>
    </w:p>
    <w:p w14:paraId="76D1E78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2503A5C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（5）“分包”系指</w:t>
      </w:r>
      <w:r>
        <w:rPr>
          <w:rFonts w:hint="eastAsia" w:ascii="仿宋" w:hAnsi="仿宋" w:eastAsia="仿宋" w:cs="仿宋"/>
          <w:color w:val="000000" w:themeColor="text1"/>
          <w:sz w:val="21"/>
          <w:szCs w:val="21"/>
          <w:highlight w:val="none"/>
          <w:lang w:eastAsia="zh-CN"/>
          <w14:textFill>
            <w14:solidFill>
              <w14:schemeClr w14:val="tx1"/>
            </w14:solidFill>
          </w14:textFill>
        </w:rPr>
        <w:t>中标(成交)供应商</w:t>
      </w:r>
      <w:r>
        <w:rPr>
          <w:rFonts w:hint="eastAsia" w:ascii="仿宋" w:hAnsi="仿宋" w:eastAsia="仿宋" w:cs="仿宋"/>
          <w:color w:val="000000" w:themeColor="text1"/>
          <w:sz w:val="21"/>
          <w:szCs w:val="21"/>
          <w:highlight w:val="none"/>
          <w14:textFill>
            <w14:solidFill>
              <w14:schemeClr w14:val="tx1"/>
            </w14:solidFill>
          </w14:textFill>
        </w:rPr>
        <w:t>按采购文件、投标（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）文件的规定，根据分包意向协议，将</w:t>
      </w:r>
      <w:r>
        <w:rPr>
          <w:rFonts w:hint="eastAsia" w:ascii="仿宋" w:hAnsi="仿宋" w:eastAsia="仿宋" w:cs="仿宋"/>
          <w:color w:val="000000" w:themeColor="text1"/>
          <w:sz w:val="21"/>
          <w:szCs w:val="21"/>
          <w:highlight w:val="none"/>
          <w:lang w:eastAsia="zh-CN"/>
          <w14:textFill>
            <w14:solidFill>
              <w14:schemeClr w14:val="tx1"/>
            </w14:solidFill>
          </w14:textFill>
        </w:rPr>
        <w:t>中标(成交)</w:t>
      </w:r>
      <w:r>
        <w:rPr>
          <w:rFonts w:hint="eastAsia" w:ascii="仿宋" w:hAnsi="仿宋" w:eastAsia="仿宋" w:cs="仿宋"/>
          <w:color w:val="000000" w:themeColor="text1"/>
          <w:sz w:val="21"/>
          <w:szCs w:val="21"/>
          <w:highlight w:val="none"/>
          <w14:textFill>
            <w14:solidFill>
              <w14:schemeClr w14:val="tx1"/>
            </w14:solidFill>
          </w14:textFill>
        </w:rPr>
        <w:t>项目中的部分履约内容，分给具有相应资质条件的</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履行合同的行为。</w:t>
      </w:r>
    </w:p>
    <w:p w14:paraId="2BCFBC1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（6）“联合体”系指由两个以上的自然人、法人或者非法人组织组成，以一个</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4014876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（7）其他术语解释，见【政府采购合同专用条款】。</w:t>
      </w:r>
    </w:p>
    <w:p w14:paraId="6F6C505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 合同标的及金额</w:t>
      </w:r>
    </w:p>
    <w:p w14:paraId="148153B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 合同标的及金额应与</w:t>
      </w:r>
      <w:r>
        <w:rPr>
          <w:rFonts w:hint="eastAsia" w:ascii="仿宋" w:hAnsi="仿宋" w:eastAsia="仿宋" w:cs="仿宋"/>
          <w:color w:val="000000" w:themeColor="text1"/>
          <w:sz w:val="21"/>
          <w:szCs w:val="21"/>
          <w:highlight w:val="none"/>
          <w:lang w:eastAsia="zh-CN"/>
          <w14:textFill>
            <w14:solidFill>
              <w14:schemeClr w14:val="tx1"/>
            </w14:solidFill>
          </w14:textFill>
        </w:rPr>
        <w:t>中标(成交)</w:t>
      </w:r>
      <w:r>
        <w:rPr>
          <w:rFonts w:hint="eastAsia" w:ascii="仿宋" w:hAnsi="仿宋" w:eastAsia="仿宋" w:cs="仿宋"/>
          <w:color w:val="000000" w:themeColor="text1"/>
          <w:sz w:val="21"/>
          <w:szCs w:val="21"/>
          <w:highlight w:val="none"/>
          <w14:textFill>
            <w14:solidFill>
              <w14:schemeClr w14:val="tx1"/>
            </w14:solidFill>
          </w14:textFill>
        </w:rPr>
        <w:t>结果一致。乙方为履行本合同而发生的所有费用均应包含在合同价款中，甲方不再另行支付其他任何费用。</w:t>
      </w:r>
    </w:p>
    <w:p w14:paraId="64530C2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3. 履行合同的时间、地点和方式</w:t>
      </w:r>
    </w:p>
    <w:p w14:paraId="20FA0BF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3.1 乙方应当在约定的时间、地点，按照约定方式履行合同。</w:t>
      </w:r>
    </w:p>
    <w:p w14:paraId="7772F64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4. 甲方的权利和义务</w:t>
      </w:r>
    </w:p>
    <w:p w14:paraId="1883C15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147246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5CCFF61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4.3 甲方有权要求乙方对缺陷部分予以修复，并按合同约定享有货物保修及其他合同约定的权利。</w:t>
      </w:r>
    </w:p>
    <w:p w14:paraId="41F5A67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419E5E4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4.5 甲方应当根据合同约定及时向乙方支付合同价款，不得以内部人员变更、履行内部付款流程等为由，拒绝或迟延支付。</w:t>
      </w:r>
    </w:p>
    <w:p w14:paraId="1C4986F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4.6 国家法律法规规定及【政府采购合同专用条款】约定应由甲方承担的其他义务和责任。</w:t>
      </w:r>
    </w:p>
    <w:p w14:paraId="4808507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5. 乙方的权利和义务</w:t>
      </w:r>
    </w:p>
    <w:p w14:paraId="054534F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5.1 签署合同后，乙方应确定项目负责人（或项目联系人），负责与本合同有关的事务。</w:t>
      </w:r>
    </w:p>
    <w:p w14:paraId="14831D7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40B4B2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5.3乙方有权根据合同约定向甲方收取合同价款。</w:t>
      </w:r>
    </w:p>
    <w:p w14:paraId="218B043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5.4国家法律法规规定及【政府采购合同专用条款】约定应由乙方承担的其他义务和责任。</w:t>
      </w:r>
    </w:p>
    <w:p w14:paraId="264C9C3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6. 合同履行</w:t>
      </w:r>
    </w:p>
    <w:p w14:paraId="513C28A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6.1 甲乙双方应当按照【政府采购合同专用条款】约定顺序履行合同义务；如果没有先后顺序的，应当同时履行。</w:t>
      </w:r>
    </w:p>
    <w:p w14:paraId="404504F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2C5EFA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7. 货物包装、运输、保险和交付要求</w:t>
      </w:r>
    </w:p>
    <w:p w14:paraId="6EA10EF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085EAD0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0B93BAB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7.3 货物保险要求按【政府采购合同专用条款】规定执行。</w:t>
      </w:r>
    </w:p>
    <w:p w14:paraId="295BB4B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7.4 除采购活动对商品包装、快递包装达成具体约定外，乙方提供产品及相关快递服务涉及到具体包装要求的，应</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《商品包装政府采购需求标准（试行）》《快递包装政府采购需求标准（试行）》标准，并作为履约验收的内容，必要时甲方可以要求乙方在履约验收环节出具检测报告。</w:t>
      </w:r>
    </w:p>
    <w:p w14:paraId="0239601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7.5 乙方在运输到达之前应提前通知甲方，并提示货物运输装卸的注意事项，甲方配合乙方做好货物的接收工作。</w:t>
      </w:r>
    </w:p>
    <w:p w14:paraId="2B13ADD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7.6 如因包装、运输问题导致货物损毁、丢失或者品质下降，甲方有权要求降价、换货、拒收部分或整批货物，由此产生的费用和损失，均由乙方承担。</w:t>
      </w:r>
    </w:p>
    <w:p w14:paraId="4CBD91E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8. 质量标准和保证</w:t>
      </w:r>
    </w:p>
    <w:p w14:paraId="2375261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8.1 质量标准</w:t>
      </w:r>
    </w:p>
    <w:p w14:paraId="6A96039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FAA0FB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（2）采用中华人民共和国法定计量单位。</w:t>
      </w:r>
    </w:p>
    <w:p w14:paraId="64964EF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（3）乙方所提供的货物应符合国家有关安全、环保、卫生的规定。</w:t>
      </w:r>
    </w:p>
    <w:p w14:paraId="3300177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6CB300D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8.2 保证</w:t>
      </w:r>
    </w:p>
    <w:p w14:paraId="6CC6559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2EC114B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（2）在质量保证期内所发现的缺陷，甲方应尽快以书面形式通知乙方。</w:t>
      </w:r>
    </w:p>
    <w:p w14:paraId="018AD25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（3）乙方收到通知后，应在【政府采购合同专用条款】规定的</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时间内以合理的速度免费维修或更换有缺陷的货物或部件。</w:t>
      </w:r>
    </w:p>
    <w:p w14:paraId="3CE457B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22313D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422D55C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9. 权利瑕疵担保</w:t>
      </w:r>
    </w:p>
    <w:p w14:paraId="5454257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9.1 乙方保证对其出售的货物享有合法的权利。</w:t>
      </w:r>
    </w:p>
    <w:p w14:paraId="0DD1213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9.2 乙方保证在交付的货物上不存在抵押权等担保物权。</w:t>
      </w:r>
    </w:p>
    <w:p w14:paraId="0F0B2B0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9.3 如甲方使用上述货物构成对第三人侵权的，则由乙方承担全部责任。</w:t>
      </w:r>
    </w:p>
    <w:p w14:paraId="694C6EC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10. 知识产权保护</w:t>
      </w:r>
    </w:p>
    <w:p w14:paraId="7D965E0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186F31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11. 保密义务</w:t>
      </w:r>
    </w:p>
    <w:p w14:paraId="7BD60DB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40B4326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12. 合同价款支付</w:t>
      </w:r>
    </w:p>
    <w:p w14:paraId="5555B98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12.1 合同价款支付按照国库集中支付制度及财政管理相关规定执行。</w:t>
      </w:r>
    </w:p>
    <w:p w14:paraId="79E415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47E1461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13. 履约保证金</w:t>
      </w:r>
    </w:p>
    <w:p w14:paraId="5B1E30C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13.1 乙方应当以支票、汇票、本票或者金融机构、担保机构出具的保函等非现金形式提交。</w:t>
      </w:r>
    </w:p>
    <w:p w14:paraId="6CF31D1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0A4FBDF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13.3 甲方在项目通过验收后按照【政府采购合同专用条款】规定的时间内将履约保证金退还乙方；逾期退还的，乙方可要求甲方支付违约金，违约金按照【政府采购合同专用条款】规定支付。</w:t>
      </w:r>
    </w:p>
    <w:p w14:paraId="6029E93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14. 售后服务</w:t>
      </w:r>
    </w:p>
    <w:p w14:paraId="596B434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14.1 除项目不涉及或采购活动中明确约定无须承担外，乙方还应提供下列服务：</w:t>
      </w:r>
    </w:p>
    <w:p w14:paraId="6162C1D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（1）货物的现场移动、安装、调试、启动监督及技术支持；</w:t>
      </w:r>
    </w:p>
    <w:p w14:paraId="23320F9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（2）提供货物组装和维修所需的专用工具和辅助材料；</w:t>
      </w:r>
    </w:p>
    <w:p w14:paraId="47025F7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306973F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（4）在制造商所在地或指定现场就货物的安装、启动、运营、维护、废弃处置等对甲方操作人员进行培训；</w:t>
      </w:r>
    </w:p>
    <w:p w14:paraId="30D4FC4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3AFD93A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（6）【政府采购合同专用条款】规定由乙方提供的其他服务。</w:t>
      </w:r>
    </w:p>
    <w:p w14:paraId="0B27795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14.2 乙方提供的售后服务的费用已包含在合同价款中，甲方不再另行支付。</w:t>
      </w:r>
    </w:p>
    <w:p w14:paraId="540666A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15. 违约责任</w:t>
      </w:r>
    </w:p>
    <w:p w14:paraId="313D8C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15.1质量瑕疵的违约责任</w:t>
      </w:r>
    </w:p>
    <w:p w14:paraId="298552A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7C22DFF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15.2 迟延交货的违约责任</w:t>
      </w:r>
    </w:p>
    <w:p w14:paraId="7515F3C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7AF302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7C091C1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15.3 迟延支付的违约责任</w:t>
      </w:r>
    </w:p>
    <w:p w14:paraId="3011868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甲方存在迟延支付乙方合同款项的，应当承担【政府采购合同专用条款】规定的逾期付款利息。</w:t>
      </w:r>
    </w:p>
    <w:p w14:paraId="79D2D29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15.4其他违约责任根据项目实际需要按【政府采购合同专用条款】规定执行。</w:t>
      </w:r>
    </w:p>
    <w:p w14:paraId="6EF8A9A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16. 合同变更、中止与终止</w:t>
      </w:r>
    </w:p>
    <w:p w14:paraId="6CC6EE6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16.1合同的变更</w:t>
      </w:r>
    </w:p>
    <w:p w14:paraId="2F3D28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3DEDC0C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16.2合同的中止</w:t>
      </w:r>
    </w:p>
    <w:p w14:paraId="040FB52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（1）合同履行过程中因</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就采购文件、采购过程或结果提起投诉的，甲方认为有必要的，可以中止合同的履行。</w:t>
      </w:r>
    </w:p>
    <w:p w14:paraId="78FEFD3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486512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4F69D2D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（4）甲方不得以行政区划调整、政府换届、机构或者职能调整以及相关责任人更替为由中止合同。</w:t>
      </w:r>
    </w:p>
    <w:p w14:paraId="7231191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16.3合同的终止</w:t>
      </w:r>
    </w:p>
    <w:p w14:paraId="49DAB2F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（1）合同因有效期限届满而终止；</w:t>
      </w:r>
    </w:p>
    <w:p w14:paraId="1FA8DAC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（2）乙方未按合同约定履行，构成根本性违约的，甲方有权终止合同，并追究乙方的违约责任。</w:t>
      </w:r>
    </w:p>
    <w:p w14:paraId="303FCE8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16.4 涉及国家利益、社会公共利益的情形</w:t>
      </w:r>
    </w:p>
    <w:p w14:paraId="0EEE4D64">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427BF6B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17. 合同分包</w:t>
      </w:r>
    </w:p>
    <w:p w14:paraId="141CCD1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17.1 乙方不得将合同转包给其他</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。涉及合同分包的，乙方应根据采购文件和投标（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）文件规定进行合同分包。</w:t>
      </w:r>
    </w:p>
    <w:p w14:paraId="6A2C05A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17.2 乙方执行政府采购政策向中小企业依法分包的，乙方应当按采购文件和投标（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）文件签订分包意向协议，分包意向协议属于本合同组成部分。</w:t>
      </w:r>
    </w:p>
    <w:p w14:paraId="4AFCDCE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18. 不可抗力</w:t>
      </w:r>
    </w:p>
    <w:p w14:paraId="1C25FB1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18.1 不可抗力是指合同双方不能预见、不能避免且不能克服的客观情况。</w:t>
      </w:r>
    </w:p>
    <w:p w14:paraId="3458C62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18.2 任何一方对由于不可抗力造成的部分或全部不能履行合同不承担违约责任。但迟延履行后发生不可抗力的，不能免除责任。</w:t>
      </w:r>
    </w:p>
    <w:p w14:paraId="0464C2E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37C5E4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19. 解决争议的方法</w:t>
      </w:r>
    </w:p>
    <w:p w14:paraId="52DB123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19.1 因本合同及合同有关事项发生的争议，由甲乙双方友好协商解决。协商不成时，可以向有关组织申请调解。合同一方或双方不愿调解或调解不成的，可以通过仲裁或诉讼的方式解决争议。</w:t>
      </w:r>
    </w:p>
    <w:p w14:paraId="664CDD8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0E7C63C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19.3 如甲乙双方有争议的事项不影响合同其他部分的履行，在争议解决期间，合同其他部分应当继续履行。</w:t>
      </w:r>
    </w:p>
    <w:p w14:paraId="1446A61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20. 政府采购政策</w:t>
      </w:r>
    </w:p>
    <w:p w14:paraId="1DE5C3B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20.1 本合同应当按照规定执行政府采购政策。</w:t>
      </w:r>
    </w:p>
    <w:p w14:paraId="49C21C6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187D6B5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1AFC5F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21. 法律适用</w:t>
      </w:r>
    </w:p>
    <w:p w14:paraId="370EB1B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21.1 本合同的订立、生效、解释、履行及与本合同有关的争议解决，均适用法律、行政法规。</w:t>
      </w:r>
    </w:p>
    <w:p w14:paraId="01BBE2A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21.2 本合同条款与法律、行政法规的强制性规定不一致的，双方当事人</w:t>
      </w:r>
      <w:r>
        <w:rPr>
          <w:rFonts w:hint="eastAsia" w:ascii="仿宋" w:hAnsi="仿宋" w:eastAsia="仿宋" w:cs="仿宋"/>
          <w:color w:val="000000" w:themeColor="text1"/>
          <w:sz w:val="21"/>
          <w:szCs w:val="21"/>
          <w:highlight w:val="none"/>
          <w:lang w:eastAsia="zh-CN"/>
          <w14:textFill>
            <w14:solidFill>
              <w14:schemeClr w14:val="tx1"/>
            </w14:solidFill>
          </w14:textFill>
        </w:rPr>
        <w:t>应当</w:t>
      </w:r>
      <w:r>
        <w:rPr>
          <w:rFonts w:hint="eastAsia" w:ascii="仿宋" w:hAnsi="仿宋" w:eastAsia="仿宋" w:cs="仿宋"/>
          <w:color w:val="000000" w:themeColor="text1"/>
          <w:sz w:val="21"/>
          <w:szCs w:val="21"/>
          <w:highlight w:val="none"/>
          <w14:textFill>
            <w14:solidFill>
              <w14:schemeClr w14:val="tx1"/>
            </w14:solidFill>
          </w14:textFill>
        </w:rPr>
        <w:t>按照法律、行政法规的强制性规定修改本合同的相关条款。</w:t>
      </w:r>
    </w:p>
    <w:p w14:paraId="2BB3531F">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22. 通知</w:t>
      </w:r>
    </w:p>
    <w:p w14:paraId="10CA1A1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2924F79C">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22.2 一方当事人变更名称、住所、联系人、联系电话或电子邮箱等信息的，应当在变更后3日内及时书面通知对方，对方实际收到变更通知前的送达仍为有效送达。</w:t>
      </w:r>
    </w:p>
    <w:p w14:paraId="58388AD2">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22.3本合同一方给另一方的通知均应采用书面形式，传真或快递送到本合同中规定的对方的地址和办理签收手续。</w:t>
      </w:r>
    </w:p>
    <w:p w14:paraId="0CF1B983">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22.4通知以送达之日或通知书中规定的生效之日起生效，两者中以较迟之日为准。</w:t>
      </w:r>
    </w:p>
    <w:p w14:paraId="54AD5D6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23. 合同未尽事项</w:t>
      </w:r>
    </w:p>
    <w:p w14:paraId="4253C3D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23.1合同未尽事项见【政府采购合同专用条款】。</w:t>
      </w:r>
    </w:p>
    <w:p w14:paraId="3453129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23.2 合同附件与合同正文具有同等的法律效力。</w:t>
      </w:r>
    </w:p>
    <w:p w14:paraId="6523AC8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第三节 政府采购</w:t>
      </w:r>
      <w:r>
        <w:rPr>
          <w:rFonts w:hint="eastAsia" w:ascii="宋体" w:hAnsi="宋体"/>
          <w:b/>
          <w:color w:val="000000" w:themeColor="text1"/>
          <w:szCs w:val="21"/>
          <w:highlight w:val="none"/>
          <w:lang w:eastAsia="zh-CN"/>
          <w14:textFill>
            <w14:solidFill>
              <w14:schemeClr w14:val="tx1"/>
            </w14:solidFill>
          </w14:textFill>
        </w:rPr>
        <w:t>合同</w:t>
      </w:r>
      <w:r>
        <w:rPr>
          <w:rFonts w:hint="eastAsia" w:ascii="宋体" w:hAnsi="宋体"/>
          <w:b/>
          <w:color w:val="000000" w:themeColor="text1"/>
          <w:szCs w:val="21"/>
          <w:highlight w:val="none"/>
          <w14:textFill>
            <w14:solidFill>
              <w14:schemeClr w14:val="tx1"/>
            </w14:solidFill>
          </w14:textFill>
        </w:rPr>
        <w:t>专用条款</w:t>
      </w:r>
    </w:p>
    <w:tbl>
      <w:tblPr>
        <w:tblStyle w:val="6"/>
        <w:tblW w:w="947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055"/>
        <w:gridCol w:w="5809"/>
      </w:tblGrid>
      <w:tr w14:paraId="52642A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6C5F8A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D7C142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3FCB60AD">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联合体具体要求</w:t>
            </w:r>
          </w:p>
        </w:tc>
        <w:tc>
          <w:tcPr>
            <w:tcW w:w="5809" w:type="dxa"/>
            <w:vAlign w:val="center"/>
          </w:tcPr>
          <w:p w14:paraId="4BA5E246">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w:t>
            </w:r>
          </w:p>
        </w:tc>
      </w:tr>
      <w:tr w14:paraId="1620F2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220CBC6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6BC944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34DEFB46">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其他术语解释</w:t>
            </w:r>
          </w:p>
        </w:tc>
        <w:tc>
          <w:tcPr>
            <w:tcW w:w="5809" w:type="dxa"/>
            <w:vAlign w:val="center"/>
          </w:tcPr>
          <w:p w14:paraId="0816144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40EF79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04885D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C11218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4.4款</w:t>
            </w:r>
          </w:p>
        </w:tc>
        <w:tc>
          <w:tcPr>
            <w:tcW w:w="2055" w:type="dxa"/>
            <w:vAlign w:val="center"/>
          </w:tcPr>
          <w:p w14:paraId="714F9E6A">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履约验收中甲方提出异议或作出说明的期限</w:t>
            </w:r>
          </w:p>
        </w:tc>
        <w:tc>
          <w:tcPr>
            <w:tcW w:w="5809" w:type="dxa"/>
            <w:vAlign w:val="center"/>
          </w:tcPr>
          <w:p w14:paraId="329BC13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验收后</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日内</w:t>
            </w:r>
          </w:p>
        </w:tc>
      </w:tr>
      <w:tr w14:paraId="64F558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E1087D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EB034A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4.6款</w:t>
            </w:r>
          </w:p>
        </w:tc>
        <w:tc>
          <w:tcPr>
            <w:tcW w:w="2055" w:type="dxa"/>
            <w:vAlign w:val="center"/>
          </w:tcPr>
          <w:p w14:paraId="3762F47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约定甲方承担的其他义务和责任</w:t>
            </w:r>
          </w:p>
        </w:tc>
        <w:tc>
          <w:tcPr>
            <w:tcW w:w="5809" w:type="dxa"/>
            <w:vAlign w:val="center"/>
          </w:tcPr>
          <w:p w14:paraId="20633EE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0EC029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AE77D1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30CD763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5.4款</w:t>
            </w:r>
          </w:p>
        </w:tc>
        <w:tc>
          <w:tcPr>
            <w:tcW w:w="2055" w:type="dxa"/>
            <w:vAlign w:val="center"/>
          </w:tcPr>
          <w:p w14:paraId="1D7E640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约定乙方承担的其他义务和责任</w:t>
            </w:r>
          </w:p>
        </w:tc>
        <w:tc>
          <w:tcPr>
            <w:tcW w:w="5809" w:type="dxa"/>
            <w:vAlign w:val="center"/>
          </w:tcPr>
          <w:p w14:paraId="5721093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17679F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90054A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43FC8E3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6.1款</w:t>
            </w:r>
          </w:p>
        </w:tc>
        <w:tc>
          <w:tcPr>
            <w:tcW w:w="2055" w:type="dxa"/>
            <w:vAlign w:val="center"/>
          </w:tcPr>
          <w:p w14:paraId="719E76B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履行合同义务的顺序</w:t>
            </w:r>
          </w:p>
        </w:tc>
        <w:tc>
          <w:tcPr>
            <w:tcW w:w="5809" w:type="dxa"/>
            <w:vAlign w:val="center"/>
          </w:tcPr>
          <w:p w14:paraId="57A1C42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23ED48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0C09CDF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794E52C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6F4DE76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包装</w:t>
            </w:r>
            <w:r>
              <w:rPr>
                <w:rFonts w:hint="eastAsia" w:ascii="仿宋" w:hAnsi="仿宋" w:eastAsia="仿宋" w:cs="仿宋"/>
                <w:color w:val="000000" w:themeColor="text1"/>
                <w:sz w:val="21"/>
                <w:szCs w:val="21"/>
                <w:highlight w:val="none"/>
                <w:lang w:eastAsia="zh-CN"/>
                <w14:textFill>
                  <w14:solidFill>
                    <w14:schemeClr w14:val="tx1"/>
                  </w14:solidFill>
                </w14:textFill>
              </w:rPr>
              <w:t>特殊要求</w:t>
            </w:r>
          </w:p>
        </w:tc>
        <w:tc>
          <w:tcPr>
            <w:tcW w:w="5809" w:type="dxa"/>
            <w:vAlign w:val="center"/>
          </w:tcPr>
          <w:p w14:paraId="665572A7">
            <w:pPr>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tc>
      </w:tr>
      <w:tr w14:paraId="49AC24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7F9A05C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p>
        </w:tc>
        <w:tc>
          <w:tcPr>
            <w:tcW w:w="2055" w:type="dxa"/>
            <w:vAlign w:val="center"/>
          </w:tcPr>
          <w:p w14:paraId="065FEE4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指定现场</w:t>
            </w:r>
          </w:p>
        </w:tc>
        <w:tc>
          <w:tcPr>
            <w:tcW w:w="5809" w:type="dxa"/>
            <w:vAlign w:val="center"/>
          </w:tcPr>
          <w:p w14:paraId="5B4995F5">
            <w:pP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采购人指定地点</w:t>
            </w:r>
          </w:p>
        </w:tc>
      </w:tr>
      <w:tr w14:paraId="06387F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6E30BBC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820274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3905638A">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运输特殊要求</w:t>
            </w:r>
          </w:p>
        </w:tc>
        <w:tc>
          <w:tcPr>
            <w:tcW w:w="5809" w:type="dxa"/>
            <w:vAlign w:val="center"/>
          </w:tcPr>
          <w:p w14:paraId="33EDFA9E">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1.乙方负责所有产品的运输，确保采购产品安全、完整到达甲方指定地点。运杂费用包含在合同总价内，包括从产品供应地点所含的运输费、装卸费、</w:t>
            </w:r>
            <w:r>
              <w:rPr>
                <w:rFonts w:hint="eastAsia" w:ascii="仿宋" w:hAnsi="仿宋" w:eastAsia="仿宋" w:cs="仿宋"/>
                <w:color w:val="000000" w:themeColor="text1"/>
                <w:sz w:val="21"/>
                <w:szCs w:val="21"/>
                <w:highlight w:val="none"/>
                <w:lang w:val="en-US" w:eastAsia="zh-CN"/>
                <w14:textFill>
                  <w14:solidFill>
                    <w14:schemeClr w14:val="tx1"/>
                  </w14:solidFill>
                </w14:textFill>
              </w:rPr>
              <w:t>邮递费、</w:t>
            </w:r>
            <w:r>
              <w:rPr>
                <w:rFonts w:hint="eastAsia" w:ascii="仿宋" w:hAnsi="仿宋" w:eastAsia="仿宋" w:cs="仿宋"/>
                <w:color w:val="000000" w:themeColor="text1"/>
                <w:sz w:val="21"/>
                <w:szCs w:val="21"/>
                <w:highlight w:val="none"/>
                <w14:textFill>
                  <w14:solidFill>
                    <w14:schemeClr w14:val="tx1"/>
                  </w14:solidFill>
                </w14:textFill>
              </w:rPr>
              <w:t>仓储费、保险费等。</w:t>
            </w:r>
          </w:p>
          <w:p w14:paraId="3D860162">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2.运输方式由乙方自行选择，但必须保证按期交货</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所</w:t>
            </w:r>
            <w:r>
              <w:rPr>
                <w:rFonts w:hint="eastAsia" w:ascii="仿宋" w:hAnsi="仿宋" w:eastAsia="仿宋" w:cs="仿宋"/>
                <w:color w:val="000000" w:themeColor="text1"/>
                <w:sz w:val="21"/>
                <w:szCs w:val="21"/>
                <w:highlight w:val="none"/>
                <w:lang w:val="en-US" w:eastAsia="zh-CN"/>
                <w14:textFill>
                  <w14:solidFill>
                    <w14:schemeClr w14:val="tx1"/>
                  </w14:solidFill>
                </w14:textFill>
              </w:rPr>
              <w:t>有</w:t>
            </w:r>
            <w:r>
              <w:rPr>
                <w:rFonts w:hint="eastAsia" w:ascii="仿宋" w:hAnsi="仿宋" w:eastAsia="仿宋" w:cs="仿宋"/>
                <w:color w:val="000000" w:themeColor="text1"/>
                <w:sz w:val="21"/>
                <w:szCs w:val="21"/>
                <w:highlight w:val="none"/>
                <w14:textFill>
                  <w14:solidFill>
                    <w14:schemeClr w14:val="tx1"/>
                  </w14:solidFill>
                </w14:textFill>
              </w:rPr>
              <w:t>采购货物在运输、搬运的过程中，造成甲方损失的，由乙方为甲方免费更换。</w:t>
            </w:r>
          </w:p>
        </w:tc>
      </w:tr>
      <w:tr w14:paraId="58C4E4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21566AF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6ECE151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.3</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10D97802">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保险要求</w:t>
            </w:r>
          </w:p>
        </w:tc>
        <w:tc>
          <w:tcPr>
            <w:tcW w:w="5809" w:type="dxa"/>
            <w:vAlign w:val="center"/>
          </w:tcPr>
          <w:p w14:paraId="20B364AA">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有关运输和保险的一切费用由乙方承担</w:t>
            </w:r>
          </w:p>
        </w:tc>
      </w:tr>
      <w:tr w14:paraId="00EF3E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8" w:hRule="atLeast"/>
          <w:jc w:val="center"/>
        </w:trPr>
        <w:tc>
          <w:tcPr>
            <w:tcW w:w="1608" w:type="dxa"/>
            <w:vAlign w:val="center"/>
          </w:tcPr>
          <w:p w14:paraId="251788F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163653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.2（1）项</w:t>
            </w:r>
          </w:p>
        </w:tc>
        <w:tc>
          <w:tcPr>
            <w:tcW w:w="2055" w:type="dxa"/>
            <w:vAlign w:val="center"/>
          </w:tcPr>
          <w:p w14:paraId="4AF93A01">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质量保证期</w:t>
            </w:r>
          </w:p>
        </w:tc>
        <w:tc>
          <w:tcPr>
            <w:tcW w:w="5809" w:type="dxa"/>
            <w:vAlign w:val="center"/>
          </w:tcPr>
          <w:p w14:paraId="00D40EF3">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1.乙方须提供全新的、未使用过的合格正品货物（含零部件、配件等），完全符合合同规定的质量、规格和性能的要求。</w:t>
            </w:r>
          </w:p>
          <w:p w14:paraId="73807D5A">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2.乙方提供的节能和环保产品必须是列入节能、环保标志产品品目清单中的产品。</w:t>
            </w:r>
          </w:p>
          <w:p w14:paraId="26CCF3CA">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26698733">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15BCA45C">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13648113">
            <w:pPr>
              <w:autoSpaceDE w:val="0"/>
              <w:autoSpaceDN w:val="0"/>
              <w:adjustRightInd w:val="0"/>
              <w:snapToGrid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6.质量保证期</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tc>
      </w:tr>
      <w:tr w14:paraId="460146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30EEC0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4D4D8C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.2（3）项</w:t>
            </w:r>
          </w:p>
        </w:tc>
        <w:tc>
          <w:tcPr>
            <w:tcW w:w="2055" w:type="dxa"/>
            <w:vAlign w:val="center"/>
          </w:tcPr>
          <w:p w14:paraId="5B24C71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货物质量缺陷</w:t>
            </w:r>
            <w:r>
              <w:rPr>
                <w:rFonts w:hint="eastAsia" w:ascii="仿宋" w:hAnsi="仿宋" w:eastAsia="仿宋" w:cs="仿宋"/>
                <w:color w:val="000000" w:themeColor="text1"/>
                <w:sz w:val="21"/>
                <w:szCs w:val="21"/>
                <w:highlight w:val="none"/>
                <w14:textFill>
                  <w14:solidFill>
                    <w14:schemeClr w14:val="tx1"/>
                  </w14:solidFill>
                </w14:textFill>
              </w:rPr>
              <w:t>响应时间</w:t>
            </w:r>
          </w:p>
        </w:tc>
        <w:tc>
          <w:tcPr>
            <w:tcW w:w="5809" w:type="dxa"/>
            <w:vAlign w:val="center"/>
          </w:tcPr>
          <w:p w14:paraId="4147BC0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发现质量缺陷24小时内做出响应并提供解决方案</w:t>
            </w:r>
          </w:p>
        </w:tc>
      </w:tr>
      <w:tr w14:paraId="5ED05F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D29F3B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第二节</w:t>
            </w:r>
          </w:p>
          <w:p w14:paraId="4F90E899">
            <w:pPr>
              <w:pStyle w:val="8"/>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第11.1款</w:t>
            </w:r>
          </w:p>
        </w:tc>
        <w:tc>
          <w:tcPr>
            <w:tcW w:w="2055" w:type="dxa"/>
            <w:vAlign w:val="center"/>
          </w:tcPr>
          <w:p w14:paraId="65464A43">
            <w:pPr>
              <w:keepNext w:val="0"/>
              <w:keepLines w:val="0"/>
              <w:pageBreakBefore w:val="0"/>
              <w:kinsoku/>
              <w:wordWrap/>
              <w:overflowPunct/>
              <w:topLinePunct w:val="0"/>
              <w:bidi w:val="0"/>
              <w:adjustRightInd w:val="0"/>
              <w:snapToGrid w:val="0"/>
              <w:spacing w:line="324" w:lineRule="auto"/>
              <w:ind w:firstLine="0" w:firstLineChars="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其他应当保密的信息</w:t>
            </w:r>
          </w:p>
        </w:tc>
        <w:tc>
          <w:tcPr>
            <w:tcW w:w="5809" w:type="dxa"/>
            <w:vAlign w:val="center"/>
          </w:tcPr>
          <w:p w14:paraId="36059A4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3CB930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7C898F5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BC8CB5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.2款</w:t>
            </w:r>
          </w:p>
        </w:tc>
        <w:tc>
          <w:tcPr>
            <w:tcW w:w="2055" w:type="dxa"/>
            <w:vAlign w:val="center"/>
          </w:tcPr>
          <w:p w14:paraId="5A55D7D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合同价款支付</w:t>
            </w:r>
            <w:r>
              <w:rPr>
                <w:rFonts w:hint="eastAsia" w:ascii="仿宋" w:hAnsi="仿宋" w:eastAsia="仿宋" w:cs="仿宋"/>
                <w:color w:val="000000" w:themeColor="text1"/>
                <w:sz w:val="21"/>
                <w:szCs w:val="21"/>
                <w:highlight w:val="none"/>
                <w:lang w:eastAsia="zh-CN"/>
                <w14:textFill>
                  <w14:solidFill>
                    <w14:schemeClr w14:val="tx1"/>
                  </w14:solidFill>
                </w14:textFill>
              </w:rPr>
              <w:t>时间</w:t>
            </w:r>
          </w:p>
        </w:tc>
        <w:tc>
          <w:tcPr>
            <w:tcW w:w="5809" w:type="dxa"/>
            <w:vAlign w:val="center"/>
          </w:tcPr>
          <w:p w14:paraId="681DE4F3">
            <w:pPr>
              <w:adjustRightInd w:val="0"/>
              <w:snapToGrid w:val="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（1）自合同签订生效，</w:t>
            </w:r>
            <w:r>
              <w:rPr>
                <w:rFonts w:hint="eastAsia" w:ascii="仿宋" w:hAnsi="仿宋" w:eastAsia="仿宋" w:cs="仿宋"/>
                <w:color w:val="000000" w:themeColor="text1"/>
                <w:sz w:val="21"/>
                <w:szCs w:val="21"/>
                <w:highlight w:val="none"/>
                <w:lang w:val="en-US" w:eastAsia="zh-CN"/>
                <w14:textFill>
                  <w14:solidFill>
                    <w14:schemeClr w14:val="tx1"/>
                  </w14:solidFill>
                </w14:textFill>
              </w:rPr>
              <w:t>乙方</w:t>
            </w:r>
            <w:r>
              <w:rPr>
                <w:rFonts w:hint="eastAsia" w:ascii="仿宋" w:hAnsi="仿宋" w:eastAsia="仿宋" w:cs="仿宋"/>
                <w:color w:val="000000" w:themeColor="text1"/>
                <w:sz w:val="21"/>
                <w:szCs w:val="21"/>
                <w:highlight w:val="none"/>
                <w14:textFill>
                  <w14:solidFill>
                    <w14:schemeClr w14:val="tx1"/>
                  </w14:solidFill>
                </w14:textFill>
              </w:rPr>
              <w:t>所供批次产品通过验收，</w:t>
            </w:r>
            <w:r>
              <w:rPr>
                <w:rFonts w:hint="eastAsia" w:ascii="仿宋" w:hAnsi="仿宋" w:eastAsia="仿宋" w:cs="仿宋"/>
                <w:color w:val="000000" w:themeColor="text1"/>
                <w:sz w:val="21"/>
                <w:szCs w:val="21"/>
                <w:highlight w:val="none"/>
                <w:lang w:val="en-US" w:eastAsia="zh-CN"/>
                <w14:textFill>
                  <w14:solidFill>
                    <w14:schemeClr w14:val="tx1"/>
                  </w14:solidFill>
                </w14:textFill>
              </w:rPr>
              <w:t>且乙方</w:t>
            </w:r>
            <w:r>
              <w:rPr>
                <w:rFonts w:hint="eastAsia" w:ascii="仿宋" w:hAnsi="仿宋" w:eastAsia="仿宋" w:cs="仿宋"/>
                <w:color w:val="000000" w:themeColor="text1"/>
                <w:sz w:val="21"/>
                <w:szCs w:val="21"/>
                <w:highlight w:val="none"/>
                <w14:textFill>
                  <w14:solidFill>
                    <w14:schemeClr w14:val="tx1"/>
                  </w14:solidFill>
                </w14:textFill>
              </w:rPr>
              <w:t>提供产品清单等相关资料经</w:t>
            </w:r>
            <w:r>
              <w:rPr>
                <w:rFonts w:hint="eastAsia" w:ascii="仿宋" w:hAnsi="仿宋" w:eastAsia="仿宋" w:cs="仿宋"/>
                <w:color w:val="000000" w:themeColor="text1"/>
                <w:sz w:val="21"/>
                <w:szCs w:val="21"/>
                <w:highlight w:val="none"/>
                <w:lang w:val="en-US"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确认后，达到付款条件起10个工作日内，支付本批次合同总金额的100.00%</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07C2E988">
            <w:pPr>
              <w:pStyle w:val="3"/>
              <w:rPr>
                <w:rFonts w:hint="eastAsia" w:ascii="仿宋" w:hAnsi="仿宋" w:eastAsia="仿宋" w:cs="仿宋"/>
                <w:b/>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（2）付款前乙方应开具与付款金额一致的正式发票给甲方，甲方收到发票后以转账形式支付乙方费用，否则，甲方有权拒绝付款且不承担任何违约责任，且乙方不得以此为由停止履行本合同项下的任意义务</w:t>
            </w:r>
            <w:r>
              <w:rPr>
                <w:rFonts w:hint="eastAsia" w:ascii="仿宋" w:hAnsi="仿宋" w:eastAsia="仿宋" w:cs="仿宋"/>
                <w:color w:val="000000" w:themeColor="text1"/>
                <w:sz w:val="21"/>
                <w:szCs w:val="21"/>
                <w:highlight w:val="none"/>
                <w:lang w:eastAsia="zh-CN"/>
                <w14:textFill>
                  <w14:solidFill>
                    <w14:schemeClr w14:val="tx1"/>
                  </w14:solidFill>
                </w14:textFill>
              </w:rPr>
              <w:t>。</w:t>
            </w:r>
          </w:p>
        </w:tc>
      </w:tr>
      <w:tr w14:paraId="7C4FE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6BDC64A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0860A6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13.2</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75D36C3B">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履约保证金不予退还的情形</w:t>
            </w:r>
          </w:p>
        </w:tc>
        <w:tc>
          <w:tcPr>
            <w:tcW w:w="5809" w:type="dxa"/>
            <w:vAlign w:val="center"/>
          </w:tcPr>
          <w:p w14:paraId="77FD5394">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0BDF21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FE7000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D58279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13.3</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0408280B">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履约保证金退还时间及</w:t>
            </w:r>
            <w:r>
              <w:rPr>
                <w:rFonts w:hint="eastAsia" w:ascii="仿宋" w:hAnsi="仿宋" w:eastAsia="仿宋" w:cs="仿宋"/>
                <w:color w:val="000000" w:themeColor="text1"/>
                <w:sz w:val="21"/>
                <w:szCs w:val="21"/>
                <w:highlight w:val="none"/>
                <w:lang w:eastAsia="zh-CN"/>
                <w14:textFill>
                  <w14:solidFill>
                    <w14:schemeClr w14:val="tx1"/>
                  </w14:solidFill>
                </w14:textFill>
              </w:rPr>
              <w:t>逾期退还的</w:t>
            </w:r>
            <w:r>
              <w:rPr>
                <w:rFonts w:hint="eastAsia" w:ascii="仿宋" w:hAnsi="仿宋" w:eastAsia="仿宋" w:cs="仿宋"/>
                <w:color w:val="000000" w:themeColor="text1"/>
                <w:sz w:val="21"/>
                <w:szCs w:val="21"/>
                <w:highlight w:val="none"/>
                <w14:textFill>
                  <w14:solidFill>
                    <w14:schemeClr w14:val="tx1"/>
                  </w14:solidFill>
                </w14:textFill>
              </w:rPr>
              <w:t>违约金</w:t>
            </w:r>
          </w:p>
        </w:tc>
        <w:tc>
          <w:tcPr>
            <w:tcW w:w="5809" w:type="dxa"/>
            <w:vAlign w:val="center"/>
          </w:tcPr>
          <w:p w14:paraId="7278D746">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0459E3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2C4B85B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0CD34D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4C9F906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运行监督、维修期限</w:t>
            </w:r>
          </w:p>
        </w:tc>
        <w:tc>
          <w:tcPr>
            <w:tcW w:w="5809" w:type="dxa"/>
            <w:vAlign w:val="center"/>
          </w:tcPr>
          <w:p w14:paraId="1CE328A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24AA5F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3A5F5A8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6651EC4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0021EFA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货物回收的约定</w:t>
            </w:r>
          </w:p>
        </w:tc>
        <w:tc>
          <w:tcPr>
            <w:tcW w:w="5809" w:type="dxa"/>
            <w:vAlign w:val="center"/>
          </w:tcPr>
          <w:p w14:paraId="77E9765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发现质量缺陷对应货物回收并重新发货</w:t>
            </w:r>
          </w:p>
        </w:tc>
      </w:tr>
      <w:tr w14:paraId="44239A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484EE1B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3FFDD3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65546F3B">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乙方提供的其他服务</w:t>
            </w:r>
          </w:p>
        </w:tc>
        <w:tc>
          <w:tcPr>
            <w:tcW w:w="5809" w:type="dxa"/>
            <w:vAlign w:val="center"/>
          </w:tcPr>
          <w:p w14:paraId="3930A40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0EC926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706F93B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557D4A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1款</w:t>
            </w:r>
          </w:p>
        </w:tc>
        <w:tc>
          <w:tcPr>
            <w:tcW w:w="2055" w:type="dxa"/>
            <w:vAlign w:val="center"/>
          </w:tcPr>
          <w:p w14:paraId="1596F510">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修理、重做、更换相关具体规定</w:t>
            </w:r>
          </w:p>
        </w:tc>
        <w:tc>
          <w:tcPr>
            <w:tcW w:w="5809" w:type="dxa"/>
            <w:vAlign w:val="center"/>
          </w:tcPr>
          <w:p w14:paraId="25A5385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47F588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6C9302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BEDC04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.2（2）项</w:t>
            </w:r>
          </w:p>
        </w:tc>
        <w:tc>
          <w:tcPr>
            <w:tcW w:w="2055" w:type="dxa"/>
            <w:vAlign w:val="center"/>
          </w:tcPr>
          <w:p w14:paraId="521FE1B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迟延交货赔偿费</w:t>
            </w:r>
          </w:p>
        </w:tc>
        <w:tc>
          <w:tcPr>
            <w:tcW w:w="5809" w:type="dxa"/>
            <w:vAlign w:val="center"/>
          </w:tcPr>
          <w:p w14:paraId="1125FF0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乙方逾期交货的，每逾期一日按合同价款的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‰向甲方支付违约金。逾期达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日，甲方有权解除合同，乙方应按合同的价款的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%向甲方支付违约金，并赔偿由此给甲方造成的相关经济损失。</w:t>
            </w:r>
          </w:p>
        </w:tc>
      </w:tr>
      <w:tr w14:paraId="6032B9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121B885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1CE6A9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3款</w:t>
            </w:r>
          </w:p>
        </w:tc>
        <w:tc>
          <w:tcPr>
            <w:tcW w:w="2055" w:type="dxa"/>
            <w:vAlign w:val="center"/>
          </w:tcPr>
          <w:p w14:paraId="51EDE83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逾期付款利息</w:t>
            </w:r>
          </w:p>
        </w:tc>
        <w:tc>
          <w:tcPr>
            <w:tcW w:w="5809" w:type="dxa"/>
            <w:vAlign w:val="center"/>
          </w:tcPr>
          <w:p w14:paraId="5594BE7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因甲方所付款</w:t>
            </w:r>
            <w:r>
              <w:rPr>
                <w:rFonts w:hint="eastAsia" w:ascii="仿宋" w:hAnsi="仿宋" w:eastAsia="仿宋" w:cs="仿宋"/>
                <w:color w:val="000000" w:themeColor="text1"/>
                <w:sz w:val="21"/>
                <w:szCs w:val="21"/>
                <w:highlight w:val="none"/>
                <w:lang w:val="en-US" w:eastAsia="zh-CN"/>
                <w14:textFill>
                  <w14:solidFill>
                    <w14:schemeClr w14:val="tx1"/>
                  </w14:solidFill>
                </w14:textFill>
              </w:rPr>
              <w:t>项</w:t>
            </w:r>
            <w:r>
              <w:rPr>
                <w:rFonts w:hint="eastAsia" w:ascii="仿宋" w:hAnsi="仿宋" w:eastAsia="仿宋" w:cs="仿宋"/>
                <w:color w:val="000000" w:themeColor="text1"/>
                <w:sz w:val="21"/>
                <w:szCs w:val="21"/>
                <w:highlight w:val="none"/>
                <w14:textFill>
                  <w14:solidFill>
                    <w14:schemeClr w14:val="tx1"/>
                  </w14:solidFill>
                </w14:textFill>
              </w:rPr>
              <w:t>均需审批，本合同履行期间，非因甲方故意拖延付款申请流程造成的逾期付款的，乙方对此予以谅解不</w:t>
            </w:r>
            <w:r>
              <w:rPr>
                <w:rFonts w:hint="eastAsia" w:ascii="仿宋" w:hAnsi="仿宋" w:eastAsia="仿宋" w:cs="仿宋"/>
                <w:color w:val="000000" w:themeColor="text1"/>
                <w:sz w:val="21"/>
                <w:szCs w:val="21"/>
                <w:highlight w:val="none"/>
                <w:lang w:val="en-US" w:eastAsia="zh-CN"/>
                <w14:textFill>
                  <w14:solidFill>
                    <w14:schemeClr w14:val="tx1"/>
                  </w14:solidFill>
                </w14:textFill>
              </w:rPr>
              <w:t>予以</w:t>
            </w:r>
            <w:r>
              <w:rPr>
                <w:rFonts w:hint="eastAsia" w:ascii="仿宋" w:hAnsi="仿宋" w:eastAsia="仿宋" w:cs="仿宋"/>
                <w:color w:val="000000" w:themeColor="text1"/>
                <w:sz w:val="21"/>
                <w:szCs w:val="21"/>
                <w:highlight w:val="none"/>
                <w14:textFill>
                  <w14:solidFill>
                    <w14:schemeClr w14:val="tx1"/>
                  </w14:solidFill>
                </w14:textFill>
              </w:rPr>
              <w:t>追究甲方的逾期付款责任。</w:t>
            </w:r>
          </w:p>
        </w:tc>
      </w:tr>
      <w:tr w14:paraId="6E638A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05AD731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4C946D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.4</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left w:val="single" w:color="auto" w:sz="2" w:space="0"/>
              <w:bottom w:val="single" w:color="auto" w:sz="2" w:space="0"/>
              <w:right w:val="single" w:color="auto" w:sz="2" w:space="0"/>
            </w:tcBorders>
            <w:vAlign w:val="center"/>
          </w:tcPr>
          <w:p w14:paraId="4E02185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其他违约责任</w:t>
            </w:r>
          </w:p>
        </w:tc>
        <w:tc>
          <w:tcPr>
            <w:tcW w:w="5809" w:type="dxa"/>
            <w:tcBorders>
              <w:left w:val="single" w:color="auto" w:sz="2" w:space="0"/>
              <w:bottom w:val="single" w:color="auto" w:sz="2" w:space="0"/>
            </w:tcBorders>
            <w:vAlign w:val="center"/>
          </w:tcPr>
          <w:p w14:paraId="01F69F5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1.乙方违约责任</w:t>
            </w:r>
          </w:p>
          <w:p w14:paraId="05BF7D3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kern w:val="0"/>
                <w:sz w:val="22"/>
                <w:szCs w:val="22"/>
                <w:highlight w:val="none"/>
                <w14:textFill>
                  <w14:solidFill>
                    <w14:schemeClr w14:val="tx1"/>
                  </w14:solidFill>
                </w14:textFill>
              </w:rPr>
              <w:t>八一慰问品和春节慰问品按</w:t>
            </w:r>
            <w:r>
              <w:rPr>
                <w:rFonts w:hint="eastAsia" w:ascii="仿宋" w:hAnsi="仿宋" w:eastAsia="仿宋" w:cs="仿宋"/>
                <w:color w:val="000000" w:themeColor="text1"/>
                <w:kern w:val="0"/>
                <w:sz w:val="22"/>
                <w:szCs w:val="22"/>
                <w:highlight w:val="none"/>
                <w:lang w:val="en-US" w:eastAsia="zh-CN"/>
                <w14:textFill>
                  <w14:solidFill>
                    <w14:schemeClr w14:val="tx1"/>
                  </w14:solidFill>
                </w14:textFill>
              </w:rPr>
              <w:t>甲方</w:t>
            </w:r>
            <w:r>
              <w:rPr>
                <w:rFonts w:hint="eastAsia" w:ascii="仿宋" w:hAnsi="仿宋" w:eastAsia="仿宋" w:cs="仿宋"/>
                <w:color w:val="000000" w:themeColor="text1"/>
                <w:kern w:val="0"/>
                <w:sz w:val="22"/>
                <w:szCs w:val="22"/>
                <w:highlight w:val="none"/>
                <w14:textFill>
                  <w14:solidFill>
                    <w14:schemeClr w14:val="tx1"/>
                  </w14:solidFill>
                </w14:textFill>
              </w:rPr>
              <w:t>要求分别按批次配送，每次接到采购人通知</w:t>
            </w:r>
            <w:r>
              <w:rPr>
                <w:rFonts w:hint="eastAsia" w:ascii="仿宋" w:hAnsi="仿宋" w:eastAsia="仿宋" w:cs="仿宋"/>
                <w:color w:val="000000" w:themeColor="text1"/>
                <w:kern w:val="0"/>
                <w:sz w:val="22"/>
                <w:szCs w:val="22"/>
                <w:highlight w:val="none"/>
                <w:lang w:val="en-US" w:eastAsia="zh-CN"/>
                <w14:textFill>
                  <w14:solidFill>
                    <w14:schemeClr w14:val="tx1"/>
                  </w14:solidFill>
                </w14:textFill>
              </w:rPr>
              <w:t>5</w:t>
            </w:r>
            <w:r>
              <w:rPr>
                <w:rFonts w:hint="eastAsia" w:ascii="仿宋" w:hAnsi="仿宋" w:eastAsia="仿宋" w:cs="仿宋"/>
                <w:color w:val="000000" w:themeColor="text1"/>
                <w:kern w:val="0"/>
                <w:sz w:val="22"/>
                <w:szCs w:val="22"/>
                <w:highlight w:val="none"/>
                <w14:textFill>
                  <w14:solidFill>
                    <w14:schemeClr w14:val="tx1"/>
                  </w14:solidFill>
                </w14:textFill>
              </w:rPr>
              <w:t>日内</w:t>
            </w:r>
            <w:r>
              <w:rPr>
                <w:rFonts w:hint="eastAsia" w:ascii="仿宋" w:hAnsi="仿宋" w:eastAsia="仿宋" w:cs="仿宋"/>
                <w:color w:val="000000" w:themeColor="text1"/>
                <w:kern w:val="0"/>
                <w:sz w:val="22"/>
                <w:szCs w:val="22"/>
                <w:highlight w:val="none"/>
                <w14:textFill>
                  <w14:solidFill>
                    <w14:schemeClr w14:val="tx1"/>
                  </w14:solidFill>
                </w14:textFill>
              </w:rPr>
              <w:t>完成配送</w:t>
            </w:r>
            <w:r>
              <w:rPr>
                <w:rFonts w:hint="eastAsia" w:ascii="仿宋" w:hAnsi="仿宋" w:eastAsia="仿宋" w:cs="仿宋"/>
                <w:color w:val="000000" w:themeColor="text1"/>
                <w:kern w:val="0"/>
                <w:sz w:val="22"/>
                <w:szCs w:val="22"/>
                <w:highlight w:val="none"/>
                <w:lang w:eastAsia="zh-CN"/>
                <w14:textFill>
                  <w14:solidFill>
                    <w14:schemeClr w14:val="tx1"/>
                  </w14:solidFill>
                </w14:textFill>
              </w:rPr>
              <w:t>。</w:t>
            </w:r>
            <w:r>
              <w:rPr>
                <w:rFonts w:hint="eastAsia" w:ascii="仿宋" w:hAnsi="仿宋" w:eastAsia="仿宋" w:cs="仿宋"/>
                <w:b w:val="0"/>
                <w:bCs/>
                <w:color w:val="000000" w:themeColor="text1"/>
                <w:sz w:val="22"/>
                <w:szCs w:val="22"/>
                <w:highlight w:val="none"/>
                <w:lang w:val="en-US" w:eastAsia="zh-CN"/>
                <w14:textFill>
                  <w14:solidFill>
                    <w14:schemeClr w14:val="tx1"/>
                  </w14:solidFill>
                </w14:textFill>
              </w:rPr>
              <w:t>所有货物(产品)按约定时间送达，不合格货物(产品)1小时内换货，紧急补货≤2小时，</w:t>
            </w:r>
            <w:r>
              <w:rPr>
                <w:rFonts w:hint="eastAsia" w:ascii="仿宋" w:hAnsi="仿宋" w:eastAsia="仿宋" w:cs="仿宋"/>
                <w:color w:val="000000" w:themeColor="text1"/>
                <w:sz w:val="21"/>
                <w:szCs w:val="21"/>
                <w:highlight w:val="none"/>
                <w14:textFill>
                  <w14:solidFill>
                    <w14:schemeClr w14:val="tx1"/>
                  </w14:solidFill>
                </w14:textFill>
              </w:rPr>
              <w:t>如乙方不能</w:t>
            </w:r>
            <w:r>
              <w:rPr>
                <w:rFonts w:hint="eastAsia" w:ascii="仿宋" w:hAnsi="仿宋" w:eastAsia="仿宋" w:cs="仿宋"/>
                <w:color w:val="000000" w:themeColor="text1"/>
                <w:sz w:val="21"/>
                <w:szCs w:val="21"/>
                <w:highlight w:val="none"/>
                <w:lang w:val="en-US" w:eastAsia="zh-CN"/>
                <w14:textFill>
                  <w14:solidFill>
                    <w14:schemeClr w14:val="tx1"/>
                  </w14:solidFill>
                </w14:textFill>
              </w:rPr>
              <w:t>按时</w:t>
            </w:r>
            <w:r>
              <w:rPr>
                <w:rFonts w:hint="eastAsia" w:ascii="仿宋" w:hAnsi="仿宋" w:eastAsia="仿宋" w:cs="仿宋"/>
                <w:color w:val="000000" w:themeColor="text1"/>
                <w:sz w:val="21"/>
                <w:szCs w:val="21"/>
                <w:highlight w:val="none"/>
                <w14:textFill>
                  <w14:solidFill>
                    <w14:schemeClr w14:val="tx1"/>
                  </w14:solidFill>
                </w14:textFill>
              </w:rPr>
              <w:t>交付</w:t>
            </w:r>
            <w:r>
              <w:rPr>
                <w:rFonts w:hint="eastAsia" w:ascii="仿宋" w:hAnsi="仿宋" w:eastAsia="仿宋" w:cs="仿宋"/>
                <w:color w:val="000000" w:themeColor="text1"/>
                <w:sz w:val="21"/>
                <w:szCs w:val="21"/>
                <w:highlight w:val="none"/>
                <w:lang w:val="en-US" w:eastAsia="zh-CN"/>
                <w14:textFill>
                  <w14:solidFill>
                    <w14:schemeClr w14:val="tx1"/>
                  </w14:solidFill>
                </w14:textFill>
              </w:rPr>
              <w:t>的</w:t>
            </w:r>
            <w:r>
              <w:rPr>
                <w:rFonts w:hint="eastAsia" w:ascii="仿宋" w:hAnsi="仿宋" w:eastAsia="仿宋" w:cs="仿宋"/>
                <w:color w:val="000000" w:themeColor="text1"/>
                <w:sz w:val="21"/>
                <w:szCs w:val="21"/>
                <w:highlight w:val="none"/>
                <w14:textFill>
                  <w14:solidFill>
                    <w14:schemeClr w14:val="tx1"/>
                  </w14:solidFill>
                </w14:textFill>
              </w:rPr>
              <w:t>，同时乙方应向甲方支付合同总价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62B716B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（2）乙方逾期交付货物的，每逾期1天，乙方向甲方偿付逾期交货部分货款总额的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‰的滞纳金。如乙方逾期交货达_</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_天，甲方有权解除合同，解除合同的通知自到达乙方时生效；</w:t>
            </w:r>
          </w:p>
          <w:p w14:paraId="56CD330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7DD78E8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5EEBC77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4616035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（6）乙方未按本合同的规定和“服务承诺”提供伴随服务/售后服务的，应按合同总价款的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‰向甲方承担违约责任；</w:t>
            </w:r>
          </w:p>
          <w:p w14:paraId="38671C9D">
            <w:pPr>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7</w:t>
            </w: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质保期内，如因产品自身质量问题发生故障，乙方负责免费维修。乙方不履行该维修义务，甲方有权委托第三方维修，由乙方承担由此产生的维修费用，并向甲方承担合同总额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的违约责任。乙方负责对产品实行终身维护、维修，维护、维修时按成本价收费。</w:t>
            </w:r>
          </w:p>
          <w:p w14:paraId="7EED7A85">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）乙方在承担上述1-7款一项或多项违约责任后，仍应继续履行合同规定的义务（甲方解除合同的除外）。甲方未能及时追究乙方的任何一项违约责任并不表明甲方放弃追究乙方该项或其他违约责任</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4923723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9</w:t>
            </w:r>
            <w:r>
              <w:rPr>
                <w:rFonts w:hint="eastAsia" w:ascii="仿宋" w:hAnsi="仿宋" w:eastAsia="仿宋" w:cs="仿宋"/>
                <w:color w:val="000000" w:themeColor="text1"/>
                <w:sz w:val="21"/>
                <w:szCs w:val="21"/>
                <w:highlight w:val="none"/>
                <w14:textFill>
                  <w14:solidFill>
                    <w14:schemeClr w14:val="tx1"/>
                  </w14:solidFill>
                </w14:textFill>
              </w:rPr>
              <w:t>）乙方偿付的违约金不足以弥补甲方损失的，还应按甲方损失尚未弥补的部分，支付赔偿金给甲方。</w:t>
            </w:r>
          </w:p>
          <w:p w14:paraId="19E4589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0</w:t>
            </w:r>
            <w:r>
              <w:rPr>
                <w:rFonts w:hint="eastAsia" w:ascii="仿宋" w:hAnsi="仿宋" w:eastAsia="仿宋" w:cs="仿宋"/>
                <w:color w:val="000000" w:themeColor="text1"/>
                <w:sz w:val="21"/>
                <w:szCs w:val="21"/>
                <w:highlight w:val="none"/>
                <w14:textFill>
                  <w14:solidFill>
                    <w14:schemeClr w14:val="tx1"/>
                  </w14:solidFill>
                </w14:textFill>
              </w:rPr>
              <w:t>）依据《中华人民共和国民法典》、《中华人民共和国政府采购法》的相关条款和所签署的合同约定，乙方未全面履行合同义务或者发生违约，甲方会依法向乙方进行经济索赔，并报请监督管理机关进行相应的行政处罚。</w:t>
            </w:r>
          </w:p>
        </w:tc>
      </w:tr>
      <w:tr w14:paraId="533BA0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87" w:hRule="atLeast"/>
          <w:jc w:val="center"/>
        </w:trPr>
        <w:tc>
          <w:tcPr>
            <w:tcW w:w="1608" w:type="dxa"/>
            <w:tcBorders>
              <w:top w:val="single" w:color="auto" w:sz="2" w:space="0"/>
              <w:right w:val="single" w:color="auto" w:sz="2" w:space="0"/>
            </w:tcBorders>
            <w:vAlign w:val="center"/>
          </w:tcPr>
          <w:p w14:paraId="4A3D8561">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E28299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19</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top w:val="single" w:color="auto" w:sz="2" w:space="0"/>
              <w:left w:val="single" w:color="auto" w:sz="2" w:space="0"/>
              <w:right w:val="single" w:color="auto" w:sz="2" w:space="0"/>
            </w:tcBorders>
            <w:vAlign w:val="center"/>
          </w:tcPr>
          <w:p w14:paraId="0649705B">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解决争议的方法</w:t>
            </w:r>
          </w:p>
        </w:tc>
        <w:tc>
          <w:tcPr>
            <w:tcW w:w="5809" w:type="dxa"/>
            <w:tcBorders>
              <w:top w:val="single" w:color="auto" w:sz="2" w:space="0"/>
              <w:left w:val="single" w:color="auto" w:sz="2" w:space="0"/>
            </w:tcBorders>
            <w:vAlign w:val="center"/>
          </w:tcPr>
          <w:p w14:paraId="27DE9ED7">
            <w:pPr>
              <w:autoSpaceDE w:val="0"/>
              <w:autoSpaceDN w:val="0"/>
              <w:adjustRightInd w:val="0"/>
              <w:snapToGrid w:val="0"/>
              <w:spacing w:line="400" w:lineRule="exact"/>
              <w:jc w:val="left"/>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t>因本合同及合同有关事项发生的争议，按下列第</w:t>
            </w:r>
            <w:r>
              <w:rPr>
                <w:rFonts w:hint="eastAsia" w:ascii="仿宋" w:hAnsi="仿宋" w:eastAsia="仿宋" w:cs="仿宋"/>
                <w:iCs/>
                <w:color w:val="000000" w:themeColor="text1"/>
                <w:sz w:val="21"/>
                <w:szCs w:val="21"/>
                <w:highlight w:val="none"/>
                <w:u w:val="single"/>
                <w:lang w:val="en-US" w:eastAsia="zh-CN"/>
                <w14:textFill>
                  <w14:solidFill>
                    <w14:schemeClr w14:val="tx1"/>
                  </w14:solidFill>
                </w14:textFill>
              </w:rPr>
              <w:t xml:space="preserve"> 2 </w:t>
            </w:r>
            <w:r>
              <w:rPr>
                <w:rFonts w:hint="eastAsia" w:ascii="仿宋" w:hAnsi="仿宋" w:eastAsia="仿宋" w:cs="仿宋"/>
                <w:iCs/>
                <w:color w:val="000000" w:themeColor="text1"/>
                <w:sz w:val="21"/>
                <w:szCs w:val="21"/>
                <w:highlight w:val="none"/>
                <w14:textFill>
                  <w14:solidFill>
                    <w14:schemeClr w14:val="tx1"/>
                  </w14:solidFill>
                </w14:textFill>
              </w:rPr>
              <w:t>种方式解决：（1）向</w:t>
            </w:r>
            <w:r>
              <w:rPr>
                <w:rFonts w:hint="eastAsia" w:ascii="仿宋" w:hAnsi="仿宋" w:eastAsia="仿宋" w:cs="仿宋"/>
                <w:iCs/>
                <w:color w:val="000000" w:themeColor="text1"/>
                <w:sz w:val="21"/>
                <w:szCs w:val="21"/>
                <w:highlight w:val="none"/>
                <w:u w:val="single"/>
                <w14:textFill>
                  <w14:solidFill>
                    <w14:schemeClr w14:val="tx1"/>
                  </w14:solidFill>
                </w14:textFill>
              </w:rPr>
              <w:t xml:space="preserve"> 西安 </w:t>
            </w:r>
            <w:r>
              <w:rPr>
                <w:rFonts w:hint="eastAsia" w:ascii="仿宋" w:hAnsi="仿宋" w:eastAsia="仿宋" w:cs="仿宋"/>
                <w:iCs/>
                <w:color w:val="000000" w:themeColor="text1"/>
                <w:sz w:val="21"/>
                <w:szCs w:val="21"/>
                <w:highlight w:val="none"/>
                <w14:textFill>
                  <w14:solidFill>
                    <w14:schemeClr w14:val="tx1"/>
                  </w14:solidFill>
                </w14:textFill>
              </w:rPr>
              <w:t>仲裁委员会申请仲裁；（2）向</w:t>
            </w:r>
            <w:r>
              <w:rPr>
                <w:rFonts w:hint="eastAsia" w:ascii="仿宋" w:hAnsi="仿宋" w:eastAsia="仿宋" w:cs="仿宋"/>
                <w:iCs/>
                <w:color w:val="000000" w:themeColor="text1"/>
                <w:sz w:val="21"/>
                <w:szCs w:val="21"/>
                <w:highlight w:val="none"/>
                <w:u w:val="single"/>
                <w14:textFill>
                  <w14:solidFill>
                    <w14:schemeClr w14:val="tx1"/>
                  </w14:solidFill>
                </w14:textFill>
              </w:rPr>
              <w:t xml:space="preserve"> 甲方所在地 </w:t>
            </w:r>
            <w:r>
              <w:rPr>
                <w:rFonts w:hint="eastAsia" w:ascii="仿宋" w:hAnsi="仿宋" w:eastAsia="仿宋" w:cs="仿宋"/>
                <w:iCs/>
                <w:color w:val="000000" w:themeColor="text1"/>
                <w:sz w:val="21"/>
                <w:szCs w:val="21"/>
                <w:highlight w:val="none"/>
                <w14:textFill>
                  <w14:solidFill>
                    <w14:schemeClr w14:val="tx1"/>
                  </w14:solidFill>
                </w14:textFill>
              </w:rPr>
              <w:t>人民法院起诉。</w:t>
            </w:r>
          </w:p>
        </w:tc>
      </w:tr>
      <w:tr w14:paraId="28C16B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9" w:hRule="atLeast"/>
          <w:jc w:val="center"/>
        </w:trPr>
        <w:tc>
          <w:tcPr>
            <w:tcW w:w="1608" w:type="dxa"/>
            <w:vAlign w:val="center"/>
          </w:tcPr>
          <w:p w14:paraId="49884479">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263F9A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第2</w:t>
            </w:r>
            <w:r>
              <w:rPr>
                <w:rFonts w:hint="eastAsia" w:ascii="仿宋" w:hAnsi="仿宋" w:eastAsia="仿宋" w:cs="仿宋"/>
                <w:color w:val="000000" w:themeColor="text1"/>
                <w:sz w:val="21"/>
                <w:szCs w:val="21"/>
                <w:highlight w:val="none"/>
                <w:lang w:val="en-US" w:eastAsia="zh-CN"/>
                <w14:textFill>
                  <w14:solidFill>
                    <w14:schemeClr w14:val="tx1"/>
                  </w14:solidFill>
                </w14:textFill>
              </w:rPr>
              <w:t>3.1</w:t>
            </w:r>
            <w:r>
              <w:rPr>
                <w:rFonts w:hint="eastAsia" w:ascii="仿宋" w:hAnsi="仿宋" w:eastAsia="仿宋" w:cs="仿宋"/>
                <w:color w:val="000000" w:themeColor="text1"/>
                <w:sz w:val="21"/>
                <w:szCs w:val="21"/>
                <w:highlight w:val="none"/>
                <w:lang w:eastAsia="zh-CN"/>
                <w14:textFill>
                  <w14:solidFill>
                    <w14:schemeClr w14:val="tx1"/>
                  </w14:solidFill>
                </w14:textFill>
              </w:rPr>
              <w:t>款</w:t>
            </w:r>
          </w:p>
        </w:tc>
        <w:tc>
          <w:tcPr>
            <w:tcW w:w="2055" w:type="dxa"/>
            <w:vAlign w:val="center"/>
          </w:tcPr>
          <w:p w14:paraId="3169770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其他专用条款</w:t>
            </w:r>
          </w:p>
        </w:tc>
        <w:tc>
          <w:tcPr>
            <w:tcW w:w="5809" w:type="dxa"/>
            <w:vAlign w:val="center"/>
          </w:tcPr>
          <w:p w14:paraId="263914F9">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验收标准和方法：现行的国家标准或国家行政部门颁布的法律法规、规章制度等，是项目验收的重要依据。甲方根据有关规范、规定及项目要求对乙方所供货物（产品）或服务进行检查或验收，乙方须无条件的接受甲方检查或验收；若验收不通过或质量不合格，乙方应在一定期限内进行整改完善，以甲方要求的标准提供合格的货物（产品）或服务；若乙方在接受检查整改后，仍不能提供符合采购要求的合格货物（产品）或服务，甲方有权按违约予以撤项并要求承包人承担相应的法律责任和经济损失。所有产品数量、规格、技术标准及配置等全部按采购文件、响应文件及澄清函等相关资料进行验收，各项指标均应符合要求，如有与实际不相符，由乙方承担因此产生的一切后果和违约责任。</w:t>
            </w:r>
          </w:p>
          <w:p w14:paraId="7AD8B15E">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(一)在交货前，乙方应提供有关资料，包括食品生产厂家的食品生产许可证、乙方的营业执照、食品经营许可证（或销售预包装食品经营者备案表）的复印件及食品检测报告（必要时）等。</w:t>
            </w:r>
          </w:p>
          <w:p w14:paraId="1792F3A8">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二)甲方有权对交货货品进行清点，确认货品是否符合“货品名称、数量”的要求，所有货品外包装完好，标明品名、厂名、重量、生产日期、保质期或保存期、执行标准。洗护沐套装、食用油（花生油、菜籽油）、大米、杂粮礼盒、干货礼盒、燕麦片礼盒剩余保质期不少于产品质保期三分之二。</w:t>
            </w:r>
          </w:p>
          <w:p w14:paraId="718BF92F">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(三)如果被清点的货品不能满足“货品名称、数量和质量等”的要求，甲方可以拒绝接收该货品，直至供应商满足甲方要求，方可通过验收。</w:t>
            </w:r>
          </w:p>
          <w:p w14:paraId="32B7180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.货物验收由甲方组织，乙方配合，并按下列程序进行：</w:t>
            </w:r>
          </w:p>
          <w:p w14:paraId="6141308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10DA218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：货物到达后，按合同第一条款的货物清单和装箱单逐一核对，同时检查货物外观，是否有划痕或</w:t>
            </w:r>
            <w:r>
              <w:rPr>
                <w:rFonts w:hint="eastAsia" w:ascii="仿宋" w:hAnsi="仿宋" w:eastAsia="仿宋" w:cs="仿宋"/>
                <w:color w:val="000000" w:themeColor="text1"/>
                <w:sz w:val="21"/>
                <w:szCs w:val="21"/>
                <w:highlight w:val="none"/>
                <w:lang w:eastAsia="zh-CN"/>
                <w14:textFill>
                  <w14:solidFill>
                    <w14:schemeClr w14:val="tx1"/>
                  </w14:solidFill>
                </w14:textFill>
              </w:rPr>
              <w:t>破损</w:t>
            </w:r>
            <w:r>
              <w:rPr>
                <w:rFonts w:hint="eastAsia" w:ascii="仿宋" w:hAnsi="仿宋" w:eastAsia="仿宋" w:cs="仿宋"/>
                <w:color w:val="000000" w:themeColor="text1"/>
                <w:sz w:val="21"/>
                <w:szCs w:val="21"/>
                <w:highlight w:val="none"/>
                <w14:textFill>
                  <w14:solidFill>
                    <w14:schemeClr w14:val="tx1"/>
                  </w14:solidFill>
                </w14:textFill>
              </w:rPr>
              <w:t>，并做好相应记录；</w:t>
            </w:r>
          </w:p>
          <w:p w14:paraId="4761C3C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按乙方承诺的产品包装环保材料进行验收，必要时乙方需提供检测报告，甲方发现虚假承诺时，将扣除总货款的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‰作为处罚。</w:t>
            </w:r>
          </w:p>
          <w:p w14:paraId="5EA7F53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）质量验收合格，双方签署质量验收报告。</w:t>
            </w:r>
          </w:p>
          <w:p w14:paraId="7D7825E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.货物验收依据：</w:t>
            </w:r>
          </w:p>
          <w:p w14:paraId="53D956A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w:t>
            </w:r>
          </w:p>
          <w:p w14:paraId="63A8013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w:t>
            </w:r>
          </w:p>
          <w:p w14:paraId="25D85FC6">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（3）采购合同及补充协议；</w:t>
            </w:r>
          </w:p>
          <w:p w14:paraId="3772AD2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A64EC7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.货物验收时发现问题的处理办法：</w:t>
            </w:r>
          </w:p>
          <w:p w14:paraId="17A98906">
            <w:pPr>
              <w:adjustRightInd w:val="0"/>
              <w:snapToGrid w:val="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和本合同规定的货物（产品），甲方有权拒绝接受</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p>
          <w:p w14:paraId="53FBC56B">
            <w:pPr>
              <w:adjustRightInd w:val="0"/>
              <w:snapToGrid w:val="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w:t>
            </w:r>
            <w:r>
              <w:rPr>
                <w:rFonts w:hint="eastAsia" w:ascii="仿宋" w:hAnsi="仿宋" w:eastAsia="仿宋" w:cs="仿宋"/>
                <w:color w:val="000000" w:themeColor="text1"/>
                <w:sz w:val="21"/>
                <w:szCs w:val="21"/>
                <w:highlight w:val="none"/>
                <w:lang w:eastAsia="zh-CN"/>
                <w14:textFill>
                  <w14:solidFill>
                    <w14:schemeClr w14:val="tx1"/>
                  </w14:solidFill>
                </w14:textFill>
              </w:rPr>
              <w:t>其他不</w:t>
            </w:r>
            <w:r>
              <w:rPr>
                <w:rFonts w:hint="eastAsia" w:ascii="仿宋" w:hAnsi="仿宋" w:eastAsia="仿宋" w:cs="仿宋"/>
                <w:color w:val="000000" w:themeColor="text1"/>
                <w:sz w:val="21"/>
                <w:szCs w:val="21"/>
                <w:highlight w:val="none"/>
                <w14:textFill>
                  <w14:solidFill>
                    <w14:schemeClr w14:val="tx1"/>
                  </w14:solidFill>
                </w14:textFill>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6746FA26">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次</w:t>
            </w:r>
            <w:r>
              <w:rPr>
                <w:rFonts w:hint="eastAsia" w:ascii="仿宋" w:hAnsi="仿宋" w:eastAsia="仿宋" w:cs="仿宋"/>
                <w:color w:val="000000" w:themeColor="text1"/>
                <w:sz w:val="21"/>
                <w:szCs w:val="21"/>
                <w:highlight w:val="none"/>
                <w:lang w:val="en-US" w:eastAsia="zh-CN"/>
                <w14:textFill>
                  <w14:solidFill>
                    <w14:schemeClr w14:val="tx1"/>
                  </w14:solidFill>
                </w14:textFill>
              </w:rPr>
              <w:t>更换</w:t>
            </w:r>
            <w:r>
              <w:rPr>
                <w:rFonts w:hint="eastAsia" w:ascii="仿宋" w:hAnsi="仿宋" w:eastAsia="仿宋" w:cs="仿宋"/>
                <w:color w:val="000000" w:themeColor="text1"/>
                <w:sz w:val="21"/>
                <w:szCs w:val="21"/>
                <w:highlight w:val="none"/>
                <w14:textFill>
                  <w14:solidFill>
                    <w14:schemeClr w14:val="tx1"/>
                  </w14:solidFill>
                </w14:textFill>
              </w:rPr>
              <w:t>仍不能达到合同约定的质量标准，甲方有权退货，并视作乙方不能交付货物而须支付违约赔偿金给甲方，甲方还可依法追究乙方的违约责任</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 </w:t>
            </w:r>
          </w:p>
          <w:p w14:paraId="0472FA9B">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w:t>
            </w:r>
            <w:r>
              <w:rPr>
                <w:rFonts w:hint="eastAsia" w:ascii="仿宋" w:hAnsi="仿宋" w:eastAsia="仿宋" w:cs="仿宋"/>
                <w:color w:val="000000" w:themeColor="text1"/>
                <w:sz w:val="21"/>
                <w:szCs w:val="21"/>
                <w:highlight w:val="none"/>
                <w:lang w:val="en-US" w:eastAsia="zh-CN"/>
                <w14:textFill>
                  <w14:solidFill>
                    <w14:schemeClr w14:val="tx1"/>
                  </w14:solidFill>
                </w14:textFill>
              </w:rPr>
              <w:t>交付</w:t>
            </w:r>
            <w:r>
              <w:rPr>
                <w:rFonts w:hint="eastAsia" w:ascii="仿宋" w:hAnsi="仿宋" w:eastAsia="仿宋" w:cs="仿宋"/>
                <w:color w:val="000000" w:themeColor="text1"/>
                <w:sz w:val="21"/>
                <w:szCs w:val="21"/>
                <w:highlight w:val="none"/>
                <w14:textFill>
                  <w14:solidFill>
                    <w14:schemeClr w14:val="tx1"/>
                  </w14:solidFill>
                </w14:textFill>
              </w:rPr>
              <w:t>完成后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日内，甲方无故不进行验收工作并已使用货物的，视同已完成验收</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51FAEEB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487C6A84">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tc>
      </w:tr>
    </w:tbl>
    <w:p w14:paraId="73BDAC70">
      <w:pPr>
        <w:rPr>
          <w:color w:val="000000" w:themeColor="text1"/>
          <w:highlight w:val="none"/>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FFEFC674"/>
    <w:multiLevelType w:val="singleLevel"/>
    <w:tmpl w:val="FFEFC67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D542F0"/>
    <w:rsid w:val="0CD54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Body Text First Indent"/>
    <w:basedOn w:val="3"/>
    <w:qFormat/>
    <w:uiPriority w:val="0"/>
    <w:pPr>
      <w:ind w:firstLine="100" w:firstLineChars="100"/>
    </w:p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9">
    <w:name w:val="列出段落1"/>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2026-07-24T06:22:00Z</dcterms:created>
  <dc:creator>杜航</dc:creator>
  <cp:lastModifiedBy>杜航</cp:lastModifiedBy>
  <dcterms:modified xsi:type="dcterms:W3CDTF">2026-07-24T06:22:50Z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140E0B53A58E45A8AEE532C54CFECC29_11</vt:lpwstr>
  </property>
  <property fmtid="{D5CDD505-2E9C-101B-9397-08002B2CF9AE}" pid="4" name="KSOTemplateDocerSaveRecord">
    <vt:lpwstr>eyJoZGlkIjoiNGVjNGI1ZWQxMDUyODY5ZDAxOTAyNjljNjE1NWUwNGQiLCJ1c2VySWQiOiIzMDgwODY2MDYifQ==</vt:lpwstr>
  </property>
</Properties>
</file>