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B11C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附件：</w:t>
      </w:r>
    </w:p>
    <w:p w14:paraId="20A094E8">
      <w:pPr>
        <w:spacing w:line="300" w:lineRule="auto"/>
        <w:ind w:firstLine="422" w:firstLineChars="200"/>
        <w:jc w:val="center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军休人员慰问品采购项目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采购需求一览表</w:t>
      </w:r>
    </w:p>
    <w:tbl>
      <w:tblPr>
        <w:tblStyle w:val="3"/>
        <w:tblW w:w="9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199"/>
        <w:gridCol w:w="4410"/>
        <w:gridCol w:w="757"/>
        <w:gridCol w:w="851"/>
        <w:gridCol w:w="1113"/>
      </w:tblGrid>
      <w:tr w14:paraId="6DAE1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764" w:type="dxa"/>
            <w:noWrap w:val="0"/>
            <w:vAlign w:val="center"/>
          </w:tcPr>
          <w:p w14:paraId="025C3C7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noWrap w:val="0"/>
            <w:vAlign w:val="center"/>
          </w:tcPr>
          <w:p w14:paraId="3F81B16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noWrap w:val="0"/>
            <w:vAlign w:val="center"/>
          </w:tcPr>
          <w:p w14:paraId="73208B2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八一慰问品</w:t>
            </w:r>
          </w:p>
        </w:tc>
        <w:tc>
          <w:tcPr>
            <w:tcW w:w="757" w:type="dxa"/>
            <w:noWrap w:val="0"/>
            <w:vAlign w:val="center"/>
          </w:tcPr>
          <w:p w14:paraId="54F1697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 w:val="0"/>
            <w:vAlign w:val="center"/>
          </w:tcPr>
          <w:p w14:paraId="0EC7AFE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noWrap w:val="0"/>
            <w:vAlign w:val="center"/>
          </w:tcPr>
          <w:p w14:paraId="59F00C6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C2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764" w:type="dxa"/>
            <w:noWrap w:val="0"/>
            <w:vAlign w:val="center"/>
          </w:tcPr>
          <w:p w14:paraId="08E9493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99" w:type="dxa"/>
            <w:noWrap w:val="0"/>
            <w:vAlign w:val="center"/>
          </w:tcPr>
          <w:p w14:paraId="7DC2397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4410" w:type="dxa"/>
            <w:noWrap w:val="0"/>
            <w:vAlign w:val="center"/>
          </w:tcPr>
          <w:p w14:paraId="551E595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技术标准及要求</w:t>
            </w:r>
          </w:p>
        </w:tc>
        <w:tc>
          <w:tcPr>
            <w:tcW w:w="757" w:type="dxa"/>
            <w:noWrap w:val="0"/>
            <w:vAlign w:val="center"/>
          </w:tcPr>
          <w:p w14:paraId="1F8F554A"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51" w:type="dxa"/>
            <w:noWrap w:val="0"/>
            <w:vAlign w:val="center"/>
          </w:tcPr>
          <w:p w14:paraId="300817EC"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113" w:type="dxa"/>
            <w:noWrap w:val="0"/>
            <w:vAlign w:val="center"/>
          </w:tcPr>
          <w:p w14:paraId="71D590C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限价</w:t>
            </w:r>
          </w:p>
          <w:p w14:paraId="3CB962C0"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18"/>
                <w:szCs w:val="1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(元/人)</w:t>
            </w:r>
          </w:p>
        </w:tc>
      </w:tr>
      <w:tr w14:paraId="570A4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6864DA1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99" w:type="dxa"/>
            <w:noWrap w:val="0"/>
            <w:vAlign w:val="center"/>
          </w:tcPr>
          <w:p w14:paraId="1A61E07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不锈钢真空保温杯</w:t>
            </w:r>
          </w:p>
        </w:tc>
        <w:tc>
          <w:tcPr>
            <w:tcW w:w="4410" w:type="dxa"/>
            <w:noWrap w:val="0"/>
            <w:vAlign w:val="center"/>
          </w:tcPr>
          <w:p w14:paraId="5DE33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1.独立精致彩色硬质礼盒(内置缓冲棉)+彩色手提袋包装，礼盒正面印刷品牌LOGO,开关处带磁吸。保温杯颜色：多色可选，杯身样式：直身杯，杯盖样式；旋盖，杯身印刷品牌L0G0。</w:t>
            </w:r>
          </w:p>
          <w:p w14:paraId="4D709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★2.容量规格：产品容量≥500ML。</w:t>
            </w:r>
          </w:p>
          <w:p w14:paraId="2D613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★3.带滤网(或茶漏)，保温效能：6小时≥60℃。</w:t>
            </w:r>
          </w:p>
          <w:p w14:paraId="58C03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★4.杯身材质：304不锈钢(SUS304),内胆材质：SUS316L。</w:t>
            </w:r>
          </w:p>
          <w:p w14:paraId="32567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5.产品外表面色泽均匀，没有裂纹、缺口，焊接处光滑、无毛刺，各部件颜色均匀，无明显刮痕，电镀件不应露底、起皮、生锈，印刷文字和图案应清晰。</w:t>
            </w:r>
          </w:p>
          <w:p w14:paraId="1028F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★6.杯子金属部件执行标准GB 4806.9-2023，塑料部件执行标准GB 4806.7-2023，硅胶部件执行标准GB 4806.16-2025，整体质量检测依据符合执行标准GB/T 29606-2013‌《不锈钢真空杯》。</w:t>
            </w:r>
          </w:p>
          <w:p w14:paraId="1D840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7.产品明确标注产品合格证，并标明产品名称、型号、容量、保温效能、执行标准、颜色、条形码，带网站查询和防伪二维码，支持扫码核验真伪并附使用说明。</w:t>
            </w:r>
          </w:p>
        </w:tc>
        <w:tc>
          <w:tcPr>
            <w:tcW w:w="757" w:type="dxa"/>
            <w:noWrap w:val="0"/>
            <w:vAlign w:val="center"/>
          </w:tcPr>
          <w:p w14:paraId="0CE2F66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851" w:type="dxa"/>
            <w:noWrap w:val="0"/>
            <w:vAlign w:val="center"/>
          </w:tcPr>
          <w:p w14:paraId="35D7D6A8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646</w:t>
            </w:r>
          </w:p>
        </w:tc>
        <w:tc>
          <w:tcPr>
            <w:tcW w:w="1113" w:type="dxa"/>
            <w:vMerge w:val="restart"/>
            <w:noWrap w:val="0"/>
            <w:vAlign w:val="center"/>
          </w:tcPr>
          <w:p w14:paraId="0A13F2AA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</w:tr>
      <w:tr w14:paraId="3140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0C4E4EA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9" w:type="dxa"/>
            <w:noWrap w:val="0"/>
            <w:vAlign w:val="center"/>
          </w:tcPr>
          <w:p w14:paraId="0C92BB4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三折晴雨伞</w:t>
            </w:r>
          </w:p>
        </w:tc>
        <w:tc>
          <w:tcPr>
            <w:tcW w:w="4410" w:type="dxa"/>
            <w:noWrap w:val="0"/>
            <w:vAlign w:val="center"/>
          </w:tcPr>
          <w:p w14:paraId="40B47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★1.规格尺寸≥75cm*10K，面料：碰击黑胶。</w:t>
            </w:r>
          </w:p>
          <w:p w14:paraId="49A34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2.透明袋独立包装，包装上和伞柄处品牌LOGO清晰可见，产品外观无污渍、锈迹，伞面接缝不脱离、露边，伞面接缝不应有跳针、断线等缺陷，针距密度不应少于15针/5cm。</w:t>
            </w:r>
          </w:p>
          <w:p w14:paraId="66B20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★3.防紫外线达到UPF≥40,且T(UVA)AV≤5%。</w:t>
            </w:r>
          </w:p>
          <w:p w14:paraId="3D401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★4.变色色牢度≥4级。</w:t>
            </w:r>
          </w:p>
          <w:p w14:paraId="620C4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★5.手开缩折伞开关≥400次，不应发生铆钉脱落、夹马移位、串盘丝断裂、松散、伞盘缺损、弹簧失灵、伞骨折断、接缝脱离、缝眼脱线、柄移位或镀涂层剥落现象。</w:t>
            </w:r>
          </w:p>
          <w:p w14:paraId="2DB992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★6.防雨性能:符合 GB/T 23147-2018《晴雨伞》5.11 防雨性能要求；按标准 6.11 规定方法试验后，伞杆不应淌水，伞面内不应有滴水或明显的水珠现象。</w:t>
            </w:r>
          </w:p>
          <w:p w14:paraId="59F80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★7.伞杆抗风强度:符合GB/T 23147-2018中5.9要求。即:经6.9试验后,伞杆、伞骨不应有明显变形、弯曲或影响正常使用的损坏。</w:t>
            </w:r>
          </w:p>
          <w:p w14:paraId="49395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★8.质量符合执行标准：GB/T23147-2018《晴雨伞》和GB31892-2015《伞类产品安全通用技术条件》。(提供第三方检测报告)</w:t>
            </w:r>
          </w:p>
          <w:p w14:paraId="75F56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9.产品应有产品合格证并标明品牌、型号、生产厂家、网址等。</w:t>
            </w:r>
          </w:p>
        </w:tc>
        <w:tc>
          <w:tcPr>
            <w:tcW w:w="757" w:type="dxa"/>
            <w:noWrap w:val="0"/>
            <w:vAlign w:val="center"/>
          </w:tcPr>
          <w:p w14:paraId="7E644E7F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851" w:type="dxa"/>
            <w:noWrap w:val="0"/>
            <w:vAlign w:val="center"/>
          </w:tcPr>
          <w:p w14:paraId="1BD0B85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646</w:t>
            </w:r>
          </w:p>
        </w:tc>
        <w:tc>
          <w:tcPr>
            <w:tcW w:w="1113" w:type="dxa"/>
            <w:vMerge w:val="continue"/>
            <w:noWrap w:val="0"/>
            <w:vAlign w:val="center"/>
          </w:tcPr>
          <w:p w14:paraId="29BBBB0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147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0A865FC2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99" w:type="dxa"/>
            <w:noWrap w:val="0"/>
            <w:vAlign w:val="center"/>
          </w:tcPr>
          <w:p w14:paraId="48723B5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浴巾礼盒装</w:t>
            </w:r>
          </w:p>
        </w:tc>
        <w:tc>
          <w:tcPr>
            <w:tcW w:w="4410" w:type="dxa"/>
            <w:noWrap w:val="0"/>
            <w:vAlign w:val="center"/>
          </w:tcPr>
          <w:p w14:paraId="795C3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1.规格：≥140cm*70cm，成分：100%棉(如有缎档和装饰部分除外)，产品等级：一等品，礼盒包装+彩色手提袋，颜色：多色可选。</w:t>
            </w:r>
          </w:p>
          <w:p w14:paraId="600FD6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2.安全技术类别：GB 31701-2015 A类，浴巾无异味，甲醛含量不得检出，pH值：4.0-7.5，脱毛率：≤1.5%，吸水性（s)：≤20，断裂强力（N）：经向≥180，纬向≥180。</w:t>
            </w:r>
          </w:p>
          <w:p w14:paraId="1561C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3.质量符合GB/T22864-2020,使用说明(标识)部分符合GB/T5296.4-2012。</w:t>
            </w:r>
          </w:p>
          <w:p w14:paraId="47F61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4.产品应标明品牌、型号、生产厂家等。。</w:t>
            </w:r>
          </w:p>
        </w:tc>
        <w:tc>
          <w:tcPr>
            <w:tcW w:w="757" w:type="dxa"/>
            <w:noWrap w:val="0"/>
            <w:vAlign w:val="center"/>
          </w:tcPr>
          <w:p w14:paraId="42EC0FAB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851" w:type="dxa"/>
            <w:noWrap w:val="0"/>
            <w:vAlign w:val="center"/>
          </w:tcPr>
          <w:p w14:paraId="634D861A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646</w:t>
            </w:r>
          </w:p>
        </w:tc>
        <w:tc>
          <w:tcPr>
            <w:tcW w:w="1113" w:type="dxa"/>
            <w:vMerge w:val="continue"/>
            <w:noWrap w:val="0"/>
            <w:vAlign w:val="center"/>
          </w:tcPr>
          <w:p w14:paraId="3B02A9F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FE3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  <w:jc w:val="center"/>
        </w:trPr>
        <w:tc>
          <w:tcPr>
            <w:tcW w:w="764" w:type="dxa"/>
            <w:noWrap w:val="0"/>
            <w:vAlign w:val="center"/>
          </w:tcPr>
          <w:p w14:paraId="68456D0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99" w:type="dxa"/>
            <w:noWrap w:val="0"/>
            <w:vAlign w:val="center"/>
          </w:tcPr>
          <w:p w14:paraId="3BCEB0E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液体加热器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多功能养生壶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410" w:type="dxa"/>
            <w:noWrap w:val="0"/>
            <w:vAlign w:val="center"/>
          </w:tcPr>
          <w:p w14:paraId="33327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1.彩色硬质礼盒包装，内置缓冲袋防止运输途中撞击。</w:t>
            </w:r>
          </w:p>
          <w:p w14:paraId="2E28D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★2.产品形态：分体式，操控方式：触控。</w:t>
            </w:r>
          </w:p>
          <w:p w14:paraId="1B622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★3.额定容积(容量):≥2.0L。额定功率≥1200W。</w:t>
            </w:r>
          </w:p>
          <w:p w14:paraId="2BA6B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4.产品带茶篮(或滤网),壶身材质：高硼硅玻璃，耐热防裂；壶身标注限高线和限低线。</w:t>
            </w:r>
          </w:p>
          <w:p w14:paraId="20D31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★5.发热底盘采用316L不锈钢。</w:t>
            </w:r>
          </w:p>
          <w:p w14:paraId="0343D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6.操作面板显示时间预约，保温定时。</w:t>
            </w:r>
          </w:p>
          <w:p w14:paraId="2E967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★7.操作面板显示≥10种功能选择。</w:t>
            </w:r>
          </w:p>
          <w:p w14:paraId="767A6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★8.产品质量符合执行标准GB 4706.1-2005和GB4706.19-2008 ,并具有3C认证证书。</w:t>
            </w:r>
          </w:p>
          <w:p w14:paraId="5C6DE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9.标注品名、型号、额定容积、额定功率、额定电压、额定频率，合格证、生产日期等。</w:t>
            </w:r>
          </w:p>
          <w:p w14:paraId="5BE05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10.产品执行全国联保，非人为损坏的质量问题免费维修。</w:t>
            </w:r>
          </w:p>
        </w:tc>
        <w:tc>
          <w:tcPr>
            <w:tcW w:w="757" w:type="dxa"/>
            <w:noWrap w:val="0"/>
            <w:vAlign w:val="center"/>
          </w:tcPr>
          <w:p w14:paraId="3B20C015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851" w:type="dxa"/>
            <w:noWrap w:val="0"/>
            <w:vAlign w:val="center"/>
          </w:tcPr>
          <w:p w14:paraId="4F54614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646</w:t>
            </w:r>
          </w:p>
        </w:tc>
        <w:tc>
          <w:tcPr>
            <w:tcW w:w="1113" w:type="dxa"/>
            <w:vMerge w:val="continue"/>
            <w:noWrap w:val="0"/>
            <w:vAlign w:val="center"/>
          </w:tcPr>
          <w:p w14:paraId="49FA568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64F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081FA68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99" w:type="dxa"/>
            <w:noWrap w:val="0"/>
            <w:vAlign w:val="center"/>
          </w:tcPr>
          <w:p w14:paraId="7CC5771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洗护沐浴套装</w:t>
            </w:r>
          </w:p>
        </w:tc>
        <w:tc>
          <w:tcPr>
            <w:tcW w:w="4410" w:type="dxa"/>
            <w:noWrap w:val="0"/>
            <w:vAlign w:val="center"/>
          </w:tcPr>
          <w:p w14:paraId="5B732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1.彩色礼盒包装，内置产品固定卡位，运输不易变形破损。</w:t>
            </w:r>
          </w:p>
          <w:p w14:paraId="4C0C1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2.内含≥3个单品，每个单品规格≥500ML(或500g)，其中洗发露，护发素，沐浴露为独立瓶装且为同一品牌，所有产品均置于同一礼盒包装内，内置产品质量合格。</w:t>
            </w:r>
          </w:p>
          <w:p w14:paraId="7DA70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3.产品外包装上须标明产品名称、净含量、成分、执行标准、产地等。</w:t>
            </w:r>
          </w:p>
        </w:tc>
        <w:tc>
          <w:tcPr>
            <w:tcW w:w="757" w:type="dxa"/>
            <w:noWrap w:val="0"/>
            <w:vAlign w:val="center"/>
          </w:tcPr>
          <w:p w14:paraId="1091BC8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851" w:type="dxa"/>
            <w:noWrap w:val="0"/>
            <w:vAlign w:val="center"/>
          </w:tcPr>
          <w:p w14:paraId="510AF05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646</w:t>
            </w:r>
          </w:p>
        </w:tc>
        <w:tc>
          <w:tcPr>
            <w:tcW w:w="1113" w:type="dxa"/>
            <w:vMerge w:val="continue"/>
            <w:noWrap w:val="0"/>
            <w:vAlign w:val="center"/>
          </w:tcPr>
          <w:p w14:paraId="04092CB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7B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64" w:type="dxa"/>
            <w:noWrap w:val="0"/>
            <w:vAlign w:val="center"/>
          </w:tcPr>
          <w:p w14:paraId="35BB23E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noWrap w:val="0"/>
            <w:vAlign w:val="center"/>
          </w:tcPr>
          <w:p w14:paraId="719B7F5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noWrap w:val="0"/>
            <w:vAlign w:val="center"/>
          </w:tcPr>
          <w:p w14:paraId="66CD7B5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春节慰问品</w:t>
            </w:r>
          </w:p>
        </w:tc>
        <w:tc>
          <w:tcPr>
            <w:tcW w:w="757" w:type="dxa"/>
            <w:noWrap w:val="0"/>
            <w:vAlign w:val="center"/>
          </w:tcPr>
          <w:p w14:paraId="632AF5D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 w:val="0"/>
            <w:vAlign w:val="center"/>
          </w:tcPr>
          <w:p w14:paraId="406DF13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noWrap w:val="0"/>
            <w:vAlign w:val="center"/>
          </w:tcPr>
          <w:p w14:paraId="351194C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8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764" w:type="dxa"/>
            <w:noWrap w:val="0"/>
            <w:vAlign w:val="center"/>
          </w:tcPr>
          <w:p w14:paraId="65B2EC5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99" w:type="dxa"/>
            <w:noWrap w:val="0"/>
            <w:vAlign w:val="center"/>
          </w:tcPr>
          <w:p w14:paraId="6D49C0C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4410" w:type="dxa"/>
            <w:noWrap w:val="0"/>
            <w:vAlign w:val="center"/>
          </w:tcPr>
          <w:p w14:paraId="5FBFD8F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技术标准及要求</w:t>
            </w:r>
          </w:p>
        </w:tc>
        <w:tc>
          <w:tcPr>
            <w:tcW w:w="757" w:type="dxa"/>
            <w:noWrap w:val="0"/>
            <w:vAlign w:val="center"/>
          </w:tcPr>
          <w:p w14:paraId="522AD8D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51" w:type="dxa"/>
            <w:noWrap w:val="0"/>
            <w:vAlign w:val="center"/>
          </w:tcPr>
          <w:p w14:paraId="4AFB353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113" w:type="dxa"/>
            <w:noWrap w:val="0"/>
            <w:vAlign w:val="center"/>
          </w:tcPr>
          <w:p w14:paraId="5256991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限价</w:t>
            </w:r>
          </w:p>
          <w:p w14:paraId="16D13C7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18"/>
                <w:szCs w:val="1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(元/人)</w:t>
            </w:r>
          </w:p>
        </w:tc>
      </w:tr>
      <w:tr w14:paraId="3C18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18ABBE6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99" w:type="dxa"/>
            <w:noWrap w:val="0"/>
            <w:vAlign w:val="center"/>
          </w:tcPr>
          <w:p w14:paraId="05406A3A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食用油(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花生油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410" w:type="dxa"/>
            <w:noWrap w:val="0"/>
            <w:vAlign w:val="center"/>
          </w:tcPr>
          <w:p w14:paraId="66E30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1.独立包装，规格：≥5L/桶。</w:t>
            </w:r>
          </w:p>
          <w:p w14:paraId="07D15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2.配料：花生油，质量等级：一级，产品具有花生油应有的状态、色泽、气味和滋味，无异味，无正常视力可见的外来异物。</w:t>
            </w:r>
          </w:p>
          <w:p w14:paraId="75437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3.包装上标明生产日期、保质期、净含量、执行标准(或产品标准号)、食品生产许可证编号、贮存条件、产地等。</w:t>
            </w:r>
          </w:p>
        </w:tc>
        <w:tc>
          <w:tcPr>
            <w:tcW w:w="757" w:type="dxa"/>
            <w:noWrap w:val="0"/>
            <w:vAlign w:val="center"/>
          </w:tcPr>
          <w:p w14:paraId="602B1308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桶</w:t>
            </w:r>
          </w:p>
        </w:tc>
        <w:tc>
          <w:tcPr>
            <w:tcW w:w="851" w:type="dxa"/>
            <w:noWrap w:val="0"/>
            <w:vAlign w:val="center"/>
          </w:tcPr>
          <w:p w14:paraId="5826BEB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700</w:t>
            </w:r>
          </w:p>
        </w:tc>
        <w:tc>
          <w:tcPr>
            <w:tcW w:w="1113" w:type="dxa"/>
            <w:vMerge w:val="restart"/>
            <w:noWrap w:val="0"/>
            <w:vAlign w:val="center"/>
          </w:tcPr>
          <w:p w14:paraId="0CB84F5C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</w:tr>
      <w:tr w14:paraId="0D4FE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4F67859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9" w:type="dxa"/>
            <w:noWrap w:val="0"/>
            <w:vAlign w:val="center"/>
          </w:tcPr>
          <w:p w14:paraId="5970B591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食用油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菜籽油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410" w:type="dxa"/>
            <w:noWrap w:val="0"/>
            <w:vAlign w:val="center"/>
          </w:tcPr>
          <w:p w14:paraId="1812F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1.独立包装，规格：≥5L/桶；</w:t>
            </w:r>
          </w:p>
          <w:p w14:paraId="4FD45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2.配料：菜籽油，质量等级：压榨一级，产品具有菜籽油应有的状态、色泽、气味和滋味，无异味，无正常视力可见的外来异物。</w:t>
            </w:r>
          </w:p>
          <w:p w14:paraId="01396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3.包装上标明生产日期、保质期、净含量、执行标准(或产品标准号)、食品生产许可证编号、贮存条件、产地等。</w:t>
            </w:r>
          </w:p>
        </w:tc>
        <w:tc>
          <w:tcPr>
            <w:tcW w:w="757" w:type="dxa"/>
            <w:noWrap w:val="0"/>
            <w:vAlign w:val="center"/>
          </w:tcPr>
          <w:p w14:paraId="5307A2D9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桶</w:t>
            </w:r>
          </w:p>
        </w:tc>
        <w:tc>
          <w:tcPr>
            <w:tcW w:w="851" w:type="dxa"/>
            <w:noWrap w:val="0"/>
            <w:vAlign w:val="center"/>
          </w:tcPr>
          <w:p w14:paraId="2AA5586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700</w:t>
            </w:r>
          </w:p>
        </w:tc>
        <w:tc>
          <w:tcPr>
            <w:tcW w:w="1113" w:type="dxa"/>
            <w:vMerge w:val="continue"/>
            <w:noWrap w:val="0"/>
            <w:vAlign w:val="center"/>
          </w:tcPr>
          <w:p w14:paraId="769D1DF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052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74DCB88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99" w:type="dxa"/>
            <w:noWrap w:val="0"/>
            <w:vAlign w:val="center"/>
          </w:tcPr>
          <w:p w14:paraId="61B20A3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大米</w:t>
            </w:r>
          </w:p>
        </w:tc>
        <w:tc>
          <w:tcPr>
            <w:tcW w:w="4410" w:type="dxa"/>
            <w:noWrap w:val="0"/>
            <w:vAlign w:val="center"/>
          </w:tcPr>
          <w:p w14:paraId="366A9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1.独立真空包装，规格：≥5kg/袋；五常大米，质量符合国家标准GB/T 19266-2024优质一等标准要求。</w:t>
            </w:r>
          </w:p>
          <w:p w14:paraId="0D34E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2.包装上标明产品名称、配料、执行标准(或产品标准号)、生产日期、保质期、净含量、贮存条件、产地等。</w:t>
            </w:r>
          </w:p>
        </w:tc>
        <w:tc>
          <w:tcPr>
            <w:tcW w:w="757" w:type="dxa"/>
            <w:noWrap w:val="0"/>
            <w:vAlign w:val="center"/>
          </w:tcPr>
          <w:p w14:paraId="128C84C9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袋</w:t>
            </w:r>
          </w:p>
        </w:tc>
        <w:tc>
          <w:tcPr>
            <w:tcW w:w="851" w:type="dxa"/>
            <w:noWrap w:val="0"/>
            <w:vAlign w:val="center"/>
          </w:tcPr>
          <w:p w14:paraId="43AD144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700</w:t>
            </w:r>
          </w:p>
        </w:tc>
        <w:tc>
          <w:tcPr>
            <w:tcW w:w="1113" w:type="dxa"/>
            <w:vMerge w:val="continue"/>
            <w:noWrap w:val="0"/>
            <w:vAlign w:val="center"/>
          </w:tcPr>
          <w:p w14:paraId="6A3755B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A93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0473E35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99" w:type="dxa"/>
            <w:noWrap w:val="0"/>
            <w:vAlign w:val="center"/>
          </w:tcPr>
          <w:p w14:paraId="5154EA1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杂粮礼盒</w:t>
            </w:r>
          </w:p>
        </w:tc>
        <w:tc>
          <w:tcPr>
            <w:tcW w:w="4410" w:type="dxa"/>
            <w:noWrap w:val="0"/>
            <w:vAlign w:val="center"/>
          </w:tcPr>
          <w:p w14:paraId="751E0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1.彩色硬质礼盒包装，规格：≥1800g,包装内含产品数量≥6种，内置产品独立真空包装且均为同一品牌(包括但不限于绿豆、黑米、小米等)质量合格。</w:t>
            </w:r>
          </w:p>
          <w:p w14:paraId="161FF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2.包装上标明产品名称、生产日期、保质期、净含量等。</w:t>
            </w:r>
          </w:p>
        </w:tc>
        <w:tc>
          <w:tcPr>
            <w:tcW w:w="757" w:type="dxa"/>
            <w:noWrap w:val="0"/>
            <w:vAlign w:val="center"/>
          </w:tcPr>
          <w:p w14:paraId="26B77947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851" w:type="dxa"/>
            <w:noWrap w:val="0"/>
            <w:vAlign w:val="center"/>
          </w:tcPr>
          <w:p w14:paraId="12AF4CD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700</w:t>
            </w:r>
          </w:p>
        </w:tc>
        <w:tc>
          <w:tcPr>
            <w:tcW w:w="1113" w:type="dxa"/>
            <w:vMerge w:val="continue"/>
            <w:noWrap w:val="0"/>
            <w:vAlign w:val="center"/>
          </w:tcPr>
          <w:p w14:paraId="4B48E28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64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562818C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99" w:type="dxa"/>
            <w:noWrap w:val="0"/>
            <w:vAlign w:val="center"/>
          </w:tcPr>
          <w:p w14:paraId="44B7171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干货礼盒</w:t>
            </w:r>
          </w:p>
        </w:tc>
        <w:tc>
          <w:tcPr>
            <w:tcW w:w="4410" w:type="dxa"/>
            <w:noWrap w:val="0"/>
            <w:vAlign w:val="center"/>
          </w:tcPr>
          <w:p w14:paraId="39092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1.彩色硬质礼盒包装，规格：≥1100g,包装内含产品数量≥7种，内置产品独立包装且均为同一品牌(包括但不限于香菇，木耳，黄花菜，腐竹，银耳等，其中香菇≥100g,黄花菜≥100g,木耳≥200g,腐竹≥200g,)。</w:t>
            </w:r>
          </w:p>
          <w:p w14:paraId="44DF4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2.包装上标明产品名称、净含量、生产日期、保质期、贮存条件、产地等。</w:t>
            </w:r>
          </w:p>
        </w:tc>
        <w:tc>
          <w:tcPr>
            <w:tcW w:w="757" w:type="dxa"/>
            <w:noWrap w:val="0"/>
            <w:vAlign w:val="center"/>
          </w:tcPr>
          <w:p w14:paraId="6C8D20F0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851" w:type="dxa"/>
            <w:noWrap w:val="0"/>
            <w:vAlign w:val="center"/>
          </w:tcPr>
          <w:p w14:paraId="1EAE31C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700</w:t>
            </w:r>
          </w:p>
        </w:tc>
        <w:tc>
          <w:tcPr>
            <w:tcW w:w="1113" w:type="dxa"/>
            <w:vMerge w:val="continue"/>
            <w:noWrap w:val="0"/>
            <w:vAlign w:val="center"/>
          </w:tcPr>
          <w:p w14:paraId="4000884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A26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noWrap w:val="0"/>
            <w:vAlign w:val="center"/>
          </w:tcPr>
          <w:p w14:paraId="2543C8B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99" w:type="dxa"/>
            <w:noWrap w:val="0"/>
            <w:vAlign w:val="center"/>
          </w:tcPr>
          <w:p w14:paraId="0EE6514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燕麦片礼盒</w:t>
            </w:r>
          </w:p>
        </w:tc>
        <w:tc>
          <w:tcPr>
            <w:tcW w:w="4410" w:type="dxa"/>
            <w:noWrap w:val="0"/>
            <w:vAlign w:val="center"/>
          </w:tcPr>
          <w:p w14:paraId="31152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1.彩色硬质礼盒包装，规格：≥1000g,内置产品均为同一品牌，具有产品应有的色泽、滋味和气味，无异味、无霉变、无正常视力可见外来异物，冲调后呈黏稠状或固液混合状，产品质量符合GB 19640-2016。</w:t>
            </w:r>
          </w:p>
          <w:p w14:paraId="05024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2.包装上标明品名、净含量、生产日期、保质期、贮存条件，产地等。</w:t>
            </w:r>
          </w:p>
        </w:tc>
        <w:tc>
          <w:tcPr>
            <w:tcW w:w="757" w:type="dxa"/>
            <w:noWrap w:val="0"/>
            <w:vAlign w:val="center"/>
          </w:tcPr>
          <w:p w14:paraId="1FD2AEF6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851" w:type="dxa"/>
            <w:noWrap w:val="0"/>
            <w:vAlign w:val="center"/>
          </w:tcPr>
          <w:p w14:paraId="6F93F5F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700</w:t>
            </w:r>
          </w:p>
        </w:tc>
        <w:tc>
          <w:tcPr>
            <w:tcW w:w="1113" w:type="dxa"/>
            <w:vMerge w:val="continue"/>
            <w:noWrap w:val="0"/>
            <w:vAlign w:val="center"/>
          </w:tcPr>
          <w:p w14:paraId="5320A60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96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4" w:type="dxa"/>
            <w:gridSpan w:val="6"/>
            <w:noWrap w:val="0"/>
            <w:vAlign w:val="center"/>
          </w:tcPr>
          <w:p w14:paraId="57F6BB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说明：1.带★条款的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均应以要求的形式(如★条款无形式要求的，可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不限于原厂印刷的产品说明书、制造商官方网站截图、第三方机构检验报告、带标识(说明)的功能截图等任意形式)提供相应的证明材料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书面材料无法证明的，以样品为准。任意一条带★条款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的指标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未响应或者不满足的，将按无效响应处理。</w:t>
            </w:r>
          </w:p>
          <w:p w14:paraId="7FFBF212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C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2.需求清单中的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CA"/>
                <w14:textFill>
                  <w14:solidFill>
                    <w14:schemeClr w14:val="tx1"/>
                  </w14:solidFill>
                </w14:textFill>
              </w:rPr>
              <w:t>“支持...；具备...；配备...”等描述，为已具备的功能要求，且后期使用费用包含在响应报价中。</w:t>
            </w:r>
          </w:p>
          <w:p w14:paraId="658796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供应商所报慰问品单价的合计报价(春节慰问品与八一慰问品分别进行汇算)不得超过给定的限价，否则将按，将按无效响应处理。</w:t>
            </w:r>
          </w:p>
        </w:tc>
      </w:tr>
    </w:tbl>
    <w:p w14:paraId="2A755CEC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45B72"/>
    <w:rsid w:val="68C4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2026-07-24T06:23:00Z</dcterms:created>
  <dc:creator>杜航</dc:creator>
  <cp:lastModifiedBy>杜航</cp:lastModifiedBy>
  <dcterms:modified xsi:type="dcterms:W3CDTF">2026-07-24T06:29:59Z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4405E7358AF347849846D25CEBC6BD22_11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