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4CDCCF">
      <w:pPr>
        <w:pStyle w:val="2"/>
        <w:spacing w:line="360" w:lineRule="auto"/>
        <w:rPr>
          <w:rFonts w:hint="eastAsia" w:ascii="仿宋" w:hAnsi="仿宋" w:eastAsia="仿宋" w:cs="仿宋"/>
          <w:b w:val="0"/>
          <w:bCs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highlight w:val="none"/>
          <w:lang w:eastAsia="zh-CN"/>
        </w:rPr>
        <w:t>详见附件10：详细评审---质量保障.docx</w:t>
      </w:r>
    </w:p>
    <w:p w14:paraId="38B9CD27">
      <w:p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  <w:t>详细评审-质量保障</w:t>
      </w:r>
    </w:p>
    <w:p w14:paraId="7135516F">
      <w:pPr>
        <w:spacing w:line="360" w:lineRule="auto"/>
        <w:rPr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  <w:t>（各投标人根据采购内容及评审内容要求，自主编写）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D13254"/>
    <w:rsid w:val="5ED13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2026-04-30T02:31:00Z</dcterms:created>
  <dc:creator>某某某</dc:creator>
  <cp:lastModifiedBy>某某某</cp:lastModifiedBy>
  <dcterms:modified xsi:type="dcterms:W3CDTF">2026-04-30T02:31:48Z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3C9F725D6E7C43FD9BD94138EF11BFFE_11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