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版本号：JXRC-26081020260814002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地质大楼门厅装修改造项目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JXRC-260810</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地质大楼门厅装修改造项目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JXRC-260810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地质大楼门厅装修改造项目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1.针对地质大楼门厅采光不佳问题，整体提质升级，改造后墙面、顶面、照明系统耐用性强、维护率低、美观度持久，加强学院文化展示。 2. 针对地质学系新大楼没有学术报告厅，无法保障学术交流，专家讲座，承接重要报告大会，学科专业教学活动的问题，对现有房间进行升级改造，实现报告厅所需的声学、光学条件和地面条件，以供后续建设学术报告厅，开展180人次以上的教学观摩、就业宣讲等活动，有效提升教学质量和社会影响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采购包1（地质大楼门厅装修改造项目）：属于专门面向中小企业采购。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3、财务状况证明：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纳税证明：供应商提供自2025年8月1日以来至少一个月的纳税证明或完税证明(增值税、企业所得税至少一种)，纳税证明或完税证明上应有代收机构或税务机关的公章或业务专用章；其他组织和自然人提供自2025年8月1日以来至少一个月缴纳税收的凭据；依法免税的供应商应提供相关文件证明。注:①零报税的提供申报成功的凭证。②时间以税款所属时段为准；</w:t>
      </w:r>
    </w:p>
    <w:p>
      <w:pPr>
        <w:pStyle w:val="null3"/>
      </w:pPr>
      <w:r>
        <w:rPr>
          <w:rFonts w:ascii="仿宋_GB2312" w:hAnsi="仿宋_GB2312" w:cs="仿宋_GB2312" w:eastAsia="仿宋_GB2312"/>
        </w:rPr>
        <w:t>5、社保缴纳证明：供应商提供2025年8月1日至今至少一个月的社会保障资金缴存凭证或社保机构开具的社会保险参保缴费情况凭证；依法不需要缴纳社会保障资金的提供说明；成立不足一个月的提供将依法交纳社会保障资金的承诺书（格式自拟）。 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6、无重大违法记录：供应商需提供《无重大违法记录声明》；</w:t>
      </w:r>
    </w:p>
    <w:p>
      <w:pPr>
        <w:pStyle w:val="null3"/>
      </w:pPr>
      <w:r>
        <w:rPr>
          <w:rFonts w:ascii="仿宋_GB2312" w:hAnsi="仿宋_GB2312" w:cs="仿宋_GB2312" w:eastAsia="仿宋_GB2312"/>
        </w:rPr>
        <w:t>7、履约能力证明：供应商需提供《具有履行合同所必需的设备和专业技术能力的承诺书》；</w:t>
      </w:r>
    </w:p>
    <w:p>
      <w:pPr>
        <w:pStyle w:val="null3"/>
      </w:pPr>
      <w:r>
        <w:rPr>
          <w:rFonts w:ascii="仿宋_GB2312" w:hAnsi="仿宋_GB2312" w:cs="仿宋_GB2312" w:eastAsia="仿宋_GB2312"/>
        </w:rPr>
        <w:t>8、供应商资质：供应商须提供行政主管部门颁布的建筑装修装饰工程专业承包二级及以上资质证书以及合法有效的安全生产许可证。</w:t>
      </w:r>
    </w:p>
    <w:p>
      <w:pPr>
        <w:pStyle w:val="null3"/>
      </w:pPr>
      <w:r>
        <w:rPr>
          <w:rFonts w:ascii="仿宋_GB2312" w:hAnsi="仿宋_GB2312" w:cs="仿宋_GB2312" w:eastAsia="仿宋_GB2312"/>
        </w:rPr>
        <w:t>9、拟派项目经理资格：拟派项目经理须具有建筑工程专业二级（含）及以上注册建造师执业资格和安全生产考核合格证（建安B证），须在本单位注册，无不良信用记录，且未担任其他在建工程项目的项目经理，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曲慧、陆频、张海、田颖琦、陈利娜、吕柔柯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采购包1：669,918.74元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乳胶漆、防霉涂料、人造板、石膏板</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开户银行：浦发银行西安小寨支行(备注:转账时须附言“260810投标保证金”)</w:t>
            </w:r>
          </w:p>
          <w:p>
            <w:pPr>
              <w:pStyle w:val="null3"/>
            </w:pPr>
            <w:r>
              <w:rPr>
                <w:rFonts w:ascii="仿宋_GB2312" w:hAnsi="仿宋_GB2312" w:cs="仿宋_GB2312" w:eastAsia="仿宋_GB2312"/>
              </w:rPr>
              <w:t>银行账号：72180078801800002619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说明：合同签订前缴纳，缴纳金额为合同金额的5%；退还方式：工程竣工验收合格后凭收据和验收单复印件无息退还。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踏勘时间：2026-08-21 09:30:00</w:t>
            </w:r>
          </w:p>
          <w:p>
            <w:pPr>
              <w:pStyle w:val="null3"/>
              <w:ind w:firstLine="975"/>
            </w:pPr>
            <w:r>
              <w:rPr>
                <w:rFonts w:ascii="仿宋_GB2312" w:hAnsi="仿宋_GB2312" w:cs="仿宋_GB2312" w:eastAsia="仿宋_GB2312"/>
              </w:rPr>
              <w:t>踏勘地点：西北大学长安校区地质大楼</w:t>
            </w:r>
          </w:p>
          <w:p>
            <w:pPr>
              <w:pStyle w:val="null3"/>
              <w:ind w:firstLine="975"/>
            </w:pPr>
            <w:r>
              <w:rPr>
                <w:rFonts w:ascii="仿宋_GB2312" w:hAnsi="仿宋_GB2312" w:cs="仿宋_GB2312" w:eastAsia="仿宋_GB2312"/>
              </w:rPr>
              <w:t>联系人：陆频</w:t>
            </w:r>
          </w:p>
          <w:p>
            <w:pPr>
              <w:pStyle w:val="null3"/>
              <w:ind w:firstLine="975"/>
            </w:pPr>
            <w:r>
              <w:rPr>
                <w:rFonts w:ascii="仿宋_GB2312" w:hAnsi="仿宋_GB2312" w:cs="仿宋_GB2312" w:eastAsia="仿宋_GB2312"/>
              </w:rPr>
              <w:t>联系电话号码：18629280877</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669,918.74</w:t>
      </w:r>
    </w:p>
    <w:p>
      <w:pPr>
        <w:pStyle w:val="null3"/>
      </w:pPr>
      <w:r>
        <w:rPr>
          <w:rFonts w:ascii="仿宋_GB2312" w:hAnsi="仿宋_GB2312" w:cs="仿宋_GB2312" w:eastAsia="仿宋_GB2312"/>
        </w:rPr>
        <w:t>采购包最高限价（元）: 669,918.74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地质大楼门厅装修改造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669,918.74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标的名称：地质大楼门厅装修改造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工程施工质量实施要求</w:t>
            </w:r>
          </w:p>
          <w:p>
            <w:pPr>
              <w:pStyle w:val="null3"/>
              <w:jc w:val="both"/>
            </w:pPr>
            <w:r>
              <w:rPr>
                <w:rFonts w:ascii="仿宋_GB2312" w:hAnsi="仿宋_GB2312" w:cs="仿宋_GB2312" w:eastAsia="仿宋_GB2312"/>
                <w:sz w:val="24"/>
              </w:rPr>
              <w:t>第一部分：</w:t>
            </w:r>
          </w:p>
          <w:p>
            <w:pPr>
              <w:pStyle w:val="null3"/>
              <w:jc w:val="both"/>
            </w:pPr>
            <w:r>
              <w:rPr>
                <w:rFonts w:ascii="仿宋_GB2312" w:hAnsi="仿宋_GB2312" w:cs="仿宋_GB2312" w:eastAsia="仿宋_GB2312"/>
                <w:sz w:val="24"/>
              </w:rPr>
              <w:t>（一）大厅地面石材结晶施工（原有地面保留）</w:t>
            </w:r>
          </w:p>
          <w:p>
            <w:pPr>
              <w:pStyle w:val="null3"/>
            </w:pPr>
            <w:r>
              <w:rPr>
                <w:rFonts w:ascii="仿宋_GB2312" w:hAnsi="仿宋_GB2312" w:cs="仿宋_GB2312" w:eastAsia="仿宋_GB2312"/>
                <w:sz w:val="24"/>
              </w:rPr>
              <w:t>1.</w:t>
            </w:r>
            <w:r>
              <w:rPr>
                <w:rFonts w:ascii="仿宋_GB2312" w:hAnsi="仿宋_GB2312" w:cs="仿宋_GB2312" w:eastAsia="仿宋_GB2312"/>
                <w:sz w:val="24"/>
              </w:rPr>
              <w:t>基层预处理：施工前彻底清理地面石材缝隙、表面灰尘、油污、胶渍、泥沙等杂物，对石材表面细微划痕、局部污渍进行预处理修复，确保地面干净、干燥、平整，无积水、无杂物堆积。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结晶工艺标准：采用专业石材结晶机配合结晶药剂整体打磨结晶，分粗磨、细磨、抛光三道工序施工，均匀覆盖地面所有石材区域，边角、墙根等机器盲区人工精细处理，无遗漏点位。</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成品质量要求：结晶完成后石材表面光泽度均匀一致，手感细腻光滑，无磨痕、水印、色差、斑驳现象；石材缝隙平整顺直，整体地面平整度达标，无起砂、起粉、凹凸问题；有效提升石材硬度、防污防水性能，达到大厅精装地面验收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施工防护：施工全程做好墙面、现场成品遮挡防护，避免结晶药剂、污水污染待施工墙面及原有构件。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（二）墙面乳胶漆改石材干挂施工</w:t>
            </w:r>
          </w:p>
          <w:p>
            <w:pPr>
              <w:pStyle w:val="null3"/>
            </w:pPr>
            <w:r>
              <w:rPr>
                <w:rFonts w:ascii="仿宋_GB2312" w:hAnsi="仿宋_GB2312" w:cs="仿宋_GB2312" w:eastAsia="仿宋_GB2312"/>
                <w:sz w:val="24"/>
              </w:rPr>
              <w:t>1.</w:t>
            </w:r>
            <w:r>
              <w:rPr>
                <w:rFonts w:ascii="仿宋_GB2312" w:hAnsi="仿宋_GB2312" w:cs="仿宋_GB2312" w:eastAsia="仿宋_GB2312"/>
                <w:sz w:val="24"/>
              </w:rPr>
              <w:t>基层检查处理：全面检查原有乳胶漆墙面基层，确认墙体坚实、无空鼓、开裂、脱落、粉化问题；对局部破损、起皮、开裂位置提前修补找平，清理墙面浮灰、松动涂层，保证干挂基层牢固稳定。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龙骨安装质量要求：采用国标专用干挂金属龙骨，所有龙骨型材规格、壁厚符合装饰装修设计标准；龙骨横竖排布间距均匀、尺寸精准，定位放线准确无误，打孔固定牢固，膨胀螺栓入墙深度达标，无松动、虚装、偏移情况；龙骨焊接、拼接位置平整牢固，防锈防腐处理到位，无锈蚀、焊点毛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石材安装施工标准：石材板材进场需核对规格、色泽、纹理，无裂纹、缺角、掉边、色差、污渍等质量缺陷；石材干挂挂件安装牢固，挂点数量符合规范要求，板材拼接缝隙均匀、顺直、宽窄一致；墙面整体垂直度、平整度达标，无倾斜、凹凸、翘边现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收口及细节处理：墙面阴阳角、墙顶交接、墙地交接位置收口规整严密，无缝隙、无错位；石材拼接缝隙打胶饱满、光滑、平整，胶线顺直美观，无气泡、断胶、溢胶污染墙面石材。</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整体验收标准：完工后整面石材墙面平整大气、纹理统一、接缝规整，结构稳固，无松动异响，符合室内精装石材干挂质量验收规范。</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（三）顶面吊顶拆除及软膜天花安装施工</w:t>
            </w:r>
          </w:p>
          <w:p>
            <w:pPr>
              <w:pStyle w:val="null3"/>
            </w:pPr>
            <w:r>
              <w:rPr>
                <w:rFonts w:ascii="仿宋_GB2312" w:hAnsi="仿宋_GB2312" w:cs="仿宋_GB2312" w:eastAsia="仿宋_GB2312"/>
                <w:sz w:val="24"/>
              </w:rPr>
              <w:t>1.</w:t>
            </w:r>
            <w:r>
              <w:rPr>
                <w:rFonts w:ascii="仿宋_GB2312" w:hAnsi="仿宋_GB2312" w:cs="仿宋_GB2312" w:eastAsia="仿宋_GB2312"/>
                <w:sz w:val="24"/>
              </w:rPr>
              <w:t>旧吊顶拆除施工要求：拆除前先断电，排查顶面原有管线、灯具、消防点位（喷淋、烟感等），做好标识保护；采用人工精细化拆除方式，禁止暴力敲打、大面积猛拆，避免震动破坏顶面楼板、原有水电及消防</w:t>
            </w:r>
            <w:r>
              <w:rPr>
                <w:rFonts w:ascii="仿宋_GB2312" w:hAnsi="仿宋_GB2312" w:cs="仿宋_GB2312" w:eastAsia="仿宋_GB2312"/>
                <w:sz w:val="24"/>
              </w:rPr>
              <w:t>管线；拆除过程分类收集废旧材料，杜绝建筑垃圾掉落磕碰墙面、地面石材成品。</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顶面基层清理加固：旧吊顶全部拆除完成后，清理顶面残留龙骨、杂物、垃圾，检查顶面楼板平整度、牢固度，对松动基层点位进行加固处理，确保软膜天花安装基底稳定。</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软膜天花安装质量标准：定制软膜天花尺寸精准，裁切整齐无毛边、破损、污渍；龙骨框架安装平整、牢固、水平度达标，无变形、松动；软膜张拉均匀、平整紧绷，无褶皱、松弛、下垂、鼓包现象；边角收口严密贴合，无翘边、缝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配套点位适配：严格避让、适配顶面消防喷淋、烟感、照明、出风口等设备点位，开孔精准、收口规整，不遮挡、不损坏原有设备，满足消防合规及使用功能要求。</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成品效果要求：整体顶面平整通透、色调统一，无明显拼接痕迹，造型规整，符合大厅整体装修风格。</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第二部分</w:t>
            </w:r>
          </w:p>
          <w:p>
            <w:pPr>
              <w:pStyle w:val="null3"/>
              <w:jc w:val="both"/>
            </w:pPr>
            <w:r>
              <w:rPr>
                <w:rFonts w:ascii="仿宋_GB2312" w:hAnsi="仿宋_GB2312" w:cs="仿宋_GB2312" w:eastAsia="仿宋_GB2312"/>
                <w:sz w:val="24"/>
              </w:rPr>
              <w:t>（一）报告厅拆除新建工程专项</w:t>
            </w:r>
          </w:p>
          <w:p>
            <w:pPr>
              <w:pStyle w:val="null3"/>
            </w:pPr>
            <w:r>
              <w:rPr>
                <w:rFonts w:ascii="仿宋_GB2312" w:hAnsi="仿宋_GB2312" w:cs="仿宋_GB2312" w:eastAsia="仿宋_GB2312"/>
                <w:sz w:val="24"/>
              </w:rPr>
              <w:t>1.</w:t>
            </w:r>
            <w:r>
              <w:rPr>
                <w:rFonts w:ascii="仿宋_GB2312" w:hAnsi="仿宋_GB2312" w:cs="仿宋_GB2312" w:eastAsia="仿宋_GB2312"/>
                <w:sz w:val="24"/>
              </w:rPr>
              <w:t>多余门洞封堵改造，对多余通道采用石膏板封闭，优化报告厅独立封闭声学空间；</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独立设备机房新建石膏板隔墙围护，用于存放音响、灯光、中控设备；</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（二）天花</w:t>
            </w:r>
            <w:r>
              <w:rPr>
                <w:rFonts w:ascii="仿宋_GB2312" w:hAnsi="仿宋_GB2312" w:cs="仿宋_GB2312" w:eastAsia="仿宋_GB2312"/>
                <w:sz w:val="24"/>
              </w:rPr>
              <w:t xml:space="preserve"> / </w:t>
            </w:r>
            <w:r>
              <w:rPr>
                <w:rFonts w:ascii="仿宋_GB2312" w:hAnsi="仿宋_GB2312" w:cs="仿宋_GB2312" w:eastAsia="仿宋_GB2312"/>
                <w:sz w:val="24"/>
              </w:rPr>
              <w:t>吊顶工程专项</w:t>
            </w:r>
          </w:p>
          <w:p>
            <w:pPr>
              <w:pStyle w:val="null3"/>
            </w:pPr>
            <w:r>
              <w:rPr>
                <w:rFonts w:ascii="仿宋_GB2312" w:hAnsi="仿宋_GB2312" w:cs="仿宋_GB2312" w:eastAsia="仿宋_GB2312"/>
                <w:sz w:val="24"/>
              </w:rPr>
              <w:t>1.</w:t>
            </w:r>
            <w:r>
              <w:rPr>
                <w:rFonts w:ascii="仿宋_GB2312" w:hAnsi="仿宋_GB2312" w:cs="仿宋_GB2312" w:eastAsia="仿宋_GB2312"/>
                <w:sz w:val="24"/>
              </w:rPr>
              <w:t>全场铝方吊顶，不影响消防喷淋、烟感、通风管道、强弱电桥架；</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设备区域、吊顶内管线区域顶面局部喷黑处理，隐藏杂乱管线；</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周边石膏板基层批刮腻子、白色环保乳胶漆，平整无开裂；</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观众席上空大面积木纹转印铝方通造型吊顶，兼具吸音、装饰、通风功能；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全场窗帘盒一体化暗藏设计，配套定制遮光隔音窗帘；</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主席台可翻转式专业三基色会议灯，观众席铝方通嵌入式长条灯</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rPr>
              <w:t>（三）地面工程专项</w:t>
            </w:r>
          </w:p>
          <w:p>
            <w:pPr>
              <w:pStyle w:val="null3"/>
              <w:jc w:val="both"/>
            </w:pPr>
            <w:r>
              <w:rPr>
                <w:rFonts w:ascii="仿宋_GB2312" w:hAnsi="仿宋_GB2312" w:cs="仿宋_GB2312" w:eastAsia="仿宋_GB2312"/>
                <w:sz w:val="24"/>
              </w:rPr>
              <w:t>主席台区域：整体抬高演讲台，面层统一饰面，预留演讲台电源插座、地插、话筒走线槽；</w:t>
            </w:r>
          </w:p>
          <w:p>
            <w:pPr>
              <w:pStyle w:val="null3"/>
              <w:jc w:val="both"/>
            </w:pPr>
            <w:r>
              <w:rPr>
                <w:rFonts w:ascii="仿宋_GB2312" w:hAnsi="仿宋_GB2312" w:cs="仿宋_GB2312" w:eastAsia="仿宋_GB2312"/>
                <w:sz w:val="24"/>
              </w:rPr>
              <w:t>观众阶梯地台：多级阶梯整体造型设计，保证每排观众视线无遮挡，阶梯侧面收口美观、防滑防撞；</w:t>
            </w:r>
          </w:p>
          <w:p>
            <w:pPr>
              <w:pStyle w:val="null3"/>
              <w:jc w:val="both"/>
            </w:pPr>
            <w:r>
              <w:rPr>
                <w:rFonts w:ascii="仿宋_GB2312" w:hAnsi="仿宋_GB2312" w:cs="仿宋_GB2312" w:eastAsia="仿宋_GB2312"/>
                <w:sz w:val="24"/>
              </w:rPr>
              <w:t>全场地面面层：环保同质透心塑胶地板，要求每平方米克重小于等于</w:t>
            </w:r>
            <w:r>
              <w:rPr>
                <w:rFonts w:ascii="仿宋_GB2312" w:hAnsi="仿宋_GB2312" w:cs="仿宋_GB2312" w:eastAsia="仿宋_GB2312"/>
                <w:sz w:val="24"/>
              </w:rPr>
              <w:t>2700g，PVC粘合物含量大于70%并提供相应检测报告，提供第三方微划伤检测报告。防滑、静音、耐磨，走路无脚步声，适配学术安静环境。</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4"/>
              </w:rPr>
              <w:t>（四）墙身及造型墙面工程专项</w:t>
            </w:r>
          </w:p>
          <w:p>
            <w:pPr>
              <w:pStyle w:val="null3"/>
              <w:jc w:val="both"/>
            </w:pPr>
            <w:r>
              <w:rPr>
                <w:rFonts w:ascii="仿宋_GB2312" w:hAnsi="仿宋_GB2312" w:cs="仿宋_GB2312" w:eastAsia="仿宋_GB2312"/>
                <w:sz w:val="24"/>
              </w:rPr>
              <w:t>主墙面（主席台背景墙）：木饰面护墙板整体造型，提升报告厅庄重学术氛围；</w:t>
            </w:r>
          </w:p>
          <w:p>
            <w:pPr>
              <w:pStyle w:val="null3"/>
              <w:jc w:val="both"/>
            </w:pPr>
            <w:r>
              <w:rPr>
                <w:rFonts w:ascii="仿宋_GB2312" w:hAnsi="仿宋_GB2312" w:cs="仿宋_GB2312" w:eastAsia="仿宋_GB2312"/>
                <w:sz w:val="24"/>
              </w:rPr>
              <w:t>两侧吸音墙体：大面积填充吸音棉构造，解决大厅回声、杂音，满足声学指标；</w:t>
            </w:r>
          </w:p>
          <w:p>
            <w:pPr>
              <w:pStyle w:val="null3"/>
              <w:jc w:val="both"/>
            </w:pPr>
            <w:r>
              <w:rPr>
                <w:rFonts w:ascii="仿宋_GB2312" w:hAnsi="仿宋_GB2312" w:cs="仿宋_GB2312" w:eastAsia="仿宋_GB2312"/>
                <w:sz w:val="24"/>
              </w:rPr>
              <w:t>管道隐蔽处理：室内外露暖气管道全包饰面板遮挡，整齐美观；</w:t>
            </w:r>
          </w:p>
          <w:p>
            <w:pPr>
              <w:pStyle w:val="null3"/>
              <w:jc w:val="both"/>
            </w:pPr>
            <w:r>
              <w:rPr>
                <w:rFonts w:ascii="仿宋_GB2312" w:hAnsi="仿宋_GB2312" w:cs="仿宋_GB2312" w:eastAsia="仿宋_GB2312"/>
                <w:sz w:val="24"/>
              </w:rPr>
              <w:t>窗边设计：窗台采用石材台面，防水耐脏，窗边收口一体化。</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4"/>
              </w:rPr>
              <w:t>（五）电力改造专项工程</w:t>
            </w:r>
          </w:p>
          <w:p>
            <w:pPr>
              <w:pStyle w:val="null3"/>
              <w:jc w:val="both"/>
            </w:pPr>
            <w:r>
              <w:rPr>
                <w:rFonts w:ascii="仿宋_GB2312" w:hAnsi="仿宋_GB2312" w:cs="仿宋_GB2312" w:eastAsia="仿宋_GB2312"/>
                <w:sz w:val="24"/>
              </w:rPr>
              <w:t>全场强电管道预埋，观众区、主席台、机房、窗边统一布置五孔插座、多媒体地插、总配电箱、分路控制箱，插座回路独立漏电保护。</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4"/>
              </w:rPr>
              <w:t>第三部分</w:t>
            </w:r>
            <w:r>
              <w:rPr>
                <w:rFonts w:ascii="仿宋_GB2312" w:hAnsi="仿宋_GB2312" w:cs="仿宋_GB2312" w:eastAsia="仿宋_GB2312"/>
                <w:sz w:val="24"/>
              </w:rPr>
              <w:t xml:space="preserve">  </w:t>
            </w:r>
            <w:r>
              <w:rPr>
                <w:rFonts w:ascii="仿宋_GB2312" w:hAnsi="仿宋_GB2312" w:cs="仿宋_GB2312" w:eastAsia="仿宋_GB2312"/>
                <w:sz w:val="24"/>
              </w:rPr>
              <w:t>安全施工实施要求</w:t>
            </w:r>
          </w:p>
          <w:p>
            <w:pPr>
              <w:pStyle w:val="null3"/>
              <w:jc w:val="both"/>
            </w:pPr>
            <w:r>
              <w:rPr>
                <w:rFonts w:ascii="仿宋_GB2312" w:hAnsi="仿宋_GB2312" w:cs="仿宋_GB2312" w:eastAsia="仿宋_GB2312"/>
                <w:sz w:val="24"/>
              </w:rPr>
              <w:t>1. 人员安全管理：所有进场施工人员必须佩戴安全帽、防护手套等对应劳保用品，高空作业（吊顶拆除、墙面干挂施工）必须搭设稳固脚手架或使用安全梯，严禁高空抛物、违规登高、悬空作业；特种作业人员必须持证上岗，严禁无证操作。</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rPr>
              <w:t>2. 用电安全规范：现场施工用电采用标准化临时用电线路，电线架空规整、无乱拉乱接、无破损漏电情况；施工设备、机具接地接零保护到位，下班及时断电，杜绝私接电器、超负荷用电，严防触电安全事故。</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4"/>
              </w:rPr>
              <w:t>3. 防火安全要求：施工现场严禁吸烟、明火作业，如需动火施工必须提前报备、配备灭火器材、做好防火隔离；软膜天花、石材辅料等易燃材料单独规范堆放，远离火源、电源。</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4"/>
              </w:rPr>
              <w:t>4. 结构及设备安全：施工全过程严禁破坏建筑主体结构、承重墙体、梁柱；严禁私自改动原有水电管线、消防设施、通风系统，如需微调必须经甲方及现场管理人员确认后方可施工。</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4"/>
              </w:rPr>
              <w:t>5. 施工机具安全：所有施工机械、设备进场前检查调试，运行正常、无故障隐患；作业时规范操作，定期检修保养，杜绝机具带病作业，防止机械伤害事故。</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rPr>
              <w:t>6. 应急管理：现场配备基础消防器材、应急防护用品，施工人员熟悉现场安全逃生路线，遇突发安全问题立即停工、上报、妥善处置。</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rPr>
              <w:t>第四部分</w:t>
            </w:r>
            <w:r>
              <w:rPr>
                <w:rFonts w:ascii="仿宋_GB2312" w:hAnsi="仿宋_GB2312" w:cs="仿宋_GB2312" w:eastAsia="仿宋_GB2312"/>
                <w:sz w:val="24"/>
              </w:rPr>
              <w:t xml:space="preserve">  </w:t>
            </w:r>
            <w:r>
              <w:rPr>
                <w:rFonts w:ascii="仿宋_GB2312" w:hAnsi="仿宋_GB2312" w:cs="仿宋_GB2312" w:eastAsia="仿宋_GB2312"/>
                <w:sz w:val="24"/>
              </w:rPr>
              <w:t>文明施工及现场管理要求</w:t>
            </w:r>
          </w:p>
          <w:p>
            <w:pPr>
              <w:pStyle w:val="null3"/>
              <w:jc w:val="both"/>
            </w:pPr>
            <w:r>
              <w:rPr>
                <w:rFonts w:ascii="仿宋_GB2312" w:hAnsi="仿宋_GB2312" w:cs="仿宋_GB2312" w:eastAsia="仿宋_GB2312"/>
                <w:sz w:val="24"/>
              </w:rPr>
              <w:t>1. 场地整洁管理：施工现场每日日清日结，施工垃圾、废料分类堆放、及时清运，严禁长期堆积；材料、机具摆放整齐有序，划分专属堆放区域，不占用通行通道，保持大厅现场整洁通畅。</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4"/>
              </w:rPr>
              <w:t>2. 扬尘噪音控制：拆除、打磨等粉尘作业采取洒水、遮挡防尘措施，减少现场扬尘污染；严格管控施工时间，规避休息时段施工，降低施工噪音，减少环境影响。</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4"/>
              </w:rPr>
              <w:t>3. 成品保护管理：全程重点保护原有石材地面，施工区域铺设防护垫、保护膜，严禁重物撞击、尖锐物品划伤地面、墙面成品；施工过程对已完工工序、原有设备、门窗等做好遮挡防护，杜绝污染、磕碰损坏。</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4"/>
              </w:rPr>
              <w:t>4. 现场秩序管理：施工人员统一规范着装，严禁无关人员随意进出施工区域；现场严禁随地吐痰、乱扔杂物，杜绝现场嬉戏打闹、违规作业行为，保持良好施工秩序。</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rPr>
              <w:t>5. 物料管理：进场原材料、半成品分类标识堆放，防潮、防损、防污染存放；废旧建材、建筑垃圾集中收纳，做到工完、料尽、场地清。</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4"/>
              </w:rPr>
              <w:t>第五部分</w:t>
            </w:r>
            <w:r>
              <w:rPr>
                <w:rFonts w:ascii="仿宋_GB2312" w:hAnsi="仿宋_GB2312" w:cs="仿宋_GB2312" w:eastAsia="仿宋_GB2312"/>
                <w:sz w:val="24"/>
              </w:rPr>
              <w:t xml:space="preserve">  </w:t>
            </w:r>
            <w:r>
              <w:rPr>
                <w:rFonts w:ascii="仿宋_GB2312" w:hAnsi="仿宋_GB2312" w:cs="仿宋_GB2312" w:eastAsia="仿宋_GB2312"/>
                <w:sz w:val="24"/>
              </w:rPr>
              <w:t>施工进度及工序管理要求</w:t>
            </w:r>
          </w:p>
          <w:p>
            <w:pPr>
              <w:pStyle w:val="null3"/>
              <w:jc w:val="both"/>
            </w:pPr>
            <w:r>
              <w:rPr>
                <w:rFonts w:ascii="仿宋_GB2312" w:hAnsi="仿宋_GB2312" w:cs="仿宋_GB2312" w:eastAsia="仿宋_GB2312"/>
                <w:sz w:val="24"/>
              </w:rPr>
              <w:t>1. 施工班组严格按照既定施工进度计划施工，合理排布顶面拆旧→墙面基层处理→墙面石材干挂→地面结晶养护→顶面软膜安装→整体清洁收尾施工工序，有序推进交叉作业，杜绝工序混乱、拖延工期。</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4"/>
              </w:rPr>
              <w:t>2. 每道工序完成后，施工单位自行自检，自检合格后报请甲方验收，验收签字确认后方可进入下道施工工序。</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jc w:val="both"/>
            </w:pPr>
            <w:r>
              <w:rPr>
                <w:rFonts w:ascii="仿宋_GB2312" w:hAnsi="仿宋_GB2312" w:cs="仿宋_GB2312" w:eastAsia="仿宋_GB2312"/>
                <w:sz w:val="24"/>
              </w:rPr>
              <w:t>3. 施工过程中遇到基层异常、尺寸偏差、设备冲突等问题，立即停工上报，沟通确认解决方案后再继续施工，严禁私自整改、隐蔽问题施工。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满足国家相关验收规范。1.所选材料必须质量可靠，进货渠道正常，符合国家相关标准。满足学校及师生使用要求。工程符合国家有关规范，确保工程质量合格。2.组织技术精湛的施工队伍，加强对施工工人的管理，不扰民，不影响办公及教学。各专业工种之间主动配合做好衔接。将各种管理措施落实到人，杜绝推诿扯皮。有完善的技术、质量、安全保障体系，能从各方面保障施工顺利进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1.工期：自合同签订之日起40天内 2.质量保修期：本项目竣工验收合格之日起两年。 3.付款时间、付款方式和付款条件：（无进度款）待工程竣工验收合格后付至合同金额的80%；经学校审计后付至审定金额的100%。 4.违约责任：中标/成交供应商所交付工程不符合其投标承诺，存在偷工减料、以次充好情形的，采购人要求更换一次后仍不符合约定的，采购人有权解除采购合同，没收履约保证金，并将有关情况上报政府采购监管部门处理。 5.为顺利推进政府采购电子化交易平台应用工作，供应商需要在线提交所有通过电子化交易平台实施的政府采购项目的响应文件，同时，线下递交密封完好的纸质版响应文件（一正一副），密封封套上标注项目名称和供应商名称。纸质版响应文件递交截止时间：同线上响应文件递交截止时间。纸质版响应文件递交地址：西安市南稍门十字东南角大话南门壹中心18层1806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提供自2025年8月1日以来至少一个月的纳税证明或完税证明(增值税、企业所得税至少一种)，纳税证明或完税证明上应有代收机构或税务机关的公章或业务专用章；其他组织和自然人提供自2025年8月1日以来至少一个月缴纳税收的凭据；依法免税的供应商应提供相关文件证明。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8月1日至今至少一个月的社会保障资金缴存凭证或社保机构开具的社会保险参保缴费情况凭证；依法不需要缴纳社会保障资金的提供说明；成立不足一个月的提供将依法交纳社会保障资金的承诺书（格式自拟）。 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供应商须提供行政主管部门颁布的建筑装修装饰工程专业承包二级及以上资质证书以及合法有效的安全生产许可证。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筑工程专业二级（含）及以上注册建造师执业资格和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已标价工程量清单 技术响应偏离表 主材清单表 中小企业声明函 保证金缴纳凭证 拒绝政府采购领域商业贿赂承诺书 供应商业绩 强制优先采购产品承诺函 企业关联关系声明函 响应文件封面 项目经理业绩 其他材料 残疾人福利性单位声明函 供应商基本信息 响应函 供应商资格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磋商保证金符合第二章投标人须知前附表要求</w:t>
            </w:r>
          </w:p>
        </w:tc>
        <w:tc>
          <w:tcPr>
            <w:tcW w:type="dxa" w:w="1661"/>
          </w:tcPr>
          <w:p>
            <w:pPr>
              <w:pStyle w:val="null3"/>
            </w:pPr>
            <w:r>
              <w:rPr>
                <w:rFonts w:ascii="仿宋_GB2312" w:hAnsi="仿宋_GB2312" w:cs="仿宋_GB2312" w:eastAsia="仿宋_GB2312"/>
              </w:rPr>
              <w:t>保证金缴纳凭证</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供应商提供针对本项目实际需求编制的项目实施方案：①施工方案及施工技术措施；②进度计划、技术难点及应对措施；③施工流程图或工艺流程。 2.评审标准： ①完整性：内容详细全面，对本项目了解透彻； ②可实施性：切合本项目实际情况，方案全面、施工步骤清晰、合理； ③针对性：方案能够紧扣项目实际情况，内容科学合理。 3.赋分标准： ①施工方案及施工技术措施：每完全满足一项评审标准得1分，满分3分； ②进度计划、技术难点及应对措施：每完全满足一项评审标准得1分，满分3分； ③施工流程图或工艺流程：每完全满足一项评审标准得1分，满分3分； 内容有缺陷得0.5分，缺项或未提供得0分。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编制的确保安全文明施工的技术组织措施：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①安全目标及文明施工措施：每完全满足一项评审标准得1分，满分3分； ②安全体系健全度：每完全满足一项评审标准得1分，满分3分； ③应急预案可行性：每完全满足一项评审标准得1分，满分3分；内容有缺陷得0.5分，缺项或未提供得0分。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1.评审内容：供应商提供针对本项目实际需求编制的工期的技术组织措施:①工期计划；②关键节点工期分析及延误工期补救措施。 2.评审标准： ①完整性：内容详细全面，对本项目了解透彻； ②可实施性：切合本项目实际情况，方案全面、施工步骤清晰、合理； ③针对性：方案能够紧扣项目实际情况，内容科学合理。 3.赋分标准： ①工期计划：每完全满足一项评审标准得1分，满分3分； ②关键节点工期分析及延误工期补救措施：每完全满足一项评审标准得1分，满分3分； 内容有缺陷得0.5分，缺项或未提供得0分。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主要材料清单说明</w:t>
            </w:r>
          </w:p>
        </w:tc>
        <w:tc>
          <w:tcPr>
            <w:tcW w:type="dxa" w:w="2492"/>
          </w:tcPr>
          <w:p>
            <w:pPr>
              <w:pStyle w:val="null3"/>
            </w:pPr>
            <w:r>
              <w:rPr>
                <w:rFonts w:ascii="仿宋_GB2312" w:hAnsi="仿宋_GB2312" w:cs="仿宋_GB2312" w:eastAsia="仿宋_GB2312"/>
              </w:rPr>
              <w:t>1.评审内容： 供应商需提供针对本项目拟投入主要材料选型说明。 主要材料：乳胶漆、石膏板、轻钢龙骨、防火阻燃板、硅胶LED灯带、LED长条方形方通灯、镀锌角钢龙骨、铜芯布电线。 2.赋分标准： （1）选型说明详细，选用品牌市场普及度高、行业内广泛应用，产品符合项目特征，资料齐全得7 分； （2）有基本的选型说明，选用品牌市场普及度较高、行业常规应用，产品基本符合项目特征，资料齐全得5 分； （3）选型说明简陋，选用品牌市场应用范围窄、市场认可度偏低，产品不完全符合项目特征得 3 分； （4）仅简单列明选型内容，无有效选型论证，品牌市场认可度极低，产品多项指标不满足项目特征得 1 分； 未提供主材清单、未明确材料品牌信息的，得 0 分。 注：所有参评主材均需配套提供有效证明材料（产品说明书、官网截图、产品彩页、产品照片、品牌资质等），无有效佐证资料的，对应项不予计分；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1.评审内容： 供应商提供针对本项目实际需求编制的质量控制措施：①施工前期质量管控；②设备制造与出厂质量控制；③现场安装施工过程质量控制；④系统调试、试验质量控制。 2.评审标准： ①完整性：内容详细全面，对本项目了解透彻； ②可实施性：切合本项目实际情况，措施全面、清晰、合理； ③针对性：方案能够紧扣项目实际情况，内容科学合理。 3.赋分标准： ①施工前期质量管控：每完全满足一项评审标准得0.5分，满分1.5分； ②设备制造与出厂质量控制：每完全满足一项评审标准得0.5分，满分1.5分； ③现场安装施工过程质量控制：每完全满足一项评审标准得0.5分，满分1.5分； ④系统调试、试验质量控制：每完全满足一项评审标准得0.5分，满分1.5分；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1.评审内容： 供应商提供针对本项目实际需求编制的维保服务方案：①维保内容及计划；②维保方式及巡检方案。 2.评审标准： ①齐全程度：内容详细，能完全满足采购文件要求； ②实用性：质量有保障、使用率高、安全性能强； ③针对性：能紧扣项目实际情况，配置合理科学； 3.赋分标准： ①维保内容及计划：每完全满足一项评审标准得0.5分，满分1.5分； ②维保方式及巡检方案：每完全满足一项评审标准得0.5分，满分1.5分；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主要材料技术参数</w:t>
            </w:r>
          </w:p>
        </w:tc>
        <w:tc>
          <w:tcPr>
            <w:tcW w:type="dxa" w:w="2492"/>
          </w:tcPr>
          <w:p>
            <w:pPr>
              <w:pStyle w:val="null3"/>
            </w:pPr>
            <w:r>
              <w:rPr>
                <w:rFonts w:ascii="仿宋_GB2312" w:hAnsi="仿宋_GB2312" w:cs="仿宋_GB2312" w:eastAsia="仿宋_GB2312"/>
              </w:rPr>
              <w:t>①供应商需提供针对本项目提供拟投入主材清单表，主要材料（乳胶漆、石膏板、轻钢龙骨、防火阻燃板、硅胶LED灯带、LED长条方形方通灯、镀锌角钢龙骨、铜芯布电线）；主材清单表品目齐全无遗漏、 品牌明确得4分。 ②供应商提供主要材料（乳胶漆、石膏板、轻钢龙骨、防火阻燃板、硅胶LED灯带、LED长条方形方通灯、镀锌角钢龙骨、铜芯布电线）技术参数证明文件（检测机构出具的检 测报告/制造商检验报告 /产品彩页/官网功能截图 /技术白皮书等），每提供一份得0.5分，最多得4分。 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供应商投入的主要材料及设备为节能产品或环境标志产品的，每个证书1分，最高得3分。（提供处于有效期内的节能产品或环境标志产品认证证书。） 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拟派项目团队除项目负责人外须包括以下人员：技术负责人、项目安全员、施工员、质量员各1人，人员齐全得4分，每缺一个人扣1分。 注：响应文件中项目团队人员须提供包括但不限于资格证书、身份证复印件或扫描件、截止开标前6个月任意一个月的社保证明等佐证材料。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①职称：具有高级及以上职称，得1分；具有中级职称，得0.5分；其他情况不得分。 注：以加盖供应商公章的职称证书为准。 ②学历：具有本科或以上得1分；具有专科学历的得0.5分；其他情况不得分。 注：以加盖供应商公章的学历证书为准。 ③业绩：提供项目经理自 2023年8月1日至今 （时间以合同签订时间为准）的类似业绩合同， 每提供1项得1分，最多得3分。 注：合同须体现项目经理姓名，项目经理业绩可与企业业绩可重复计分。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项目经理业绩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在满足采购文件2年质保期的基础上，供应商可根据自身情况延长质保年限，每额外增加1年增加1分，最多可加5分。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2023年8月1日起至今，供应商承担的同类项目业绩（以合同签订日期为准），每提供1份有效业绩得1分，最多得5分。 业绩要求：①业绩以合同为准，时间以合同签订时间为准。②需提供合同（至少包括首页、内容页、盖章页）复印件。③项目经理业绩可与企业业绩重复计分。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详见附件：主材清单表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详见附件：项目经理业绩</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