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5"/>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7"/>
        <w:ind w:left="0" w:leftChars="0" w:firstLine="0" w:firstLineChars="0"/>
        <w:rPr>
          <w:color w:val="auto"/>
          <w:sz w:val="36"/>
          <w:szCs w:val="36"/>
        </w:rPr>
      </w:pPr>
    </w:p>
    <w:p w14:paraId="243AF6E0">
      <w:pPr>
        <w:pStyle w:val="27"/>
        <w:spacing w:line="240" w:lineRule="auto"/>
        <w:ind w:right="424" w:rightChars="150" w:firstLine="727"/>
        <w:rPr>
          <w:color w:val="auto"/>
          <w:sz w:val="36"/>
          <w:szCs w:val="36"/>
        </w:rPr>
      </w:pPr>
    </w:p>
    <w:p w14:paraId="563A648C">
      <w:pPr>
        <w:spacing w:line="240" w:lineRule="auto"/>
        <w:ind w:left="2539" w:leftChars="256" w:right="707" w:rightChars="250" w:hanging="1815" w:hangingChars="500"/>
        <w:rPr>
          <w:rFonts w:hint="default"/>
          <w:b/>
          <w:bCs/>
          <w:color w:val="auto"/>
          <w:spacing w:val="-11"/>
          <w:sz w:val="36"/>
          <w:szCs w:val="36"/>
          <w:lang w:val="en-US" w:eastAsia="zh-CN"/>
        </w:rPr>
      </w:pPr>
      <w:r>
        <w:rPr>
          <w:rFonts w:hint="eastAsia"/>
          <w:b/>
          <w:bCs/>
          <w:color w:val="auto"/>
          <w:sz w:val="36"/>
          <w:szCs w:val="36"/>
        </w:rPr>
        <w:t>项目名称：延安职业技术学院</w:t>
      </w:r>
      <w:r>
        <w:rPr>
          <w:rFonts w:hint="eastAsia" w:ascii="华文仿宋" w:hAnsi="华文仿宋" w:eastAsia="华文仿宋" w:cs="华文仿宋"/>
          <w:b/>
          <w:bCs/>
          <w:color w:val="auto"/>
          <w:sz w:val="36"/>
          <w:szCs w:val="36"/>
        </w:rPr>
        <w:t>2026-2028</w:t>
      </w:r>
      <w:r>
        <w:rPr>
          <w:rFonts w:hint="eastAsia"/>
          <w:b/>
          <w:bCs/>
          <w:color w:val="auto"/>
          <w:sz w:val="36"/>
          <w:szCs w:val="36"/>
        </w:rPr>
        <w:t>年保安社会化管理服务项目</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YAZCJC2026-30</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ascii="华文仿宋" w:hAnsi="华文仿宋" w:cs="华文仿宋"/>
          <w:b/>
          <w:bCs/>
          <w:color w:val="auto"/>
          <w:sz w:val="36"/>
          <w:szCs w:val="36"/>
          <w:highlight w:val="none"/>
        </w:rPr>
        <w:t>采 购 人：</w:t>
      </w:r>
      <w:r>
        <w:rPr>
          <w:rFonts w:hint="eastAsia" w:ascii="华文仿宋" w:hAnsi="华文仿宋" w:cs="华文仿宋"/>
          <w:b/>
          <w:bCs/>
          <w:color w:val="auto"/>
          <w:sz w:val="36"/>
          <w:szCs w:val="36"/>
          <w:highlight w:val="none"/>
          <w:lang w:eastAsia="zh-CN"/>
        </w:rPr>
        <w:t>延安职业技术学院</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D97440B">
      <w:pPr>
        <w:spacing w:line="240" w:lineRule="auto"/>
        <w:ind w:left="3624" w:leftChars="896" w:right="707" w:rightChars="250" w:hanging="1089" w:hangingChars="3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3F7E424C">
      <w:pPr>
        <w:pStyle w:val="10"/>
      </w:pPr>
    </w:p>
    <w:p w14:paraId="5A361C19">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8</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28</w:t>
      </w:r>
      <w:r>
        <w:rPr>
          <w:rFonts w:hint="eastAsia" w:ascii="仿宋" w:hAnsi="仿宋" w:eastAsia="仿宋" w:cs="仿宋"/>
          <w:b/>
          <w:bCs/>
          <w:color w:val="auto"/>
          <w:sz w:val="36"/>
          <w:szCs w:val="36"/>
          <w:highlight w:val="none"/>
        </w:rPr>
        <w:t>日</w:t>
      </w:r>
      <w:bookmarkStart w:id="0" w:name="_Toc10222_WPSOffice_Level1"/>
      <w:bookmarkStart w:id="1" w:name="_Toc30340_WPSOffice_Level1"/>
      <w:bookmarkStart w:id="2" w:name="_Toc30102_WPSOffice_Level1"/>
    </w:p>
    <w:p w14:paraId="45C132CE">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fmt="numberInDash" w:start="1"/>
          <w:cols w:space="720" w:num="1"/>
          <w:docGrid w:type="linesAndChars" w:linePitch="381" w:charSpace="704"/>
        </w:sectPr>
      </w:pPr>
    </w:p>
    <w:p w14:paraId="08A4F9D5">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5"/>
        <w:tabs>
          <w:tab w:val="right" w:leader="dot" w:pos="9072"/>
        </w:tabs>
        <w:spacing w:line="500" w:lineRule="exact"/>
        <w:ind w:firstLine="566" w:firstLineChars="200"/>
        <w:rPr>
          <w:rFonts w:hint="eastAsia" w:ascii="黑体" w:hAnsi="黑体" w:eastAsia="黑体" w:cs="黑体"/>
          <w:color w:val="auto"/>
        </w:rPr>
      </w:pPr>
    </w:p>
    <w:p w14:paraId="1FA3D71D">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lang w:val="en-US" w:eastAsia="zh-CN"/>
        </w:rPr>
        <w:t xml:space="preserve"> </w:t>
      </w:r>
    </w:p>
    <w:p w14:paraId="2756F9C8">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lang w:val="en-US" w:eastAsia="zh-CN"/>
        </w:rPr>
        <w:t xml:space="preserve"> </w:t>
      </w:r>
    </w:p>
    <w:p w14:paraId="41224AC9">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lang w:val="en-US" w:eastAsia="zh-CN"/>
        </w:rPr>
        <w:t xml:space="preserve"> </w:t>
      </w:r>
    </w:p>
    <w:p w14:paraId="4B69BF30">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lang w:val="en-US" w:eastAsia="zh-CN"/>
        </w:rPr>
        <w:t xml:space="preserve"> </w:t>
      </w:r>
    </w:p>
    <w:p w14:paraId="673444E3">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lang w:val="en-US" w:eastAsia="zh-CN"/>
        </w:rPr>
        <w:t xml:space="preserve"> </w:t>
      </w:r>
    </w:p>
    <w:p w14:paraId="6E79551A">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lang w:val="en-US" w:eastAsia="zh-CN"/>
        </w:rPr>
        <w:t xml:space="preserve"> </w:t>
      </w:r>
    </w:p>
    <w:p w14:paraId="1A026BC5">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lang w:val="en-US" w:eastAsia="zh-CN"/>
        </w:rPr>
        <w:t xml:space="preserve"> </w:t>
      </w:r>
    </w:p>
    <w:p w14:paraId="15BD52A3">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lang w:val="en-US" w:eastAsia="zh-CN"/>
        </w:rPr>
        <w:t xml:space="preserve"> </w:t>
      </w:r>
    </w:p>
    <w:p w14:paraId="2436DAF9">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lang w:val="en-US" w:eastAsia="zh-CN"/>
        </w:rPr>
        <w:t xml:space="preserve"> </w:t>
      </w:r>
    </w:p>
    <w:p w14:paraId="6AFA3470">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lang w:val="en-US" w:eastAsia="zh-CN"/>
        </w:rPr>
        <w:t xml:space="preserve"> </w:t>
      </w:r>
    </w:p>
    <w:p w14:paraId="559664C9">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lang w:val="en-US" w:eastAsia="zh-CN"/>
        </w:rPr>
        <w:t xml:space="preserve"> </w:t>
      </w:r>
    </w:p>
    <w:p w14:paraId="4A81D74A">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lang w:val="en-US" w:eastAsia="zh-CN"/>
        </w:rPr>
        <w:t xml:space="preserve"> </w:t>
      </w:r>
    </w:p>
    <w:p w14:paraId="05A173AD">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lang w:val="en-US" w:eastAsia="zh-CN"/>
        </w:rPr>
        <w:t xml:space="preserve"> </w:t>
      </w:r>
    </w:p>
    <w:p w14:paraId="115BF6CD">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lang w:val="en-US" w:eastAsia="zh-CN"/>
        </w:rPr>
        <w:t xml:space="preserve"> </w:t>
      </w:r>
    </w:p>
    <w:p w14:paraId="26C1DEB1">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lang w:val="en-US" w:eastAsia="zh-CN"/>
        </w:rPr>
        <w:t xml:space="preserve"> </w:t>
      </w:r>
    </w:p>
    <w:p w14:paraId="5D22D407">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lang w:val="en-US" w:eastAsia="zh-CN"/>
        </w:rPr>
        <w:t xml:space="preserve"> </w:t>
      </w:r>
    </w:p>
    <w:p w14:paraId="6EDF0147">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lang w:val="en-US" w:eastAsia="zh-CN"/>
        </w:rPr>
        <w:t xml:space="preserve"> </w:t>
      </w:r>
    </w:p>
    <w:p w14:paraId="1855B683">
      <w:pPr>
        <w:pStyle w:val="16"/>
        <w:tabs>
          <w:tab w:val="right" w:leader="dot" w:pos="9072"/>
        </w:tabs>
        <w:spacing w:line="500" w:lineRule="exact"/>
        <w:ind w:left="0" w:leftChars="0" w:firstLine="566" w:firstLineChars="200"/>
        <w:rPr>
          <w:rFonts w:hint="eastAsia"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lang w:val="en-US" w:eastAsia="zh-CN"/>
        </w:rPr>
        <w:t xml:space="preserve"> </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fmt="numberInDash"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rPr>
          <w:rFonts w:ascii="黑体" w:hAnsi="黑体"/>
          <w:b w:val="0"/>
          <w:color w:val="auto"/>
          <w:szCs w:val="32"/>
        </w:rPr>
      </w:pPr>
      <w:bookmarkStart w:id="3" w:name="_Toc26235"/>
      <w:bookmarkStart w:id="4" w:name="_Toc24418"/>
      <w:bookmarkStart w:id="5" w:name="_Toc21489"/>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8"/>
        <w:spacing w:line="500" w:lineRule="exact"/>
        <w:ind w:firstLine="567"/>
        <w:rPr>
          <w:rFonts w:ascii="华文仿宋" w:hAnsi="华文仿宋" w:cs="华文仿宋"/>
          <w:color w:val="auto"/>
          <w:highlight w:val="none"/>
        </w:rPr>
      </w:pPr>
      <w:bookmarkStart w:id="6" w:name="_Toc8775_WPSOffice_Level2"/>
      <w:bookmarkStart w:id="7" w:name="_Toc22804_WPSOffice_Level2"/>
      <w:bookmarkStart w:id="8" w:name="_Toc15046_WPSOffice_Level2"/>
      <w:bookmarkStart w:id="9" w:name="_Toc6471"/>
      <w:r>
        <w:rPr>
          <w:rFonts w:hint="eastAsia" w:ascii="华文仿宋" w:hAnsi="华文仿宋" w:cs="华文仿宋"/>
          <w:b/>
          <w:bCs/>
          <w:color w:val="auto"/>
          <w:lang w:eastAsia="zh-CN"/>
        </w:rPr>
        <w:t>延安职业技术学院2026-2028年保安社会化管理服务项目</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lang w:eastAsia="zh-CN"/>
        </w:rPr>
        <w:t>-</w:t>
      </w:r>
      <w:r>
        <w:rPr>
          <w:rFonts w:hint="eastAsia" w:cs="Calibri Light"/>
          <w:b w:val="0"/>
          <w:bCs w:val="0"/>
          <w:color w:val="auto"/>
          <w:kern w:val="2"/>
          <w:sz w:val="28"/>
          <w:szCs w:val="28"/>
          <w:lang w:val="en-US" w:eastAsia="zh-CN" w:bidi="ar-SA"/>
        </w:rPr>
        <w:t>10</w:t>
      </w:r>
      <w:r>
        <w:rPr>
          <w:rFonts w:hint="eastAsia" w:ascii="Calibri Light" w:hAnsi="Calibri Light" w:eastAsia="华文仿宋" w:cs="Calibri Light"/>
          <w:b w:val="0"/>
          <w:bCs w:val="0"/>
          <w:color w:val="auto"/>
          <w:kern w:val="2"/>
          <w:sz w:val="28"/>
          <w:szCs w:val="28"/>
          <w:lang w:val="en-US" w:eastAsia="zh-CN" w:bidi="ar-SA"/>
        </w:rPr>
        <w:t xml:space="preserve"> </w:t>
      </w:r>
      <w:r>
        <w:rPr>
          <w:rFonts w:hint="eastAsia" w:cs="Calibri Light"/>
          <w:b w:val="0"/>
          <w:bCs w:val="0"/>
          <w:color w:val="auto"/>
          <w:kern w:val="2"/>
          <w:sz w:val="28"/>
          <w:szCs w:val="28"/>
          <w:lang w:val="en-US" w:eastAsia="zh-CN" w:bidi="ar-SA"/>
        </w:rPr>
        <w:t>上</w:t>
      </w:r>
      <w:r>
        <w:rPr>
          <w:rFonts w:hint="eastAsia" w:ascii="Calibri Light" w:hAnsi="Calibri Light" w:eastAsia="华文仿宋" w:cs="Calibri Light"/>
          <w:b w:val="0"/>
          <w:bCs w:val="0"/>
          <w:color w:val="auto"/>
          <w:kern w:val="2"/>
          <w:sz w:val="28"/>
          <w:szCs w:val="28"/>
          <w:lang w:val="en-US" w:eastAsia="zh-CN" w:bidi="ar-SA"/>
        </w:rPr>
        <w:t>午</w:t>
      </w:r>
      <w:r>
        <w:rPr>
          <w:rFonts w:hint="eastAsia" w:ascii="仿宋" w:hAnsi="仿宋" w:eastAsia="仿宋" w:cs="仿宋"/>
          <w:color w:val="auto"/>
          <w:highlight w:val="none"/>
          <w:lang w:val="en-US" w:eastAsia="zh-CN"/>
        </w:rPr>
        <w:t>10:00前</w:t>
      </w:r>
      <w:r>
        <w:rPr>
          <w:rFonts w:hint="eastAsia" w:ascii="Calibri Light" w:hAnsi="Calibri Light" w:eastAsia="华文仿宋" w:cs="Calibri Light"/>
          <w:b w:val="0"/>
          <w:bCs w:val="0"/>
          <w:color w:val="auto"/>
          <w:kern w:val="2"/>
          <w:sz w:val="28"/>
          <w:szCs w:val="28"/>
          <w:lang w:val="en-US" w:eastAsia="zh-CN" w:bidi="ar-SA"/>
        </w:rPr>
        <w:t>递</w:t>
      </w:r>
      <w:r>
        <w:rPr>
          <w:rFonts w:hint="eastAsia" w:ascii="华文仿宋" w:hAnsi="华文仿宋" w:cs="华文仿宋"/>
          <w:color w:val="auto"/>
          <w:highlight w:val="none"/>
        </w:rPr>
        <w:t>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1"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28286_WPSOffice_Level2"/>
      <w:bookmarkStart w:id="11" w:name="_Toc181_WPSOffice_Level2"/>
      <w:bookmarkStart w:id="12" w:name="_Toc619_WPSOffice_Level2"/>
      <w:bookmarkStart w:id="13" w:name="_Toc7698"/>
      <w:r>
        <w:rPr>
          <w:rFonts w:hint="eastAsia"/>
          <w:b w:val="0"/>
          <w:bCs w:val="0"/>
          <w:color w:val="auto"/>
          <w:lang w:eastAsia="zh-CN"/>
        </w:rPr>
        <w:t>延安职业技术学院2026-2028年保安社会化管理服务项目</w:t>
      </w:r>
    </w:p>
    <w:p w14:paraId="4D09738F">
      <w:pPr>
        <w:numPr>
          <w:ilvl w:val="0"/>
          <w:numId w:val="0"/>
        </w:numPr>
        <w:spacing w:line="500" w:lineRule="exact"/>
        <w:ind w:firstLine="561"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7884"/>
      <w:bookmarkStart w:id="15" w:name="_Toc23148_WPSOffice_Level2"/>
      <w:bookmarkStart w:id="16" w:name="_Toc8221_WPSOffice_Level2"/>
      <w:bookmarkStart w:id="17" w:name="_Toc22627_WPSOffice_Level2"/>
      <w:r>
        <w:rPr>
          <w:rFonts w:hint="eastAsia" w:ascii="仿宋" w:hAnsi="仿宋" w:eastAsia="仿宋" w:cs="仿宋"/>
          <w:color w:val="auto"/>
          <w:highlight w:val="none"/>
          <w:lang w:eastAsia="zh-CN"/>
        </w:rPr>
        <w:t>YAZCJC2026-</w:t>
      </w:r>
      <w:r>
        <w:rPr>
          <w:rFonts w:hint="eastAsia" w:ascii="仿宋" w:hAnsi="仿宋" w:eastAsia="仿宋" w:cs="仿宋"/>
          <w:color w:val="auto"/>
          <w:highlight w:val="none"/>
          <w:lang w:val="en-US" w:eastAsia="zh-CN"/>
        </w:rPr>
        <w:t>30</w:t>
      </w:r>
    </w:p>
    <w:bookmarkEnd w:id="14"/>
    <w:bookmarkEnd w:id="15"/>
    <w:bookmarkEnd w:id="16"/>
    <w:bookmarkEnd w:id="17"/>
    <w:p w14:paraId="727570DE">
      <w:pPr>
        <w:spacing w:line="500" w:lineRule="exact"/>
        <w:ind w:firstLine="561" w:firstLineChars="200"/>
        <w:rPr>
          <w:rFonts w:hint="eastAsia" w:ascii="华文仿宋" w:hAnsi="华文仿宋" w:eastAsia="华文仿宋" w:cs="华文仿宋"/>
          <w:color w:val="auto"/>
          <w:lang w:eastAsia="zh-CN"/>
        </w:rPr>
      </w:pPr>
      <w:bookmarkStart w:id="18" w:name="_Toc29947_WPSOffice_Level2"/>
      <w:bookmarkStart w:id="19" w:name="_Toc30103_WPSOffice_Level2"/>
      <w:bookmarkStart w:id="20" w:name="_Toc27211"/>
      <w:bookmarkStart w:id="21" w:name="_Toc31311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延安职业技术学院</w:t>
      </w:r>
    </w:p>
    <w:p w14:paraId="227B7528">
      <w:pPr>
        <w:pStyle w:val="29"/>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eastAsia="zh-CN"/>
        </w:rPr>
        <w:t>延安市</w:t>
      </w:r>
      <w:r>
        <w:rPr>
          <w:rFonts w:hint="eastAsia" w:ascii="华文仿宋" w:hAnsi="华文仿宋" w:cs="华文仿宋"/>
          <w:color w:val="auto"/>
          <w:lang w:val="en-US" w:eastAsia="zh-CN"/>
        </w:rPr>
        <w:t>宝塔区枣园路555号</w:t>
      </w:r>
    </w:p>
    <w:p w14:paraId="3180471F">
      <w:pPr>
        <w:spacing w:line="500" w:lineRule="exact"/>
        <w:ind w:firstLine="1120" w:firstLineChars="400"/>
        <w:rPr>
          <w:rFonts w:hint="default" w:eastAsia="仿宋"/>
          <w:lang w:val="en-US" w:eastAsia="zh-CN"/>
        </w:rPr>
      </w:pPr>
      <w:r>
        <w:rPr>
          <w:rFonts w:hint="default" w:eastAsia="仿宋"/>
          <w:lang w:val="en-US" w:eastAsia="zh-CN"/>
        </w:rPr>
        <w:t>联系人：张先生</w:t>
      </w:r>
    </w:p>
    <w:p w14:paraId="5CA4BA30">
      <w:pPr>
        <w:spacing w:line="500" w:lineRule="exact"/>
        <w:ind w:firstLine="1120" w:firstLineChars="400"/>
        <w:rPr>
          <w:rFonts w:hint="default" w:eastAsia="仿宋"/>
          <w:lang w:val="en-US" w:eastAsia="zh-CN"/>
        </w:rPr>
      </w:pPr>
      <w:r>
        <w:rPr>
          <w:rFonts w:hint="default" w:eastAsia="仿宋"/>
          <w:lang w:val="en-US" w:eastAsia="zh-CN"/>
        </w:rPr>
        <w:t>联系方式：</w:t>
      </w:r>
      <w:r>
        <w:rPr>
          <w:rFonts w:hint="default" w:ascii="仿宋" w:hAnsi="仿宋" w:eastAsia="仿宋" w:cs="仿宋"/>
          <w:color w:val="auto"/>
          <w:highlight w:val="none"/>
          <w:lang w:val="en-US" w:eastAsia="zh-CN"/>
        </w:rPr>
        <w:t>13892130222</w:t>
      </w:r>
    </w:p>
    <w:p w14:paraId="18D31A56">
      <w:pPr>
        <w:tabs>
          <w:tab w:val="left" w:pos="1620"/>
        </w:tabs>
        <w:snapToGrid w:val="0"/>
        <w:spacing w:line="500" w:lineRule="exact"/>
        <w:ind w:firstLine="561"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磋商文件联系人：</w:t>
      </w:r>
      <w:r>
        <w:rPr>
          <w:rFonts w:hint="eastAsia"/>
          <w:b w:val="0"/>
          <w:bCs w:val="0"/>
          <w:color w:val="auto"/>
          <w:lang w:val="en-US" w:eastAsia="zh-CN"/>
        </w:rPr>
        <w:t>高女士</w:t>
      </w:r>
      <w:r>
        <w:rPr>
          <w:rFonts w:hint="eastAsia"/>
          <w:b w:val="0"/>
          <w:bCs w:val="0"/>
          <w:color w:val="auto"/>
        </w:rPr>
        <w:t xml:space="preserve">    </w:t>
      </w:r>
      <w:r>
        <w:rPr>
          <w:rFonts w:hint="eastAsia"/>
          <w:b w:val="0"/>
          <w:bCs w:val="0"/>
          <w:color w:val="auto"/>
          <w:lang w:val="en-US" w:eastAsia="zh-CN"/>
        </w:rPr>
        <w:t>魏女士</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0911-7092221    </w:t>
      </w:r>
    </w:p>
    <w:p w14:paraId="4886E520">
      <w:pPr>
        <w:numPr>
          <w:ilvl w:val="0"/>
          <w:numId w:val="0"/>
        </w:numPr>
        <w:tabs>
          <w:tab w:val="left" w:pos="1620"/>
        </w:tabs>
        <w:snapToGrid w:val="0"/>
        <w:spacing w:line="500" w:lineRule="exact"/>
        <w:ind w:firstLine="561"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延安职业技术学院2026-2028年保安社会化管理服务项目</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1" w:firstLineChars="200"/>
        <w:rPr>
          <w:rFonts w:hint="default" w:ascii="华文仿宋" w:hAnsi="华文仿宋" w:eastAsia="华文仿宋" w:cs="华文仿宋"/>
          <w:color w:val="auto"/>
          <w:highlight w:val="yellow"/>
          <w:lang w:val="en-US" w:eastAsia="zh-CN"/>
        </w:rPr>
      </w:pPr>
      <w:bookmarkStart w:id="22" w:name="_Toc9917_WPSOffice_Level2"/>
      <w:bookmarkStart w:id="23" w:name="_Toc25753"/>
      <w:bookmarkStart w:id="24" w:name="_Toc14570_WPSOffice_Level2"/>
      <w:bookmarkStart w:id="25" w:name="_Toc6459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1"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77.9686万</w:t>
      </w:r>
      <w:r>
        <w:rPr>
          <w:rFonts w:hint="eastAsia" w:ascii="华文仿宋" w:hAnsi="华文仿宋" w:cs="华文仿宋"/>
          <w:bCs/>
          <w:color w:val="auto"/>
        </w:rPr>
        <w:t>元</w:t>
      </w:r>
      <w:r>
        <w:rPr>
          <w:rFonts w:hint="eastAsia" w:ascii="华文仿宋" w:hAnsi="华文仿宋" w:cs="华文仿宋"/>
          <w:bCs/>
          <w:color w:val="auto"/>
          <w:lang w:val="en-US" w:eastAsia="zh-CN"/>
        </w:rPr>
        <w:t>/年</w:t>
      </w:r>
    </w:p>
    <w:p w14:paraId="41109504">
      <w:pPr>
        <w:pStyle w:val="10"/>
        <w:spacing w:line="500" w:lineRule="exact"/>
        <w:ind w:firstLine="561"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1"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1"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63B8BFA2">
      <w:pPr>
        <w:spacing w:line="500" w:lineRule="exact"/>
        <w:ind w:firstLine="560" w:firstLineChars="200"/>
        <w:rPr>
          <w:rFonts w:hint="eastAsia"/>
          <w:color w:val="auto"/>
          <w:lang w:eastAsia="zh-CN"/>
        </w:rPr>
      </w:pPr>
      <w:r>
        <w:rPr>
          <w:rFonts w:hint="eastAsia"/>
          <w:color w:val="auto"/>
          <w:lang w:val="en-US" w:eastAsia="zh-CN"/>
        </w:rPr>
        <w:t>1.营业执照等主体资格证明文件：提供有效存续的企业营业执照（副本）</w:t>
      </w:r>
      <w:r>
        <w:rPr>
          <w:rFonts w:hint="eastAsia"/>
          <w:color w:val="auto"/>
          <w:lang w:eastAsia="zh-CN"/>
        </w:rPr>
        <w:t>/事业单位法人证书/专业服务机构执业许可证/民办非企业单位登记证书。</w:t>
      </w:r>
    </w:p>
    <w:p w14:paraId="476FFF76">
      <w:pPr>
        <w:spacing w:line="500" w:lineRule="exact"/>
        <w:ind w:firstLine="560" w:firstLineChars="200"/>
        <w:rPr>
          <w:rFonts w:hint="eastAsia"/>
          <w:color w:val="auto"/>
          <w:lang w:eastAsia="zh-CN"/>
        </w:rPr>
      </w:pPr>
      <w:r>
        <w:rPr>
          <w:rFonts w:hint="eastAsia"/>
          <w:color w:val="auto"/>
          <w:lang w:val="en-US" w:eastAsia="zh-CN"/>
        </w:rPr>
        <w:t>2.投</w:t>
      </w:r>
      <w:r>
        <w:rPr>
          <w:rFonts w:hint="eastAsia"/>
          <w:color w:val="auto"/>
          <w:lang w:eastAsia="zh-CN"/>
        </w:rPr>
        <w:t>标人需提供财务状况、缴纳税收和社保</w:t>
      </w:r>
      <w:r>
        <w:rPr>
          <w:rFonts w:hint="eastAsia"/>
          <w:color w:val="auto"/>
          <w:lang w:val="en-US" w:eastAsia="zh-CN"/>
        </w:rPr>
        <w:t>缴纳</w:t>
      </w:r>
      <w:r>
        <w:rPr>
          <w:rFonts w:hint="eastAsia"/>
          <w:color w:val="auto"/>
          <w:lang w:eastAsia="zh-CN"/>
        </w:rPr>
        <w:t>三项符合要求的承诺函（无需另行提供证明文件）。</w:t>
      </w:r>
    </w:p>
    <w:p w14:paraId="051CB390">
      <w:pPr>
        <w:spacing w:line="500" w:lineRule="exact"/>
        <w:ind w:firstLine="560" w:firstLineChars="200"/>
        <w:rPr>
          <w:rFonts w:hint="eastAsia"/>
          <w:color w:val="auto"/>
          <w:lang w:eastAsia="zh-CN"/>
        </w:rPr>
      </w:pPr>
      <w:r>
        <w:rPr>
          <w:rFonts w:hint="eastAsia"/>
          <w:color w:val="auto"/>
          <w:lang w:val="en-US" w:eastAsia="zh-CN"/>
        </w:rPr>
        <w:t>3</w:t>
      </w:r>
      <w:r>
        <w:rPr>
          <w:rFonts w:hint="eastAsia"/>
          <w:color w:val="auto"/>
          <w:lang w:eastAsia="zh-CN"/>
        </w:rPr>
        <w:t>.信用记录：提供《供应商信用记录书面声明函》（按格式填写，提供原件的扫描件）。经查，供应商未被列入“信用中国”网站记录的“失信被执行人”或“重大税收违法</w:t>
      </w:r>
      <w:r>
        <w:rPr>
          <w:rFonts w:hint="eastAsia"/>
          <w:color w:val="auto"/>
          <w:lang w:val="en-US" w:eastAsia="zh-CN"/>
        </w:rPr>
        <w:t>失信主体</w:t>
      </w:r>
      <w:r>
        <w:rPr>
          <w:rFonts w:hint="eastAsia"/>
          <w:color w:val="auto"/>
          <w:lang w:eastAsia="zh-CN"/>
        </w:rPr>
        <w:t>”名单；不处于“中国政府采购网”记录的“政府采购严重违法失信行为信息记录名单”中的禁止参加政府采购活动期间。</w:t>
      </w:r>
    </w:p>
    <w:p w14:paraId="4893BD9B">
      <w:pPr>
        <w:spacing w:line="500" w:lineRule="exact"/>
        <w:ind w:firstLine="560" w:firstLineChars="200"/>
        <w:rPr>
          <w:rFonts w:hint="eastAsia"/>
          <w:color w:val="auto"/>
          <w:lang w:eastAsia="zh-CN"/>
        </w:rPr>
      </w:pPr>
      <w:r>
        <w:rPr>
          <w:rFonts w:hint="eastAsia"/>
          <w:color w:val="auto"/>
          <w:lang w:val="en-US" w:eastAsia="zh-CN"/>
        </w:rPr>
        <w:t>4</w:t>
      </w:r>
      <w:r>
        <w:rPr>
          <w:rFonts w:hint="eastAsia"/>
          <w:color w:val="auto"/>
          <w:lang w:eastAsia="zh-CN"/>
        </w:rPr>
        <w:t>.控股管理关系：提供直接控股和管理关系清单。若与其他供应商存在单位负责人为同一人或者存在直接控股、管理关系的，则响应无效。</w:t>
      </w:r>
    </w:p>
    <w:p w14:paraId="128136E1">
      <w:pPr>
        <w:spacing w:line="500" w:lineRule="exact"/>
        <w:ind w:firstLine="560" w:firstLineChars="200"/>
        <w:rPr>
          <w:rFonts w:hint="eastAsia"/>
          <w:color w:val="auto"/>
          <w:lang w:eastAsia="zh-CN"/>
        </w:rPr>
      </w:pPr>
      <w:r>
        <w:rPr>
          <w:rFonts w:hint="eastAsia"/>
          <w:color w:val="auto"/>
          <w:lang w:val="en-US" w:eastAsia="zh-CN"/>
        </w:rPr>
        <w:t>5</w:t>
      </w:r>
      <w:r>
        <w:rPr>
          <w:rFonts w:hint="eastAsia"/>
          <w:color w:val="auto"/>
          <w:lang w:eastAsia="zh-CN"/>
        </w:rPr>
        <w:t>.书面声明：提供书面声明，包括声明具有履行合同所必需的设备和专业技术能力；未为本项目提供整体设计、规范编制或者项目管理、监理、检测等服务。</w:t>
      </w:r>
    </w:p>
    <w:p w14:paraId="2DABFA82">
      <w:pPr>
        <w:spacing w:line="500" w:lineRule="exact"/>
        <w:ind w:firstLine="560" w:firstLineChars="200"/>
        <w:rPr>
          <w:rFonts w:hint="eastAsia"/>
          <w:color w:val="auto"/>
          <w:lang w:eastAsia="zh-CN"/>
        </w:rPr>
      </w:pPr>
      <w:r>
        <w:rPr>
          <w:rFonts w:hint="eastAsia"/>
          <w:color w:val="auto"/>
          <w:lang w:val="en-US" w:eastAsia="zh-CN"/>
        </w:rPr>
        <w:t>6</w:t>
      </w:r>
      <w:r>
        <w:rPr>
          <w:rFonts w:hint="eastAsia"/>
          <w:color w:val="auto"/>
          <w:lang w:eastAsia="zh-CN"/>
        </w:rPr>
        <w:t>.法定代表人授权委托书</w:t>
      </w:r>
      <w:r>
        <w:rPr>
          <w:rFonts w:hint="eastAsia"/>
          <w:color w:val="auto"/>
          <w:lang w:val="en-US" w:eastAsia="zh-CN"/>
        </w:rPr>
        <w:t>及法定代表人证明书</w:t>
      </w:r>
      <w:r>
        <w:rPr>
          <w:rFonts w:hint="eastAsia"/>
          <w:color w:val="auto"/>
          <w:lang w:eastAsia="zh-CN"/>
        </w:rPr>
        <w:t>：法定代表人参加磋商的，须提供本人身份证扫描件（附在资格证明文件中）；法定代表人授权他人参加磋商的，须提供法定</w:t>
      </w:r>
      <w:bookmarkStart w:id="307" w:name="_GoBack"/>
      <w:bookmarkEnd w:id="307"/>
      <w:r>
        <w:rPr>
          <w:rFonts w:hint="eastAsia"/>
          <w:color w:val="auto"/>
          <w:lang w:eastAsia="zh-CN"/>
        </w:rPr>
        <w:t xml:space="preserve">代表人授权委托书。电子磋商文件中凡是需要法定代表人盖章之处，非法人单位的负责人均参照执行。 </w:t>
      </w:r>
    </w:p>
    <w:p w14:paraId="5FFADDB7">
      <w:pPr>
        <w:spacing w:line="500" w:lineRule="exact"/>
        <w:ind w:firstLine="560" w:firstLineChars="200"/>
        <w:rPr>
          <w:rFonts w:hint="eastAsia"/>
          <w:color w:val="auto"/>
          <w:lang w:eastAsia="zh-CN"/>
        </w:rPr>
      </w:pPr>
      <w:r>
        <w:rPr>
          <w:rFonts w:hint="eastAsia"/>
          <w:color w:val="auto"/>
          <w:lang w:eastAsia="zh-CN"/>
        </w:rPr>
        <w:t>法人的分支机构参与投标时，除提供《法定代表人授权委托书》外，还须同时提供法人给分支机构出具的授权书。</w:t>
      </w:r>
    </w:p>
    <w:p w14:paraId="3A247E6F">
      <w:pPr>
        <w:widowControl w:val="0"/>
        <w:numPr>
          <w:numId w:val="0"/>
        </w:numPr>
        <w:spacing w:line="500" w:lineRule="exact"/>
        <w:ind w:firstLine="560" w:firstLineChars="200"/>
        <w:jc w:val="left"/>
        <w:rPr>
          <w:rFonts w:hint="eastAsia" w:ascii="华文仿宋" w:hAnsi="华文仿宋" w:cs="华文仿宋"/>
          <w:color w:val="auto"/>
        </w:rPr>
      </w:pPr>
      <w:r>
        <w:rPr>
          <w:rFonts w:hint="eastAsia" w:ascii="华文仿宋" w:hAnsi="华文仿宋" w:cs="华文仿宋"/>
          <w:b w:val="0"/>
          <w:bCs w:val="0"/>
          <w:color w:val="auto"/>
          <w:lang w:val="en-US" w:eastAsia="zh-CN"/>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1"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1" w:firstLineChars="200"/>
        <w:rPr>
          <w:rFonts w:hint="eastAsia" w:ascii="华文仿宋" w:hAnsi="华文仿宋" w:cs="华文仿宋"/>
          <w:b/>
          <w:bCs/>
          <w:color w:val="auto"/>
          <w:highlight w:val="none"/>
        </w:rPr>
      </w:pPr>
      <w:bookmarkStart w:id="30" w:name="_Toc20141_WPSOffice_Level2"/>
      <w:bookmarkStart w:id="31" w:name="_Toc30400_WPSOffice_Level2"/>
      <w:bookmarkStart w:id="32" w:name="_Toc21125"/>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1"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1"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1"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6982_WPSOffice_Level2"/>
      <w:bookmarkStart w:id="34" w:name="_Toc26863_WPSOffice_Level2"/>
      <w:bookmarkStart w:id="35" w:name="_Toc20847"/>
      <w:bookmarkStart w:id="36" w:name="_Toc27420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8月28日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w:t>
      </w:r>
      <w:r>
        <w:rPr>
          <w:rFonts w:hint="eastAsia" w:ascii="仿宋" w:hAnsi="仿宋" w:eastAsia="仿宋" w:cs="仿宋"/>
          <w:b/>
          <w:bCs/>
          <w:color w:val="auto"/>
          <w:highlight w:val="none"/>
          <w:lang w:val="en-US" w:eastAsia="zh-CN"/>
        </w:rPr>
        <w:t>15</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1"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1"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1"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1"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上午10</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37"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1"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开标8室</w:t>
      </w:r>
    </w:p>
    <w:p w14:paraId="4651C50D">
      <w:pPr>
        <w:keepNext w:val="0"/>
        <w:keepLines w:val="0"/>
        <w:pageBreakBefore w:val="0"/>
        <w:widowControl/>
        <w:kinsoku/>
        <w:wordWrap/>
        <w:overflowPunct/>
        <w:topLinePunct w:val="0"/>
        <w:autoSpaceDE/>
        <w:autoSpaceDN/>
        <w:bidi w:val="0"/>
        <w:adjustRightInd/>
        <w:snapToGrid/>
        <w:spacing w:line="500" w:lineRule="exact"/>
        <w:ind w:left="560" w:leftChars="200" w:firstLine="0" w:firstLineChars="0"/>
        <w:textAlignment w:val="auto"/>
        <w:rPr>
          <w:rFonts w:hint="eastAsia"/>
          <w:b/>
          <w:bCs/>
          <w:color w:val="auto"/>
          <w:highlight w:val="none"/>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p>
    <w:p w14:paraId="5571E26C">
      <w:pPr>
        <w:keepNext w:val="0"/>
        <w:keepLines w:val="0"/>
        <w:pageBreakBefore w:val="0"/>
        <w:widowControl/>
        <w:kinsoku/>
        <w:wordWrap/>
        <w:overflowPunct/>
        <w:topLinePunct w:val="0"/>
        <w:autoSpaceDE/>
        <w:autoSpaceDN/>
        <w:bidi w:val="0"/>
        <w:adjustRightInd/>
        <w:snapToGrid/>
        <w:spacing w:line="500" w:lineRule="exact"/>
        <w:textAlignment w:val="auto"/>
        <w:rPr>
          <w:rFonts w:hint="default"/>
          <w:b/>
          <w:bCs/>
          <w:color w:val="auto"/>
          <w:highlight w:val="none"/>
          <w:lang w:val="en-US" w:eastAsia="zh-CN"/>
        </w:rPr>
      </w:pP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1"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eastAsia="zh-CN"/>
        </w:rPr>
        <w:t>051258188039</w:t>
      </w:r>
      <w:r>
        <w:rPr>
          <w:rFonts w:hint="eastAsia" w:ascii="华文仿宋" w:hAnsi="华文仿宋" w:cs="华文仿宋"/>
          <w:b/>
          <w:bCs/>
          <w:sz w:val="28"/>
          <w:szCs w:val="28"/>
          <w:highlight w:val="none"/>
        </w:rPr>
        <w:t>。</w:t>
      </w:r>
    </w:p>
    <w:p w14:paraId="09D12969">
      <w:pPr>
        <w:spacing w:line="500" w:lineRule="exact"/>
        <w:ind w:firstLine="561"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1" w:firstLineChars="200"/>
        <w:rPr>
          <w:b/>
          <w:bCs/>
          <w:color w:val="000000"/>
        </w:rPr>
      </w:pPr>
      <w:bookmarkStart w:id="37" w:name="_Toc17917"/>
      <w:bookmarkStart w:id="38" w:name="_Toc10758_WPSOffice_Level2"/>
      <w:bookmarkStart w:id="39" w:name="_Toc14110_WPSOffice_Level2"/>
      <w:bookmarkStart w:id="40" w:name="_Toc22849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75D31023">
      <w:pPr>
        <w:spacing w:line="500" w:lineRule="exact"/>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22804_WPSOffice_Level1"/>
      <w:bookmarkStart w:id="43" w:name="_Toc495014610"/>
      <w:bookmarkStart w:id="44" w:name="_Toc495014648"/>
      <w:bookmarkStart w:id="45" w:name="_Toc19337_WPSOffice_Level1"/>
      <w:bookmarkStart w:id="46" w:name="_Toc4326"/>
      <w:bookmarkStart w:id="47" w:name="_Toc495014953"/>
      <w:bookmarkStart w:id="48" w:name="_Toc495014919"/>
      <w:bookmarkStart w:id="49" w:name="_Toc445306492"/>
      <w:bookmarkStart w:id="50" w:name="_Toc15046_WPSOffice_Level1"/>
      <w:bookmarkStart w:id="51" w:name="_Toc495012820"/>
      <w:bookmarkStart w:id="52" w:name="_Toc495014584"/>
      <w:bookmarkStart w:id="53" w:name="_Toc7814"/>
      <w:bookmarkStart w:id="54" w:name="_Toc49501277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8466_WPSOffice_Level2"/>
      <w:bookmarkStart w:id="57" w:name="_Toc12337"/>
      <w:bookmarkStart w:id="58" w:name="_Toc24451_WPSOffice_Level2"/>
      <w:bookmarkStart w:id="59" w:name="_Toc3858_WPSOffice_Level2"/>
      <w:bookmarkStart w:id="60" w:name="_Toc11989"/>
      <w:bookmarkStart w:id="61" w:name="_Toc16238"/>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560" w:firstLineChars="200"/>
        <w:rPr>
          <w:rFonts w:hint="eastAsia"/>
          <w:color w:val="000000"/>
          <w:sz w:val="28"/>
          <w:szCs w:val="28"/>
          <w:lang w:eastAsia="zh-CN"/>
        </w:rPr>
      </w:pPr>
      <w:bookmarkStart w:id="62" w:name="_Toc11840_WPSOffice_Level3"/>
      <w:r>
        <w:rPr>
          <w:rFonts w:hint="eastAsia"/>
          <w:color w:val="000000"/>
          <w:sz w:val="28"/>
          <w:szCs w:val="28"/>
          <w:lang w:eastAsia="zh-CN"/>
        </w:rPr>
        <w:t>（</w:t>
      </w:r>
      <w:r>
        <w:rPr>
          <w:rFonts w:hint="eastAsia"/>
          <w:color w:val="000000"/>
          <w:sz w:val="28"/>
          <w:szCs w:val="28"/>
        </w:rPr>
        <w:t>一）采 购 人：</w:t>
      </w:r>
      <w:bookmarkEnd w:id="62"/>
      <w:r>
        <w:rPr>
          <w:rFonts w:hint="eastAsia"/>
          <w:color w:val="000000"/>
          <w:sz w:val="28"/>
          <w:szCs w:val="28"/>
          <w:lang w:eastAsia="zh-CN"/>
        </w:rPr>
        <w:t>延安职业技术学院</w:t>
      </w:r>
    </w:p>
    <w:p w14:paraId="01424C05">
      <w:pPr>
        <w:spacing w:line="500" w:lineRule="exact"/>
        <w:ind w:firstLine="560" w:firstLineChars="200"/>
        <w:rPr>
          <w:rFonts w:hint="default"/>
          <w:color w:val="000000"/>
          <w:sz w:val="28"/>
          <w:szCs w:val="28"/>
          <w:lang w:val="en-US" w:eastAsia="zh-CN"/>
        </w:rPr>
      </w:pPr>
      <w:r>
        <w:rPr>
          <w:rFonts w:hint="eastAsia"/>
          <w:color w:val="000000"/>
          <w:sz w:val="28"/>
          <w:szCs w:val="28"/>
          <w:lang w:eastAsia="zh-CN"/>
        </w:rPr>
        <w:t>（</w:t>
      </w:r>
      <w:r>
        <w:rPr>
          <w:rFonts w:hint="eastAsia"/>
          <w:color w:val="000000"/>
          <w:sz w:val="28"/>
          <w:szCs w:val="28"/>
        </w:rPr>
        <w:t>二）监督机构：</w:t>
      </w:r>
      <w:r>
        <w:rPr>
          <w:rFonts w:hint="eastAsia"/>
          <w:color w:val="000000"/>
          <w:sz w:val="28"/>
          <w:szCs w:val="28"/>
          <w:lang w:val="en-US" w:eastAsia="zh-CN"/>
        </w:rPr>
        <w:t>延安市财政局</w:t>
      </w:r>
    </w:p>
    <w:p w14:paraId="2FFAECAF">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三）集中采购机构：</w:t>
      </w:r>
      <w:r>
        <w:rPr>
          <w:rFonts w:hint="eastAsia" w:ascii="华文仿宋" w:hAnsi="华文仿宋" w:cs="华文仿宋"/>
          <w:color w:val="000000"/>
          <w:sz w:val="28"/>
          <w:szCs w:val="28"/>
          <w:lang w:val="en-US" w:eastAsia="zh-CN"/>
        </w:rPr>
        <w:t>延安市公共资源交易中心（延安市市直单位政府采购中心）（以下简称：中心）</w:t>
      </w:r>
    </w:p>
    <w:p w14:paraId="07B822FE">
      <w:pPr>
        <w:spacing w:line="500" w:lineRule="exact"/>
        <w:ind w:firstLine="560" w:firstLineChars="200"/>
        <w:rPr>
          <w:rFonts w:ascii="华文仿宋" w:hAnsi="华文仿宋" w:cs="华文仿宋"/>
          <w:color w:val="000000"/>
          <w:sz w:val="28"/>
          <w:szCs w:val="28"/>
        </w:rPr>
      </w:pPr>
      <w:bookmarkStart w:id="63" w:name="_Toc20141_WPSOffice_Level3"/>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四）供应商：</w:t>
      </w:r>
      <w:r>
        <w:rPr>
          <w:rFonts w:hint="eastAsia"/>
          <w:color w:val="000000"/>
          <w:sz w:val="28"/>
          <w:szCs w:val="28"/>
        </w:rPr>
        <w:t>拟向采购人提供货物、工程或者服务的法人、其他组织或者自然人</w:t>
      </w:r>
      <w:bookmarkEnd w:id="63"/>
      <w:r>
        <w:rPr>
          <w:rFonts w:hint="eastAsia"/>
          <w:color w:val="000000"/>
          <w:sz w:val="28"/>
          <w:szCs w:val="28"/>
        </w:rPr>
        <w:t>。</w:t>
      </w:r>
    </w:p>
    <w:p w14:paraId="187D14A6">
      <w:pPr>
        <w:pStyle w:val="3"/>
        <w:ind w:firstLine="567"/>
        <w:rPr>
          <w:rFonts w:ascii="华文仿宋" w:hAnsi="华文仿宋" w:cs="华文仿宋"/>
          <w:color w:val="000000"/>
          <w:sz w:val="28"/>
          <w:szCs w:val="28"/>
        </w:rPr>
      </w:pPr>
      <w:bookmarkStart w:id="64" w:name="_Toc1878"/>
      <w:bookmarkStart w:id="65" w:name="_Toc4606"/>
      <w:bookmarkStart w:id="66" w:name="_Toc27278_WPSOffice_Level2"/>
      <w:bookmarkStart w:id="67" w:name="_Toc11745_WPSOffice_Level2"/>
      <w:bookmarkStart w:id="68" w:name="_Toc20906_WPSOffice_Level2"/>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1" w:firstLineChars="200"/>
        <w:rPr>
          <w:b/>
          <w:bCs/>
          <w:color w:val="000000"/>
          <w:sz w:val="28"/>
          <w:szCs w:val="28"/>
        </w:rPr>
      </w:pPr>
      <w:bookmarkStart w:id="70" w:name="_Toc26982_WPSOffice_Level3"/>
      <w:bookmarkStart w:id="71" w:name="_Toc21291"/>
      <w:r>
        <w:rPr>
          <w:rFonts w:hint="eastAsia"/>
          <w:b/>
          <w:bCs/>
          <w:color w:val="000000"/>
          <w:sz w:val="28"/>
          <w:szCs w:val="28"/>
          <w:lang w:eastAsia="zh-CN"/>
        </w:rPr>
        <w:t>（</w:t>
      </w:r>
      <w:r>
        <w:rPr>
          <w:rFonts w:hint="eastAsia"/>
          <w:b/>
          <w:bCs/>
          <w:color w:val="000000"/>
          <w:sz w:val="28"/>
          <w:szCs w:val="28"/>
        </w:rPr>
        <w:t>一）询问</w:t>
      </w:r>
      <w:bookmarkEnd w:id="70"/>
      <w:bookmarkEnd w:id="71"/>
    </w:p>
    <w:p w14:paraId="00EB74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中心提</w:t>
      </w:r>
      <w:r>
        <w:rPr>
          <w:rFonts w:hint="eastAsia" w:ascii="华文仿宋" w:hAnsi="华文仿宋" w:cs="华文仿宋"/>
          <w:color w:val="000000"/>
        </w:rPr>
        <w:t>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658770A1">
      <w:pPr>
        <w:spacing w:line="500" w:lineRule="exact"/>
        <w:ind w:firstLine="560" w:firstLineChars="200"/>
        <w:rPr>
          <w:b/>
          <w:bCs/>
          <w:color w:val="000000"/>
          <w:sz w:val="28"/>
          <w:szCs w:val="28"/>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应在三个工作日内书面答复。</w:t>
      </w:r>
    </w:p>
    <w:p w14:paraId="6DC2D7A5">
      <w:pPr>
        <w:spacing w:line="500" w:lineRule="exact"/>
        <w:ind w:firstLine="561" w:firstLineChars="200"/>
        <w:rPr>
          <w:rFonts w:ascii="华文仿宋" w:hAnsi="华文仿宋" w:cs="华文仿宋"/>
          <w:b/>
          <w:color w:val="000000"/>
          <w:sz w:val="28"/>
          <w:szCs w:val="28"/>
        </w:rPr>
      </w:pPr>
      <w:bookmarkStart w:id="72" w:name="_Toc669_WPSOffice_Level3"/>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二）现场踏勘及标前答疑会</w:t>
      </w:r>
      <w:bookmarkEnd w:id="72"/>
    </w:p>
    <w:p w14:paraId="067953A2">
      <w:pPr>
        <w:spacing w:line="500" w:lineRule="exact"/>
        <w:ind w:firstLine="560" w:firstLineChars="200"/>
        <w:rPr>
          <w:rFonts w:ascii="华文仿宋" w:hAnsi="华文仿宋" w:cs="华文仿宋"/>
          <w:bCs/>
          <w:color w:val="000000"/>
          <w:sz w:val="28"/>
          <w:szCs w:val="28"/>
        </w:rPr>
      </w:pPr>
      <w:bookmarkStart w:id="73" w:name="_Toc9412_WPSOffice_Level3"/>
      <w:r>
        <w:rPr>
          <w:rFonts w:hint="eastAsia" w:ascii="华文仿宋" w:hAnsi="华文仿宋" w:cs="华文仿宋"/>
          <w:bCs/>
          <w:color w:val="000000"/>
          <w:sz w:val="28"/>
          <w:szCs w:val="28"/>
        </w:rPr>
        <w:t>采购项目安排现场考察和标前答疑的，采购人应尽量在现场予以解答</w:t>
      </w:r>
      <w:r>
        <w:rPr>
          <w:rFonts w:hint="eastAsia" w:ascii="华文仿宋" w:hAnsi="华文仿宋" w:cs="华文仿宋"/>
          <w:bCs/>
          <w:color w:val="000000"/>
          <w:sz w:val="28"/>
          <w:szCs w:val="28"/>
          <w:lang w:eastAsia="zh-CN"/>
        </w:rPr>
        <w:t>（</w:t>
      </w:r>
      <w:r>
        <w:rPr>
          <w:rFonts w:hint="eastAsia" w:ascii="华文仿宋" w:hAnsi="华文仿宋" w:cs="华文仿宋"/>
          <w:bCs/>
          <w:color w:val="000000"/>
          <w:sz w:val="28"/>
          <w:szCs w:val="28"/>
        </w:rPr>
        <w:t>口头提问可口头答复），现场不能做出解答的，应在三个工作日内书面答复，并交由</w:t>
      </w:r>
      <w:r>
        <w:rPr>
          <w:rFonts w:hint="eastAsia" w:ascii="华文仿宋" w:hAnsi="华文仿宋" w:cs="华文仿宋"/>
          <w:bCs/>
          <w:color w:val="000000"/>
          <w:sz w:val="28"/>
          <w:szCs w:val="28"/>
          <w:lang w:eastAsia="zh-CN"/>
        </w:rPr>
        <w:t>中心</w:t>
      </w:r>
      <w:r>
        <w:rPr>
          <w:rFonts w:hint="eastAsia" w:ascii="华文仿宋" w:hAnsi="华文仿宋" w:cs="华文仿宋"/>
          <w:bCs/>
          <w:color w:val="000000"/>
          <w:sz w:val="28"/>
          <w:szCs w:val="28"/>
        </w:rPr>
        <w:t>在财政部门指定的媒体上发布。</w:t>
      </w:r>
    </w:p>
    <w:p w14:paraId="3492ABC4">
      <w:pPr>
        <w:spacing w:line="500" w:lineRule="exact"/>
        <w:ind w:firstLine="560" w:firstLineChars="200"/>
        <w:rPr>
          <w:rFonts w:ascii="华文仿宋" w:hAnsi="华文仿宋" w:cs="华文仿宋"/>
          <w:bCs/>
          <w:color w:val="000000"/>
          <w:sz w:val="28"/>
          <w:szCs w:val="28"/>
        </w:rPr>
      </w:pPr>
      <w:r>
        <w:rPr>
          <w:rFonts w:hint="eastAsia" w:ascii="华文仿宋" w:hAnsi="华文仿宋" w:cs="华文仿宋"/>
          <w:bCs/>
          <w:color w:val="000000"/>
          <w:sz w:val="28"/>
          <w:szCs w:val="28"/>
        </w:rPr>
        <w:t>答复内容可能影响</w:t>
      </w:r>
      <w:r>
        <w:rPr>
          <w:rFonts w:hint="eastAsia" w:ascii="华文仿宋" w:hAnsi="华文仿宋" w:cs="华文仿宋"/>
          <w:bCs/>
          <w:color w:val="000000"/>
          <w:sz w:val="28"/>
          <w:szCs w:val="28"/>
          <w:lang w:val="en-US" w:eastAsia="zh-CN"/>
        </w:rPr>
        <w:t>电子</w:t>
      </w:r>
      <w:r>
        <w:rPr>
          <w:rFonts w:hint="eastAsia" w:ascii="华文仿宋" w:hAnsi="华文仿宋" w:cs="华文仿宋"/>
          <w:bCs/>
          <w:color w:val="000000"/>
          <w:sz w:val="28"/>
          <w:szCs w:val="28"/>
        </w:rPr>
        <w:t>响应文件编制的，应当顺延开标时间。凡未参加现场踏勘和标前答疑的供应商，由此造成的偏差由各供应商自行负责。</w:t>
      </w:r>
    </w:p>
    <w:p w14:paraId="52AFAE84">
      <w:pPr>
        <w:spacing w:line="500" w:lineRule="exact"/>
        <w:ind w:firstLine="561" w:firstLineChars="200"/>
        <w:rPr>
          <w:rFonts w:hint="eastAsia" w:ascii="华文仿宋" w:hAnsi="华文仿宋" w:cs="华文仿宋"/>
          <w:b/>
          <w:color w:val="auto"/>
          <w:sz w:val="28"/>
          <w:szCs w:val="28"/>
          <w:highlight w:val="none"/>
        </w:rPr>
      </w:pPr>
      <w:r>
        <w:rPr>
          <w:rFonts w:hint="eastAsia" w:ascii="华文仿宋" w:hAnsi="华文仿宋" w:cs="华文仿宋"/>
          <w:b/>
          <w:color w:val="auto"/>
          <w:sz w:val="28"/>
          <w:szCs w:val="28"/>
          <w:highlight w:val="none"/>
        </w:rPr>
        <w:t>本项目</w:t>
      </w:r>
      <w:r>
        <w:rPr>
          <w:rFonts w:hint="eastAsia" w:ascii="华文仿宋" w:hAnsi="华文仿宋" w:cs="华文仿宋"/>
          <w:b/>
          <w:color w:val="auto"/>
          <w:sz w:val="28"/>
          <w:szCs w:val="28"/>
          <w:highlight w:val="none"/>
          <w:lang w:val="en-US" w:eastAsia="zh-CN"/>
        </w:rPr>
        <w:t>不</w:t>
      </w:r>
      <w:r>
        <w:rPr>
          <w:rFonts w:hint="eastAsia" w:ascii="华文仿宋" w:hAnsi="华文仿宋" w:cs="华文仿宋"/>
          <w:b/>
          <w:color w:val="auto"/>
          <w:sz w:val="28"/>
          <w:szCs w:val="28"/>
          <w:highlight w:val="none"/>
        </w:rPr>
        <w:t>组织集中踏勘</w:t>
      </w:r>
      <w:r>
        <w:rPr>
          <w:rFonts w:hint="eastAsia" w:ascii="华文仿宋" w:hAnsi="华文仿宋" w:cs="华文仿宋"/>
          <w:b/>
          <w:color w:val="auto"/>
          <w:sz w:val="28"/>
          <w:szCs w:val="28"/>
          <w:highlight w:val="none"/>
          <w:lang w:val="en-US" w:eastAsia="zh-CN"/>
        </w:rPr>
        <w:t>和标前答疑</w:t>
      </w:r>
      <w:r>
        <w:rPr>
          <w:rFonts w:hint="eastAsia" w:ascii="华文仿宋" w:hAnsi="华文仿宋" w:cs="华文仿宋"/>
          <w:b/>
          <w:color w:val="auto"/>
          <w:sz w:val="28"/>
          <w:szCs w:val="28"/>
          <w:highlight w:val="none"/>
        </w:rPr>
        <w:t>。</w:t>
      </w:r>
    </w:p>
    <w:p w14:paraId="16563742">
      <w:pPr>
        <w:spacing w:line="500" w:lineRule="exact"/>
        <w:ind w:firstLine="561" w:firstLineChars="200"/>
        <w:rPr>
          <w:rFonts w:ascii="华文仿宋" w:hAnsi="华文仿宋" w:cs="华文仿宋"/>
          <w:b/>
          <w:color w:val="000000"/>
          <w:sz w:val="28"/>
          <w:szCs w:val="28"/>
        </w:rPr>
      </w:pPr>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三）质疑和投诉</w:t>
      </w:r>
      <w:bookmarkEnd w:id="73"/>
    </w:p>
    <w:p w14:paraId="3899778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06C0BD9A">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A013192">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633F5A0E">
      <w:pPr>
        <w:spacing w:line="500" w:lineRule="exact"/>
        <w:ind w:firstLine="560" w:firstLineChars="200"/>
        <w:contextualSpacing/>
        <w:rPr>
          <w:rFonts w:hint="eastAsia" w:ascii="华文仿宋" w:hAnsi="华文仿宋" w:cs="华文仿宋"/>
          <w:color w:val="auto"/>
          <w:sz w:val="28"/>
          <w:szCs w:val="28"/>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1C5AD28B">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2</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7F479B28">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3</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在法定质疑期内，针对同一采购程序环节的质疑应当一次性提出。</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或采购人将在收到书面质疑后7个工作日内做出答复，并以书面形式通知质疑人和其他有关供应商。</w:t>
      </w:r>
    </w:p>
    <w:p w14:paraId="7E3CE019">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rPr>
        <w:t>4</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有下列情形之一的，属于无效质疑，</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和采购人不予受理：</w:t>
      </w:r>
    </w:p>
    <w:p w14:paraId="6D0834F1">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1）质疑人不是参与本次政府采购项目的供应商或潜在供应商；</w:t>
      </w:r>
    </w:p>
    <w:p w14:paraId="6A2F1A05">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2）质疑人与质疑事项不存在利害关系的；</w:t>
      </w:r>
    </w:p>
    <w:p w14:paraId="2951ED73">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3）未在法定期限内提出质疑的；</w:t>
      </w:r>
    </w:p>
    <w:p w14:paraId="191FEF6D">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4）质疑未以书面形式提出，或质疑函主要内容构成不完整的，或缺乏必要的证明材料及证明材料不完整的；</w:t>
      </w:r>
    </w:p>
    <w:p w14:paraId="26DDFB6C">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5）质疑函没有合法有效的签字、盖章或授权的；</w:t>
      </w:r>
    </w:p>
    <w:p w14:paraId="638963E2">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6）以非法手段取得证据、材料的；</w:t>
      </w:r>
    </w:p>
    <w:p w14:paraId="129F9D48">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7）质疑答复后，同一质疑人就同一事项再次提出质疑的；</w:t>
      </w:r>
    </w:p>
    <w:p w14:paraId="453F9E91">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8）不符合法律、法规、规章和政府采购监管机构规定的其他条件的。</w:t>
      </w:r>
    </w:p>
    <w:p w14:paraId="26947459">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5</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质疑人对</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或采购人的答复不满意，以及</w:t>
      </w:r>
      <w:r>
        <w:rPr>
          <w:rFonts w:hint="eastAsia" w:ascii="华文仿宋" w:hAnsi="华文仿宋" w:cs="华文仿宋"/>
          <w:color w:val="000000"/>
          <w:sz w:val="28"/>
          <w:szCs w:val="28"/>
          <w:lang w:eastAsia="zh-CN"/>
        </w:rPr>
        <w:t>中心</w:t>
      </w:r>
      <w:r>
        <w:rPr>
          <w:rFonts w:hint="eastAsia" w:ascii="华文仿宋" w:hAnsi="华文仿宋" w:cs="华文仿宋"/>
          <w:color w:val="000000"/>
          <w:sz w:val="28"/>
          <w:szCs w:val="28"/>
        </w:rPr>
        <w:t>或采购人未在规定时间内做出答复的，可以在答复期满后15个工作日内向政府采购监管机构提出投诉。</w:t>
      </w:r>
    </w:p>
    <w:p w14:paraId="5A0A4A45">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6</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供应商投诉的事项不得超出已质疑事项的范围。</w:t>
      </w:r>
    </w:p>
    <w:p w14:paraId="2286BF46">
      <w:pPr>
        <w:spacing w:line="500" w:lineRule="exact"/>
        <w:ind w:firstLine="561"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13DC717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20A97F41">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110DBCE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192596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1"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1"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1"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3"/>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0" w:firstLineChars="200"/>
        <w:rPr>
          <w:rFonts w:hint="eastAsia" w:ascii="华文仿宋" w:hAnsi="华文仿宋" w:eastAsia="华文仿宋" w:cs="华文仿宋"/>
          <w:kern w:val="0"/>
          <w:sz w:val="28"/>
          <w:szCs w:val="28"/>
        </w:rPr>
      </w:pPr>
      <w:r>
        <w:rPr>
          <w:rFonts w:hint="eastAsia" w:ascii="华文仿宋" w:hAnsi="华文仿宋" w:eastAsia="华文仿宋" w:cs="华文仿宋"/>
          <w:color w:val="000000"/>
          <w:kern w:val="0"/>
          <w:sz w:val="28"/>
          <w:szCs w:val="28"/>
          <w:lang w:val="en-US" w:eastAsia="zh-CN"/>
        </w:rPr>
        <w:t>9</w:t>
      </w:r>
      <w:r>
        <w:rPr>
          <w:rFonts w:hint="eastAsia" w:ascii="华文仿宋" w:hAnsi="华文仿宋" w:eastAsia="华文仿宋" w:cs="华文仿宋"/>
          <w:color w:val="000000"/>
          <w:kern w:val="0"/>
          <w:sz w:val="28"/>
          <w:szCs w:val="28"/>
          <w:lang w:eastAsia="zh-CN"/>
        </w:rPr>
        <w:t>.</w:t>
      </w:r>
      <w:r>
        <w:rPr>
          <w:rFonts w:hint="eastAsia" w:ascii="华文仿宋" w:hAnsi="华文仿宋" w:eastAsia="华文仿宋" w:cs="华文仿宋"/>
          <w:kern w:val="0"/>
          <w:sz w:val="28"/>
          <w:szCs w:val="28"/>
        </w:rPr>
        <w:t>根据陕西省财政厅关于印发《陕西省中小企业政府采购信用融资办法》</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kern w:val="0"/>
          <w:sz w:val="28"/>
          <w:szCs w:val="28"/>
        </w:rPr>
        <w:t>陕财办采〔2018〕23号）规定“</w:t>
      </w:r>
      <w:r>
        <w:rPr>
          <w:rFonts w:hint="eastAsia" w:ascii="华文仿宋" w:hAnsi="华文仿宋" w:eastAsia="华文仿宋" w:cs="华文仿宋"/>
          <w:sz w:val="28"/>
          <w:szCs w:val="28"/>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sz w:val="28"/>
          <w:szCs w:val="28"/>
        </w:rPr>
        <w:fldChar w:fldCharType="begin"/>
      </w:r>
      <w:r>
        <w:rPr>
          <w:rFonts w:hint="eastAsia" w:ascii="华文仿宋" w:hAnsi="华文仿宋" w:eastAsia="华文仿宋" w:cs="华文仿宋"/>
          <w:sz w:val="28"/>
          <w:szCs w:val="28"/>
        </w:rPr>
        <w:instrText xml:space="preserve"> HYPERLINK "http://www.ccgp-shaanxi.gov.cn/zcdservice/zcd/shanxi/" </w:instrText>
      </w:r>
      <w:r>
        <w:rPr>
          <w:rFonts w:hint="eastAsia" w:ascii="华文仿宋" w:hAnsi="华文仿宋" w:eastAsia="华文仿宋" w:cs="华文仿宋"/>
          <w:sz w:val="28"/>
          <w:szCs w:val="28"/>
        </w:rPr>
        <w:fldChar w:fldCharType="separate"/>
      </w:r>
      <w:r>
        <w:rPr>
          <w:rFonts w:hint="eastAsia" w:ascii="华文仿宋" w:hAnsi="华文仿宋" w:eastAsia="华文仿宋" w:cs="华文仿宋"/>
          <w:kern w:val="0"/>
          <w:sz w:val="28"/>
          <w:szCs w:val="28"/>
        </w:rPr>
        <w:t>陕西省政府采购信用融资平台</w:t>
      </w:r>
      <w:r>
        <w:rPr>
          <w:rFonts w:hint="eastAsia" w:ascii="华文仿宋" w:hAnsi="华文仿宋" w:eastAsia="华文仿宋" w:cs="华文仿宋"/>
          <w:kern w:val="0"/>
          <w:sz w:val="28"/>
          <w:szCs w:val="28"/>
        </w:rPr>
        <w:fldChar w:fldCharType="end"/>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rPr>
        <w:fldChar w:fldCharType="begin"/>
      </w:r>
      <w:r>
        <w:rPr>
          <w:rFonts w:hint="eastAsia" w:ascii="华文仿宋" w:hAnsi="华文仿宋" w:eastAsia="华文仿宋" w:cs="华文仿宋"/>
          <w:kern w:val="0"/>
          <w:sz w:val="28"/>
          <w:szCs w:val="28"/>
        </w:rPr>
        <w:instrText xml:space="preserve"> HYPERLINK "http://www.ccgp-shaanxi.gov.cn/zcdservice/zcd/shanxi/）" </w:instrText>
      </w:r>
      <w:r>
        <w:rPr>
          <w:rFonts w:hint="eastAsia" w:ascii="华文仿宋" w:hAnsi="华文仿宋" w:eastAsia="华文仿宋" w:cs="华文仿宋"/>
          <w:kern w:val="0"/>
          <w:sz w:val="28"/>
          <w:szCs w:val="28"/>
        </w:rPr>
        <w:fldChar w:fldCharType="separate"/>
      </w:r>
      <w:r>
        <w:rPr>
          <w:rStyle w:val="25"/>
          <w:rFonts w:hint="eastAsia" w:ascii="华文仿宋" w:hAnsi="华文仿宋" w:eastAsia="华文仿宋" w:cs="华文仿宋"/>
          <w:kern w:val="0"/>
          <w:sz w:val="28"/>
          <w:szCs w:val="28"/>
        </w:rPr>
        <w:t>http://www.ccgp-shaanxi.gov.cn/zcdservice/zcd/shanxi/）</w:t>
      </w:r>
      <w:r>
        <w:rPr>
          <w:rFonts w:hint="eastAsia" w:ascii="华文仿宋" w:hAnsi="华文仿宋" w:eastAsia="华文仿宋" w:cs="华文仿宋"/>
          <w:kern w:val="0"/>
          <w:sz w:val="28"/>
          <w:szCs w:val="28"/>
        </w:rPr>
        <w:fldChar w:fldCharType="end"/>
      </w:r>
    </w:p>
    <w:p w14:paraId="4255ADE7">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39DDD965">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ACFA66E">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6CB4C6EC">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3.投标（响应）报价低于采购项目最高限价45%的，即投标（响应）报价&lt;采购项目最高限价×45%；</w:t>
      </w:r>
    </w:p>
    <w:p w14:paraId="7474A5E2">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4.评审委员会基于专业判断，认为供应商报价过低，有可能影响产品质量或者不能诚信履约的其他情形。</w:t>
      </w:r>
    </w:p>
    <w:p w14:paraId="7B5FF4C0">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采购人可以结合具体项目实际情况，提高上述第1项至第3项中启动异常低价投标（响应）审查的数值标准，但是最高不得超过65%。</w:t>
      </w:r>
    </w:p>
    <w:p w14:paraId="528D76EE">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相关法律法规对供应商报价有规定的，从其规定。</w:t>
      </w:r>
    </w:p>
    <w:p w14:paraId="125AAF01">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03D938">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4B145D">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7E9D1A">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28E03221">
      <w:pPr>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10"/>
        <w:spacing w:line="500" w:lineRule="exact"/>
        <w:ind w:firstLine="561"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1"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1"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1"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1"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1"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1"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6980_WPSOffice_Level2"/>
      <w:bookmarkStart w:id="82" w:name="_Toc13240"/>
      <w:bookmarkStart w:id="83" w:name="_Toc21288_WPSOffice_Level2"/>
      <w:bookmarkStart w:id="84" w:name="_Toc22637"/>
      <w:bookmarkStart w:id="85" w:name="_Toc17240_WPSOffice_Level2"/>
      <w:bookmarkStart w:id="86" w:name="_Toc322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22501_WPSOffice_Level2"/>
      <w:bookmarkStart w:id="88" w:name="_Toc13064"/>
      <w:bookmarkStart w:id="89" w:name="_Toc19768_WPSOffice_Level2"/>
      <w:bookmarkStart w:id="90" w:name="_Toc15996"/>
      <w:bookmarkStart w:id="91" w:name="_Toc20873_WPSOffice_Level2"/>
      <w:bookmarkStart w:id="92" w:name="_Toc30415"/>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二）磋商报价采取多轮报价的办法，最后报价作为计算价格分值的依据。供应商应在磋</w:t>
      </w:r>
      <w:r>
        <w:rPr>
          <w:rFonts w:hint="eastAsia" w:ascii="华文仿宋" w:hAnsi="华文仿宋" w:cs="华文仿宋"/>
          <w:b w:val="0"/>
          <w:bCs w:val="0"/>
          <w:color w:val="auto"/>
        </w:rPr>
        <w:t>商当天，磋商小组规定的报价时间内，使用制作</w:t>
      </w:r>
      <w:r>
        <w:rPr>
          <w:rFonts w:hint="eastAsia" w:ascii="华文仿宋" w:hAnsi="华文仿宋" w:cs="华文仿宋"/>
          <w:b w:val="0"/>
          <w:bCs w:val="0"/>
          <w:color w:val="auto"/>
          <w:lang w:val="en-US" w:eastAsia="zh-CN"/>
        </w:rPr>
        <w:t>电子</w:t>
      </w:r>
      <w:r>
        <w:rPr>
          <w:rFonts w:hint="eastAsia" w:ascii="华文仿宋" w:hAnsi="华文仿宋" w:cs="华文仿宋"/>
          <w:b w:val="0"/>
          <w:bCs w:val="0"/>
          <w:color w:val="auto"/>
          <w:lang w:eastAsia="zh-CN"/>
        </w:rPr>
        <w:t>响应文件</w:t>
      </w:r>
      <w:r>
        <w:rPr>
          <w:rFonts w:hint="eastAsia" w:ascii="华文仿宋" w:hAnsi="华文仿宋" w:cs="华文仿宋"/>
          <w:b w:val="0"/>
          <w:bCs w:val="0"/>
          <w:color w:val="auto"/>
        </w:rPr>
        <w:t>的数字认证证书</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CA锁）登录全国公共资源交易平台</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陕西省</w:t>
      </w:r>
      <w:r>
        <w:rPr>
          <w:rFonts w:hint="eastAsia" w:ascii="华文仿宋" w:hAnsi="华文仿宋" w:cs="华文仿宋"/>
          <w:b w:val="0"/>
          <w:bCs w:val="0"/>
          <w:color w:val="auto"/>
          <w:lang w:val="en-US" w:eastAsia="zh-CN"/>
        </w:rPr>
        <w:t>·延安市</w:t>
      </w:r>
      <w:r>
        <w:rPr>
          <w:rFonts w:hint="eastAsia" w:ascii="华文仿宋" w:hAnsi="华文仿宋" w:cs="华文仿宋"/>
          <w:b w:val="0"/>
          <w:bCs w:val="0"/>
          <w:color w:val="auto"/>
        </w:rPr>
        <w:t>）网站〖首页·〉电子交易平台·〉</w:t>
      </w:r>
      <w:r>
        <w:rPr>
          <w:rFonts w:hint="eastAsia" w:ascii="华文仿宋" w:hAnsi="华文仿宋" w:cs="华文仿宋"/>
          <w:b w:val="0"/>
          <w:bCs w:val="0"/>
          <w:color w:val="auto"/>
          <w:lang w:eastAsia="zh-CN"/>
        </w:rPr>
        <w:t>政府</w:t>
      </w:r>
      <w:r>
        <w:rPr>
          <w:rFonts w:hint="eastAsia" w:ascii="华文仿宋" w:hAnsi="华文仿宋" w:cs="华文仿宋"/>
          <w:b w:val="0"/>
          <w:bCs w:val="0"/>
          <w:color w:val="auto"/>
          <w:lang w:val="en-US" w:eastAsia="zh-CN"/>
        </w:rPr>
        <w:t>采购交易系统</w:t>
      </w:r>
      <w:r>
        <w:rPr>
          <w:rFonts w:hint="eastAsia" w:ascii="华文仿宋" w:hAnsi="华文仿宋" w:cs="华文仿宋"/>
          <w:b w:val="0"/>
          <w:bCs w:val="0"/>
          <w:color w:val="auto"/>
        </w:rPr>
        <w:t>·〉企业端〗后，</w:t>
      </w:r>
      <w:r>
        <w:rPr>
          <w:rFonts w:hint="eastAsia" w:ascii="华文仿宋" w:hAnsi="华文仿宋" w:cs="华文仿宋"/>
          <w:b w:val="0"/>
          <w:bCs w:val="0"/>
          <w:color w:val="000000"/>
        </w:rPr>
        <w:t>在〖我的项目〗下找到本次磋商的项目，填写最后报价表，签章并提交。</w:t>
      </w:r>
    </w:p>
    <w:p w14:paraId="75EFC8BD">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三）如采购内容无实质性变更，各供应商的报价应逐次降低，本次报价超过采购预算或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处理；本次报价超过上次报价但未超过采购预算或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规定的最高限价的，或在规定时间内最后报价未提交、提交不成功的均为无效报价，按无效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4959_WPSOffice_Level2"/>
      <w:bookmarkStart w:id="94" w:name="_Toc14979"/>
      <w:bookmarkStart w:id="95" w:name="_Toc11009"/>
      <w:bookmarkStart w:id="96" w:name="_Toc20041_WPSOffice_Level2"/>
      <w:bookmarkStart w:id="97" w:name="_Toc23179"/>
      <w:bookmarkStart w:id="98" w:name="_Toc2966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1" w:firstLineChars="200"/>
        <w:rPr>
          <w:rFonts w:ascii="华文仿宋" w:hAnsi="华文仿宋" w:cs="华文仿宋"/>
          <w:b/>
          <w:bCs/>
          <w:color w:val="000000"/>
        </w:rPr>
      </w:pPr>
      <w:bookmarkStart w:id="99" w:name="_Toc30535_WPSOffice_Level2"/>
      <w:bookmarkStart w:id="100" w:name="_Toc7898_WPSOffice_Level2"/>
      <w:bookmarkStart w:id="101" w:name="_Toc18733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hint="eastAsia" w:ascii="华文仿宋" w:hAnsi="华文仿宋" w:eastAsia="华文仿宋" w:cs="华文仿宋"/>
          <w:color w:val="000000"/>
          <w:lang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eastAsia="zh-CN"/>
        </w:rPr>
        <w:t>051258188039</w:t>
      </w:r>
    </w:p>
    <w:p w14:paraId="1FFCBBC3">
      <w:pPr>
        <w:spacing w:line="500" w:lineRule="exact"/>
        <w:ind w:firstLine="561"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1"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10744"/>
      <w:bookmarkStart w:id="106" w:name="_Toc28054"/>
      <w:bookmarkStart w:id="107" w:name="_Toc7022"/>
      <w:bookmarkStart w:id="108" w:name="_Toc6837"/>
      <w:bookmarkStart w:id="109" w:name="_Toc595"/>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1"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lang w:eastAsia="zh-CN"/>
        </w:rPr>
        <w:t>051258188039</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3"/>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1"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31720"/>
      <w:bookmarkStart w:id="112" w:name="_Toc20183"/>
      <w:bookmarkStart w:id="113" w:name="_Toc846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1"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BA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5C45DA50">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4FE35E6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58B01B47">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01849FB4">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AF1022B">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23BC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5DB7BFF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7944A11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2DB8D2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E9B5F7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F8C20AB">
            <w:pPr>
              <w:spacing w:before="40" w:after="40" w:line="240" w:lineRule="auto"/>
              <w:rPr>
                <w:rFonts w:hint="eastAsia" w:ascii="华文仿宋" w:hAnsi="华文仿宋" w:eastAsia="华文仿宋" w:cs="华文仿宋"/>
                <w:b/>
                <w:color w:val="000000"/>
                <w:sz w:val="24"/>
                <w:szCs w:val="24"/>
              </w:rPr>
            </w:pPr>
          </w:p>
        </w:tc>
      </w:tr>
      <w:tr w14:paraId="4AC6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38F82AC4">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049C25C6">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77DFFC9D">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110E534C">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8358EFF">
            <w:pPr>
              <w:spacing w:before="40" w:after="40" w:line="240" w:lineRule="auto"/>
              <w:rPr>
                <w:rFonts w:hint="eastAsia" w:ascii="华文仿宋" w:hAnsi="华文仿宋" w:eastAsia="华文仿宋" w:cs="华文仿宋"/>
                <w:b/>
                <w:color w:val="000000"/>
                <w:sz w:val="24"/>
                <w:szCs w:val="24"/>
              </w:rPr>
            </w:pPr>
          </w:p>
        </w:tc>
      </w:tr>
      <w:tr w14:paraId="35B0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B835933">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2EE7CD6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11AC703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22D8325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2F2ED191">
            <w:pPr>
              <w:spacing w:before="40" w:after="40" w:line="240" w:lineRule="auto"/>
              <w:rPr>
                <w:rFonts w:hint="eastAsia" w:ascii="华文仿宋" w:hAnsi="华文仿宋" w:eastAsia="华文仿宋" w:cs="华文仿宋"/>
                <w:b/>
                <w:color w:val="000000"/>
                <w:sz w:val="24"/>
                <w:szCs w:val="24"/>
              </w:rPr>
            </w:pPr>
          </w:p>
        </w:tc>
      </w:tr>
      <w:tr w14:paraId="136A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7FF3B4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5E7342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12446711">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5DB46860">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A79325C">
            <w:pPr>
              <w:spacing w:before="40" w:after="40" w:line="240" w:lineRule="auto"/>
              <w:rPr>
                <w:rFonts w:hint="eastAsia" w:ascii="华文仿宋" w:hAnsi="华文仿宋" w:eastAsia="华文仿宋" w:cs="华文仿宋"/>
                <w:b/>
                <w:color w:val="000000"/>
                <w:sz w:val="24"/>
                <w:szCs w:val="24"/>
              </w:rPr>
            </w:pPr>
          </w:p>
        </w:tc>
      </w:tr>
      <w:tr w14:paraId="3919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4B6BA86">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429959C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7B5BBE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66A19A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2BA9798">
            <w:pPr>
              <w:spacing w:before="40" w:after="40" w:line="240" w:lineRule="auto"/>
              <w:rPr>
                <w:rFonts w:hint="eastAsia" w:ascii="华文仿宋" w:hAnsi="华文仿宋" w:eastAsia="华文仿宋" w:cs="华文仿宋"/>
                <w:b/>
                <w:color w:val="000000"/>
                <w:sz w:val="24"/>
                <w:szCs w:val="24"/>
              </w:rPr>
            </w:pPr>
          </w:p>
        </w:tc>
      </w:tr>
      <w:tr w14:paraId="67DC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0E7CF5A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668402BC">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1472DB3E">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738E738E">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510B72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8609E14">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14B2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1D5F960A">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1"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1"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6A2CE8B7">
      <w:pPr>
        <w:tabs>
          <w:tab w:val="center" w:pos="4153"/>
          <w:tab w:val="right" w:pos="8306"/>
        </w:tabs>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1"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1"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797"/>
      <w:bookmarkStart w:id="120" w:name="_Toc2392"/>
      <w:bookmarkStart w:id="121" w:name="_Toc9626"/>
      <w:bookmarkStart w:id="122" w:name="_Toc27187"/>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4325D73B">
      <w:pPr>
        <w:rPr>
          <w:rFonts w:hint="eastAsia"/>
          <w:lang w:val="en-US" w:eastAsia="zh-CN"/>
        </w:rPr>
      </w:pPr>
    </w:p>
    <w:tbl>
      <w:tblPr>
        <w:tblStyle w:val="22"/>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732"/>
        <w:gridCol w:w="6998"/>
        <w:gridCol w:w="965"/>
      </w:tblGrid>
      <w:tr w14:paraId="4856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6664B66">
            <w:pPr>
              <w:pageBreakBefore w:val="0"/>
              <w:kinsoku/>
              <w:wordWrap/>
              <w:overflowPunct/>
              <w:topLinePunct w:val="0"/>
              <w:bidi w:val="0"/>
              <w:snapToGrid/>
              <w:spacing w:line="24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名称</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7CCA6473">
            <w:pPr>
              <w:pageBreakBefore w:val="0"/>
              <w:kinsoku/>
              <w:wordWrap/>
              <w:overflowPunct/>
              <w:topLinePunct w:val="0"/>
              <w:bidi w:val="0"/>
              <w:snapToGrid/>
              <w:spacing w:line="240" w:lineRule="auto"/>
              <w:jc w:val="center"/>
              <w:textAlignment w:val="auto"/>
              <w:rPr>
                <w:rFonts w:hint="eastAsia" w:ascii="仿宋" w:hAnsi="仿宋" w:eastAsia="仿宋" w:cs="仿宋"/>
                <w:bCs/>
                <w:color w:val="auto"/>
                <w:sz w:val="24"/>
              </w:rPr>
            </w:pPr>
            <w:r>
              <w:rPr>
                <w:rFonts w:hint="eastAsia" w:ascii="仿宋" w:hAnsi="仿宋" w:eastAsia="仿宋" w:cs="仿宋"/>
                <w:color w:val="auto"/>
                <w:sz w:val="24"/>
              </w:rPr>
              <w:t>分值</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6A86DD90">
            <w:pPr>
              <w:pageBreakBefore w:val="0"/>
              <w:kinsoku/>
              <w:wordWrap/>
              <w:overflowPunct/>
              <w:topLinePunct w:val="0"/>
              <w:bidi w:val="0"/>
              <w:snapToGrid/>
              <w:spacing w:line="24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评审要素</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37740F92">
            <w:pPr>
              <w:pageBreakBefore w:val="0"/>
              <w:kinsoku/>
              <w:wordWrap/>
              <w:overflowPunct/>
              <w:topLinePunct w:val="0"/>
              <w:bidi w:val="0"/>
              <w:snapToGrid/>
              <w:spacing w:line="240" w:lineRule="auto"/>
              <w:jc w:val="center"/>
              <w:textAlignment w:val="auto"/>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主客观分</w:t>
            </w:r>
          </w:p>
        </w:tc>
      </w:tr>
      <w:tr w14:paraId="7545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A560EFB">
            <w:pPr>
              <w:pageBreakBefore w:val="0"/>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bCs/>
                <w:color w:val="auto"/>
                <w:sz w:val="24"/>
                <w:highlight w:val="yellow"/>
              </w:rPr>
            </w:pPr>
            <w:r>
              <w:rPr>
                <w:rFonts w:hint="eastAsia" w:ascii="仿宋" w:hAnsi="仿宋" w:eastAsia="仿宋" w:cs="仿宋"/>
                <w:bCs/>
                <w:color w:val="auto"/>
                <w:sz w:val="24"/>
                <w:highlight w:val="none"/>
                <w:lang w:val="en-US" w:eastAsia="zh-CN"/>
              </w:rPr>
              <w:t>磋商</w:t>
            </w:r>
            <w:r>
              <w:rPr>
                <w:rFonts w:hint="eastAsia" w:ascii="仿宋" w:hAnsi="仿宋" w:eastAsia="仿宋" w:cs="仿宋"/>
                <w:bCs/>
                <w:color w:val="auto"/>
                <w:sz w:val="24"/>
                <w:highlight w:val="none"/>
              </w:rPr>
              <w:t>报价</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55BD1DE3">
            <w:pPr>
              <w:pageBreakBefore w:val="0"/>
              <w:kinsoku/>
              <w:wordWrap/>
              <w:overflowPunct/>
              <w:topLinePunct w:val="0"/>
              <w:autoSpaceDE w:val="0"/>
              <w:autoSpaceDN w:val="0"/>
              <w:bidi w:val="0"/>
              <w:adjustRightInd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bCs/>
                <w:color w:val="auto"/>
                <w:sz w:val="24"/>
                <w:lang w:val="en-US" w:eastAsia="zh-CN"/>
              </w:rPr>
              <w:t>30</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5230DB18">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rPr>
            </w:pPr>
            <w:r>
              <w:rPr>
                <w:rFonts w:hint="eastAsia" w:ascii="仿宋" w:hAnsi="仿宋" w:eastAsia="仿宋" w:cs="仿宋"/>
                <w:color w:val="auto"/>
                <w:kern w:val="0"/>
                <w:sz w:val="24"/>
                <w:lang w:bidi="ar"/>
              </w:rPr>
              <w:t>有效</w:t>
            </w:r>
            <w:r>
              <w:rPr>
                <w:rFonts w:hint="eastAsia" w:ascii="仿宋" w:hAnsi="仿宋" w:eastAsia="仿宋" w:cs="仿宋"/>
                <w:color w:val="auto"/>
                <w:kern w:val="0"/>
                <w:sz w:val="24"/>
                <w:lang w:val="en-US" w:eastAsia="zh-CN" w:bidi="ar"/>
              </w:rPr>
              <w:t>供应商</w:t>
            </w:r>
            <w:r>
              <w:rPr>
                <w:rFonts w:hint="eastAsia" w:ascii="仿宋" w:hAnsi="仿宋" w:eastAsia="仿宋" w:cs="仿宋"/>
                <w:color w:val="auto"/>
                <w:kern w:val="0"/>
                <w:sz w:val="24"/>
                <w:lang w:bidi="ar"/>
              </w:rPr>
              <w:t>的最低报价为基准价得</w:t>
            </w:r>
            <w:r>
              <w:rPr>
                <w:rFonts w:hint="eastAsia" w:ascii="仿宋" w:hAnsi="仿宋" w:eastAsia="仿宋" w:cs="仿宋"/>
                <w:color w:val="auto"/>
                <w:kern w:val="0"/>
                <w:sz w:val="24"/>
                <w:lang w:val="en-US" w:eastAsia="zh-CN" w:bidi="ar"/>
              </w:rPr>
              <w:t>30</w:t>
            </w:r>
            <w:r>
              <w:rPr>
                <w:rFonts w:hint="eastAsia" w:ascii="仿宋" w:hAnsi="仿宋" w:eastAsia="仿宋" w:cs="仿宋"/>
                <w:color w:val="auto"/>
                <w:kern w:val="0"/>
                <w:sz w:val="24"/>
                <w:lang w:bidi="ar"/>
              </w:rPr>
              <w:t>分，其他各</w:t>
            </w:r>
            <w:r>
              <w:rPr>
                <w:rFonts w:hint="eastAsia" w:ascii="仿宋" w:hAnsi="仿宋" w:eastAsia="仿宋" w:cs="仿宋"/>
                <w:color w:val="auto"/>
                <w:kern w:val="0"/>
                <w:sz w:val="24"/>
                <w:lang w:val="en-US" w:eastAsia="zh-CN" w:bidi="ar"/>
              </w:rPr>
              <w:t>供应商</w:t>
            </w:r>
            <w:r>
              <w:rPr>
                <w:rFonts w:hint="eastAsia" w:ascii="仿宋" w:hAnsi="仿宋" w:eastAsia="仿宋" w:cs="仿宋"/>
                <w:color w:val="auto"/>
                <w:kern w:val="0"/>
                <w:sz w:val="24"/>
                <w:lang w:bidi="ar"/>
              </w:rPr>
              <w:t>的报价得分按下列公式计算：（基准价/</w:t>
            </w:r>
            <w:r>
              <w:rPr>
                <w:rFonts w:hint="eastAsia" w:ascii="仿宋" w:hAnsi="仿宋" w:eastAsia="仿宋" w:cs="仿宋"/>
                <w:color w:val="auto"/>
                <w:kern w:val="0"/>
                <w:sz w:val="24"/>
                <w:lang w:val="en-US" w:eastAsia="zh-CN" w:bidi="ar"/>
              </w:rPr>
              <w:t>磋商</w:t>
            </w:r>
            <w:r>
              <w:rPr>
                <w:rFonts w:hint="eastAsia" w:ascii="仿宋" w:hAnsi="仿宋" w:eastAsia="仿宋" w:cs="仿宋"/>
                <w:color w:val="auto"/>
                <w:kern w:val="0"/>
                <w:sz w:val="24"/>
                <w:lang w:bidi="ar"/>
              </w:rPr>
              <w:t>报价）×</w:t>
            </w:r>
            <w:r>
              <w:rPr>
                <w:rFonts w:hint="eastAsia" w:ascii="仿宋" w:hAnsi="仿宋" w:eastAsia="仿宋" w:cs="仿宋"/>
                <w:color w:val="auto"/>
                <w:kern w:val="0"/>
                <w:sz w:val="24"/>
                <w:lang w:val="en-US" w:eastAsia="zh-CN" w:bidi="ar"/>
              </w:rPr>
              <w:t>30</w:t>
            </w:r>
            <w:r>
              <w:rPr>
                <w:rFonts w:hint="eastAsia" w:ascii="仿宋" w:hAnsi="仿宋" w:eastAsia="仿宋" w:cs="仿宋"/>
                <w:color w:val="auto"/>
                <w:kern w:val="0"/>
                <w:sz w:val="24"/>
                <w:lang w:bidi="ar"/>
              </w:rPr>
              <w:t>%×100。</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4A5122EA">
            <w:pPr>
              <w:pageBreakBefore w:val="0"/>
              <w:widowControl/>
              <w:kinsoku/>
              <w:wordWrap/>
              <w:overflowPunct/>
              <w:topLinePunct w:val="0"/>
              <w:bidi w:val="0"/>
              <w:snapToGrid/>
              <w:spacing w:line="240" w:lineRule="auto"/>
              <w:jc w:val="center"/>
              <w:textAlignment w:val="auto"/>
              <w:rPr>
                <w:rFonts w:hint="eastAsia" w:ascii="仿宋" w:hAnsi="仿宋" w:eastAsia="仿宋" w:cs="仿宋"/>
                <w:color w:val="auto"/>
                <w:kern w:val="0"/>
                <w:sz w:val="24"/>
                <w:lang w:val="en-US" w:eastAsia="zh-CN" w:bidi="ar"/>
              </w:rPr>
            </w:pPr>
            <w:r>
              <w:rPr>
                <w:rFonts w:hint="eastAsia" w:ascii="仿宋" w:hAnsi="仿宋" w:eastAsia="仿宋" w:cs="仿宋"/>
                <w:color w:val="auto"/>
                <w:kern w:val="0"/>
                <w:sz w:val="24"/>
                <w:lang w:val="en-US" w:eastAsia="zh-CN" w:bidi="ar"/>
              </w:rPr>
              <w:t>客观分</w:t>
            </w:r>
          </w:p>
        </w:tc>
      </w:tr>
      <w:tr w14:paraId="0D94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BD8626A">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highlight w:val="yellow"/>
              </w:rPr>
            </w:pPr>
            <w:r>
              <w:rPr>
                <w:rFonts w:hint="eastAsia" w:ascii="仿宋" w:hAnsi="仿宋" w:eastAsia="仿宋" w:cs="仿宋"/>
                <w:color w:val="auto"/>
                <w:sz w:val="24"/>
                <w:highlight w:val="none"/>
              </w:rPr>
              <w:t>业绩</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45BAFD09">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5</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7BC1E84D">
            <w:pPr>
              <w:pageBreakBefore w:val="0"/>
              <w:widowControl/>
              <w:kinsoku/>
              <w:wordWrap/>
              <w:overflowPunct/>
              <w:topLinePunct w:val="0"/>
              <w:bidi w:val="0"/>
              <w:adjustRightInd w:val="0"/>
              <w:snapToGrid/>
              <w:spacing w:line="240" w:lineRule="auto"/>
              <w:jc w:val="both"/>
              <w:textAlignment w:val="auto"/>
              <w:rPr>
                <w:rFonts w:hint="eastAsia" w:ascii="仿宋" w:hAnsi="仿宋" w:eastAsia="仿宋" w:cs="仿宋"/>
                <w:color w:val="auto"/>
                <w:sz w:val="24"/>
                <w:lang w:eastAsia="zh-CN"/>
              </w:rPr>
            </w:pPr>
            <w:r>
              <w:rPr>
                <w:rFonts w:hint="eastAsia" w:ascii="仿宋" w:hAnsi="仿宋" w:eastAsia="仿宋" w:cs="仿宋"/>
                <w:color w:val="auto"/>
                <w:sz w:val="24"/>
              </w:rPr>
              <w:t>提供202</w:t>
            </w:r>
            <w:r>
              <w:rPr>
                <w:rFonts w:hint="eastAsia" w:ascii="仿宋" w:hAnsi="仿宋" w:eastAsia="仿宋" w:cs="仿宋"/>
                <w:color w:val="auto"/>
                <w:sz w:val="24"/>
                <w:lang w:val="en-US" w:eastAsia="zh-CN"/>
              </w:rPr>
              <w:t>3</w:t>
            </w:r>
            <w:r>
              <w:rPr>
                <w:rFonts w:hint="eastAsia" w:ascii="仿宋" w:hAnsi="仿宋" w:eastAsia="仿宋" w:cs="仿宋"/>
                <w:color w:val="auto"/>
                <w:sz w:val="24"/>
              </w:rPr>
              <w:t>年1月1日以来类似项目业绩（以合同签订日期为准），每份合格业绩合同计</w:t>
            </w:r>
            <w:r>
              <w:rPr>
                <w:rFonts w:hint="eastAsia" w:ascii="仿宋" w:hAnsi="仿宋" w:eastAsia="仿宋" w:cs="仿宋"/>
                <w:color w:val="auto"/>
                <w:sz w:val="24"/>
                <w:lang w:val="en-US" w:eastAsia="zh-CN"/>
              </w:rPr>
              <w:t>1</w:t>
            </w:r>
            <w:r>
              <w:rPr>
                <w:rFonts w:hint="eastAsia" w:ascii="仿宋" w:hAnsi="仿宋" w:eastAsia="仿宋" w:cs="仿宋"/>
                <w:color w:val="auto"/>
                <w:sz w:val="24"/>
              </w:rPr>
              <w:t>分，满分</w:t>
            </w:r>
            <w:r>
              <w:rPr>
                <w:rFonts w:hint="eastAsia" w:ascii="仿宋" w:hAnsi="仿宋" w:eastAsia="仿宋" w:cs="仿宋"/>
                <w:color w:val="auto"/>
                <w:sz w:val="24"/>
                <w:lang w:val="en-US" w:eastAsia="zh-CN"/>
              </w:rPr>
              <w:t>5</w:t>
            </w:r>
            <w:r>
              <w:rPr>
                <w:rFonts w:hint="eastAsia" w:ascii="仿宋" w:hAnsi="仿宋" w:eastAsia="仿宋" w:cs="仿宋"/>
                <w:color w:val="auto"/>
                <w:sz w:val="24"/>
              </w:rPr>
              <w:t>分</w:t>
            </w:r>
            <w:r>
              <w:rPr>
                <w:rFonts w:hint="eastAsia" w:ascii="仿宋" w:hAnsi="仿宋" w:eastAsia="仿宋" w:cs="仿宋"/>
                <w:color w:val="auto"/>
                <w:sz w:val="24"/>
                <w:lang w:eastAsia="zh-CN"/>
              </w:rPr>
              <w:t>。</w:t>
            </w:r>
          </w:p>
          <w:p w14:paraId="33BF4F79">
            <w:pPr>
              <w:pageBreakBefore w:val="0"/>
              <w:widowControl/>
              <w:kinsoku/>
              <w:wordWrap/>
              <w:overflowPunct/>
              <w:topLinePunct w:val="0"/>
              <w:bidi w:val="0"/>
              <w:adjustRightInd w:val="0"/>
              <w:snapToGrid/>
              <w:spacing w:line="240" w:lineRule="auto"/>
              <w:jc w:val="both"/>
              <w:textAlignment w:val="auto"/>
              <w:rPr>
                <w:rFonts w:hint="eastAsia" w:ascii="仿宋" w:hAnsi="仿宋" w:eastAsia="仿宋" w:cs="仿宋"/>
                <w:color w:val="auto"/>
                <w:sz w:val="24"/>
              </w:rPr>
            </w:pPr>
            <w:r>
              <w:rPr>
                <w:rFonts w:hint="eastAsia" w:ascii="仿宋" w:hAnsi="仿宋" w:eastAsia="仿宋" w:cs="仿宋"/>
                <w:color w:val="auto"/>
                <w:sz w:val="24"/>
              </w:rPr>
              <w:t>赋分依据：需提供完整业绩合同</w:t>
            </w:r>
            <w:r>
              <w:rPr>
                <w:rFonts w:hint="eastAsia" w:ascii="仿宋" w:hAnsi="仿宋" w:eastAsia="仿宋" w:cs="仿宋"/>
                <w:color w:val="auto"/>
                <w:sz w:val="24"/>
                <w:lang w:eastAsia="zh-CN"/>
              </w:rPr>
              <w:t>及对应发票</w:t>
            </w:r>
            <w:r>
              <w:rPr>
                <w:rFonts w:hint="eastAsia" w:ascii="仿宋" w:hAnsi="仿宋" w:eastAsia="仿宋" w:cs="仿宋"/>
                <w:color w:val="auto"/>
                <w:sz w:val="24"/>
              </w:rPr>
              <w:t>复印件</w:t>
            </w:r>
            <w:r>
              <w:rPr>
                <w:rFonts w:hint="eastAsia" w:ascii="仿宋" w:hAnsi="仿宋" w:eastAsia="仿宋" w:cs="仿宋"/>
                <w:color w:val="auto"/>
                <w:sz w:val="24"/>
                <w:lang w:eastAsia="zh-CN"/>
              </w:rPr>
              <w:t>（发票可提供服务期内任意一张），并加盖供应商公章，以上两种证明材料同时提供方可得分，否则</w:t>
            </w:r>
            <w:r>
              <w:rPr>
                <w:rFonts w:hint="eastAsia" w:ascii="仿宋" w:hAnsi="仿宋" w:eastAsia="仿宋" w:cs="仿宋"/>
                <w:color w:val="auto"/>
                <w:sz w:val="24"/>
              </w:rPr>
              <w:t>不得分。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2C93AB22">
            <w:pPr>
              <w:pageBreakBefore w:val="0"/>
              <w:widowControl/>
              <w:kinsoku/>
              <w:wordWrap/>
              <w:overflowPunct/>
              <w:topLinePunct w:val="0"/>
              <w:bidi w:val="0"/>
              <w:adjustRightInd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客观分</w:t>
            </w:r>
          </w:p>
        </w:tc>
      </w:tr>
      <w:tr w14:paraId="27F5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F47CBDA">
            <w:pPr>
              <w:pageBreakBefore w:val="0"/>
              <w:kinsoku/>
              <w:wordWrap/>
              <w:overflowPunct/>
              <w:topLinePunct w:val="0"/>
              <w:bidi w:val="0"/>
              <w:snapToGrid/>
              <w:spacing w:line="240" w:lineRule="auto"/>
              <w:jc w:val="center"/>
              <w:textAlignment w:val="auto"/>
              <w:rPr>
                <w:rFonts w:ascii="仿宋" w:hAnsi="仿宋" w:eastAsia="仿宋" w:cs="仿宋"/>
                <w:color w:val="auto"/>
                <w:sz w:val="24"/>
              </w:rPr>
            </w:pPr>
            <w:r>
              <w:rPr>
                <w:rFonts w:hint="eastAsia" w:ascii="仿宋" w:hAnsi="仿宋" w:eastAsia="仿宋" w:cs="仿宋"/>
                <w:color w:val="auto"/>
                <w:sz w:val="24"/>
                <w:highlight w:val="none"/>
              </w:rPr>
              <w:t>管理制度</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21612C4A">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9</w:t>
            </w:r>
          </w:p>
        </w:tc>
        <w:tc>
          <w:tcPr>
            <w:tcW w:w="6998" w:type="dxa"/>
            <w:tcBorders>
              <w:top w:val="single" w:color="auto" w:sz="4" w:space="0"/>
              <w:left w:val="single" w:color="auto" w:sz="4" w:space="0"/>
              <w:bottom w:val="single" w:color="auto" w:sz="4" w:space="0"/>
              <w:right w:val="single" w:color="auto" w:sz="4" w:space="0"/>
            </w:tcBorders>
            <w:noWrap w:val="0"/>
            <w:vAlign w:val="top"/>
          </w:tcPr>
          <w:p w14:paraId="1187C6B1">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供应商针对本项目提供管理制度，制度包括以下内容：</w:t>
            </w:r>
          </w:p>
          <w:p w14:paraId="035EA231">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1、公司管理制度：员工管理制度、工作纪律，每提供一项得1分，满分2分，不提供不得分。</w:t>
            </w:r>
          </w:p>
          <w:p w14:paraId="464F27C6">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2、内控制度：人事制度、财务制度、档案管理制度，每提供一项得1分，满分3分，不提供不得分。</w:t>
            </w:r>
          </w:p>
          <w:p w14:paraId="46B74C42">
            <w:pPr>
              <w:pageBreakBefore w:val="0"/>
              <w:widowControl/>
              <w:kinsoku/>
              <w:wordWrap/>
              <w:overflowPunct/>
              <w:topLinePunct w:val="0"/>
              <w:bidi w:val="0"/>
              <w:snapToGrid/>
              <w:spacing w:line="240" w:lineRule="auto"/>
              <w:jc w:val="both"/>
              <w:textAlignment w:val="auto"/>
              <w:rPr>
                <w:color w:val="auto"/>
              </w:rPr>
            </w:pPr>
            <w:r>
              <w:rPr>
                <w:rFonts w:hint="eastAsia" w:ascii="仿宋" w:hAnsi="仿宋" w:eastAsia="仿宋" w:cs="仿宋"/>
                <w:color w:val="auto"/>
                <w:sz w:val="24"/>
                <w:lang w:val="en-US" w:eastAsia="zh-CN"/>
              </w:rPr>
              <w:t>3、人员管理制度：请销假制度、奖惩制度、行为规范、仪容仪表制度，每提供一项得1分，满分4分，不提供不得分。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6B13BE1D">
            <w:pPr>
              <w:pageBreakBefore w:val="0"/>
              <w:tabs>
                <w:tab w:val="left" w:pos="547"/>
              </w:tabs>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客观分</w:t>
            </w:r>
          </w:p>
        </w:tc>
      </w:tr>
      <w:tr w14:paraId="4E10C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37BCFA8">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rPr>
            </w:pPr>
            <w:r>
              <w:rPr>
                <w:rFonts w:hint="eastAsia" w:ascii="仿宋" w:hAnsi="仿宋" w:eastAsia="仿宋" w:cs="仿宋"/>
                <w:color w:val="auto"/>
                <w:sz w:val="24"/>
                <w:highlight w:val="none"/>
              </w:rPr>
              <w:t>人员配备</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38E2B59A">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7</w:t>
            </w:r>
          </w:p>
        </w:tc>
        <w:tc>
          <w:tcPr>
            <w:tcW w:w="6998" w:type="dxa"/>
            <w:tcBorders>
              <w:top w:val="single" w:color="auto" w:sz="4" w:space="0"/>
              <w:left w:val="single" w:color="auto" w:sz="4" w:space="0"/>
              <w:bottom w:val="single" w:color="auto" w:sz="4" w:space="0"/>
              <w:right w:val="single" w:color="auto" w:sz="4" w:space="0"/>
            </w:tcBorders>
            <w:noWrap w:val="0"/>
            <w:vAlign w:val="top"/>
          </w:tcPr>
          <w:p w14:paraId="6BD210E2">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1、拟派的项目负责人有1年（含1年）以上安保管理经验的得1分，3年（含3年）以上的得2分，5年（含5年）以上的得3分。</w:t>
            </w:r>
          </w:p>
          <w:p w14:paraId="0CBEB9AE">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2、提供项目的内部组织架构、组织架构说明，每提供一项得1分，满分2分。</w:t>
            </w:r>
          </w:p>
          <w:p w14:paraId="0683904C">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3、针对本项目提供人员配备明细、岗位职责，每提供一项得1分，满分2分。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5A362E62">
            <w:pPr>
              <w:pageBreakBefore w:val="0"/>
              <w:widowControl/>
              <w:numPr>
                <w:ilvl w:val="0"/>
                <w:numId w:val="0"/>
              </w:numPr>
              <w:kinsoku/>
              <w:wordWrap/>
              <w:overflowPunct/>
              <w:topLinePunct w:val="0"/>
              <w:bidi w:val="0"/>
              <w:snapToGrid/>
              <w:spacing w:line="240" w:lineRule="auto"/>
              <w:jc w:val="center"/>
              <w:textAlignment w:val="auto"/>
              <w:rPr>
                <w:rFonts w:hint="default" w:ascii="仿宋" w:hAnsi="仿宋" w:eastAsia="仿宋" w:cs="仿宋"/>
                <w:color w:val="auto"/>
                <w:kern w:val="2"/>
                <w:sz w:val="24"/>
                <w:szCs w:val="28"/>
                <w:lang w:val="en-US" w:eastAsia="zh-CN" w:bidi="ar-SA"/>
              </w:rPr>
            </w:pPr>
            <w:r>
              <w:rPr>
                <w:rFonts w:hint="eastAsia" w:ascii="仿宋" w:hAnsi="仿宋" w:eastAsia="仿宋" w:cs="仿宋"/>
                <w:color w:val="auto"/>
                <w:kern w:val="2"/>
                <w:sz w:val="24"/>
                <w:szCs w:val="28"/>
                <w:lang w:val="en-US" w:eastAsia="zh-CN" w:bidi="ar-SA"/>
              </w:rPr>
              <w:t>客观分</w:t>
            </w:r>
          </w:p>
        </w:tc>
      </w:tr>
      <w:tr w14:paraId="360E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E666F88">
            <w:pPr>
              <w:pageBreakBefore w:val="0"/>
              <w:kinsoku/>
              <w:wordWrap/>
              <w:overflowPunct/>
              <w:topLinePunct w:val="0"/>
              <w:bidi w:val="0"/>
              <w:snapToGrid/>
              <w:spacing w:line="240" w:lineRule="auto"/>
              <w:jc w:val="center"/>
              <w:textAlignment w:val="auto"/>
              <w:rPr>
                <w:rFonts w:ascii="仿宋" w:hAnsi="仿宋" w:eastAsia="仿宋" w:cs="仿宋"/>
                <w:color w:val="auto"/>
                <w:sz w:val="24"/>
              </w:rPr>
            </w:pPr>
            <w:r>
              <w:rPr>
                <w:rFonts w:hint="eastAsia" w:ascii="仿宋" w:hAnsi="仿宋" w:eastAsia="仿宋" w:cs="仿宋"/>
                <w:bCs/>
                <w:color w:val="auto"/>
                <w:sz w:val="24"/>
                <w:highlight w:val="none"/>
              </w:rPr>
              <w:t>应急预案</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67D12895">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7</w:t>
            </w:r>
          </w:p>
        </w:tc>
        <w:tc>
          <w:tcPr>
            <w:tcW w:w="6998" w:type="dxa"/>
            <w:tcBorders>
              <w:top w:val="single" w:color="auto" w:sz="4" w:space="0"/>
              <w:left w:val="single" w:color="auto" w:sz="4" w:space="0"/>
              <w:bottom w:val="single" w:color="auto" w:sz="4" w:space="0"/>
              <w:right w:val="single" w:color="auto" w:sz="4" w:space="0"/>
            </w:tcBorders>
            <w:noWrap w:val="0"/>
            <w:vAlign w:val="top"/>
          </w:tcPr>
          <w:p w14:paraId="125D5415">
            <w:pPr>
              <w:pageBreakBefore w:val="0"/>
              <w:widowControl/>
              <w:kinsoku/>
              <w:wordWrap/>
              <w:overflowPunct/>
              <w:topLinePunct w:val="0"/>
              <w:bidi w:val="0"/>
              <w:snapToGrid/>
              <w:spacing w:line="240" w:lineRule="auto"/>
              <w:jc w:val="both"/>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供应商根据本项目特点制定应急方案，方案需包括以下内容：</w:t>
            </w:r>
          </w:p>
          <w:p w14:paraId="565B345F">
            <w:pPr>
              <w:pageBreakBefore w:val="0"/>
              <w:widowControl/>
              <w:kinsoku/>
              <w:wordWrap/>
              <w:overflowPunct/>
              <w:topLinePunct w:val="0"/>
              <w:bidi w:val="0"/>
              <w:snapToGrid/>
              <w:spacing w:line="240" w:lineRule="auto"/>
              <w:jc w:val="both"/>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1、日常管理突发事件：火灾、电梯困人，每提供一项得1分，满分2分，不提供不得分。</w:t>
            </w:r>
          </w:p>
          <w:p w14:paraId="38033C0B">
            <w:pPr>
              <w:pageBreakBefore w:val="0"/>
              <w:widowControl/>
              <w:kinsoku/>
              <w:wordWrap/>
              <w:overflowPunct/>
              <w:topLinePunct w:val="0"/>
              <w:bidi w:val="0"/>
              <w:snapToGrid/>
              <w:spacing w:line="240" w:lineRule="auto"/>
              <w:jc w:val="both"/>
              <w:textAlignment w:val="auto"/>
              <w:rPr>
                <w:rFonts w:hint="default" w:ascii="仿宋" w:hAnsi="仿宋" w:eastAsia="仿宋" w:cs="仿宋"/>
                <w:bCs/>
                <w:color w:val="auto"/>
                <w:sz w:val="24"/>
                <w:lang w:val="en-US" w:eastAsia="zh-CN"/>
              </w:rPr>
            </w:pPr>
            <w:r>
              <w:rPr>
                <w:rFonts w:hint="eastAsia" w:ascii="仿宋" w:hAnsi="仿宋" w:eastAsia="仿宋" w:cs="仿宋"/>
                <w:bCs/>
                <w:color w:val="auto"/>
                <w:sz w:val="24"/>
                <w:lang w:val="en-US" w:eastAsia="zh-CN"/>
              </w:rPr>
              <w:t>2、安全紧急事件：盗窃、寻衅滋事、群体事件，每提供一项得1分，满分3分，不提供不得分。</w:t>
            </w:r>
          </w:p>
          <w:p w14:paraId="165EF3D6">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lang w:eastAsia="zh-CN"/>
              </w:rPr>
            </w:pPr>
            <w:r>
              <w:rPr>
                <w:rFonts w:hint="eastAsia" w:ascii="仿宋" w:hAnsi="仿宋" w:eastAsia="仿宋" w:cs="仿宋"/>
                <w:bCs/>
                <w:color w:val="auto"/>
                <w:sz w:val="24"/>
                <w:lang w:val="en-US" w:eastAsia="zh-CN"/>
              </w:rPr>
              <w:t>3、其他：大型活动保障、各类检查保障，每提供一项得1分，满分2分，不提供不得分。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55CA5336">
            <w:pPr>
              <w:pageBreakBefore w:val="0"/>
              <w:tabs>
                <w:tab w:val="left" w:pos="547"/>
              </w:tabs>
              <w:kinsoku/>
              <w:wordWrap/>
              <w:overflowPunct/>
              <w:topLinePunct w:val="0"/>
              <w:autoSpaceDE w:val="0"/>
              <w:autoSpaceDN w:val="0"/>
              <w:bidi w:val="0"/>
              <w:adjustRightInd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客观分</w:t>
            </w:r>
          </w:p>
        </w:tc>
      </w:tr>
      <w:tr w14:paraId="68F1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35B4FEF">
            <w:pPr>
              <w:pageBreakBefore w:val="0"/>
              <w:kinsoku/>
              <w:wordWrap/>
              <w:overflowPunct/>
              <w:topLinePunct w:val="0"/>
              <w:bidi w:val="0"/>
              <w:snapToGrid/>
              <w:spacing w:line="240" w:lineRule="auto"/>
              <w:jc w:val="center"/>
              <w:textAlignment w:val="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服务承诺</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68C5CEFA">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4</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2971BA6A">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1、承诺：定期调研采购人对服务质量的满意度并加以改进，确保服务工作的优质高效，得1分。</w:t>
            </w:r>
          </w:p>
          <w:p w14:paraId="56A40146">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2、承诺：</w:t>
            </w:r>
            <w:r>
              <w:rPr>
                <w:rFonts w:hint="eastAsia" w:ascii="仿宋" w:hAnsi="仿宋" w:eastAsia="仿宋" w:cs="仿宋"/>
                <w:color w:val="auto"/>
                <w:sz w:val="24"/>
              </w:rPr>
              <w:t>接受采购人对所提供安保服务的监督批评及意见</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得1分。</w:t>
            </w:r>
          </w:p>
          <w:p w14:paraId="53CFA2CF">
            <w:pPr>
              <w:pageBreakBefore w:val="0"/>
              <w:widowControl/>
              <w:kinsoku/>
              <w:wordWrap/>
              <w:overflowPunct/>
              <w:topLinePunct w:val="0"/>
              <w:bidi w:val="0"/>
              <w:snapToGrid/>
              <w:spacing w:line="240" w:lineRule="auto"/>
              <w:jc w:val="both"/>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3、承诺：服务人员因事、病不能工作的，及时请调其他服务人员补充，确保服务工作的正常进行，得1分。</w:t>
            </w:r>
          </w:p>
          <w:p w14:paraId="3A0499C2">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4、承诺：</w:t>
            </w:r>
            <w:r>
              <w:rPr>
                <w:rFonts w:hint="eastAsia" w:ascii="仿宋" w:hAnsi="仿宋" w:eastAsia="仿宋" w:cs="仿宋"/>
                <w:color w:val="auto"/>
                <w:kern w:val="2"/>
                <w:sz w:val="24"/>
                <w:szCs w:val="28"/>
                <w:lang w:val="en-US" w:eastAsia="zh-CN" w:bidi="ar-SA"/>
              </w:rPr>
              <w:t>储备可调度人员，调度人员可保障重大活动、突发事件的临时任务调度需要，得1分。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6E13E94F">
            <w:pPr>
              <w:pageBreakBefore w:val="0"/>
              <w:widowControl/>
              <w:kinsoku/>
              <w:wordWrap/>
              <w:overflowPunct/>
              <w:topLinePunct w:val="0"/>
              <w:bidi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客观分</w:t>
            </w:r>
          </w:p>
        </w:tc>
      </w:tr>
      <w:tr w14:paraId="4095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26A2F58">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合理化建议</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2A72766A">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4E651EE8">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针对安保服务工作中常见问题进行梳理，及时向采购人提出合理化建议，每提供一条得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分，满分</w:t>
            </w:r>
            <w:r>
              <w:rPr>
                <w:rFonts w:hint="eastAsia" w:ascii="仿宋" w:hAnsi="仿宋" w:eastAsia="仿宋" w:cs="仿宋"/>
                <w:color w:val="auto"/>
                <w:sz w:val="24"/>
                <w:lang w:val="en-US" w:eastAsia="zh-CN"/>
              </w:rPr>
              <w:t>2</w:t>
            </w:r>
            <w:r>
              <w:rPr>
                <w:rFonts w:hint="eastAsia" w:ascii="仿宋" w:hAnsi="仿宋" w:eastAsia="仿宋" w:cs="仿宋"/>
                <w:color w:val="auto"/>
                <w:sz w:val="24"/>
              </w:rPr>
              <w:t>分。不提供不得分。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684ABA7F">
            <w:pPr>
              <w:pageBreakBefore w:val="0"/>
              <w:widowControl/>
              <w:kinsoku/>
              <w:wordWrap/>
              <w:overflowPunct/>
              <w:topLinePunct w:val="0"/>
              <w:bidi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客观分</w:t>
            </w:r>
          </w:p>
        </w:tc>
      </w:tr>
      <w:tr w14:paraId="1D6A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C1D91F6">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总体方案</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7594E19D">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0A7C9AEF">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kern w:val="0"/>
                <w:sz w:val="24"/>
              </w:rPr>
            </w:pPr>
            <w:r>
              <w:rPr>
                <w:rFonts w:hint="eastAsia" w:ascii="仿宋" w:hAnsi="仿宋" w:eastAsia="仿宋" w:cs="仿宋"/>
                <w:b/>
                <w:bCs/>
                <w:color w:val="auto"/>
                <w:kern w:val="0"/>
                <w:sz w:val="24"/>
              </w:rPr>
              <w:t>一、评审内容</w:t>
            </w:r>
          </w:p>
          <w:p w14:paraId="10677FE7">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kern w:val="0"/>
                <w:sz w:val="24"/>
                <w:lang w:eastAsia="zh-CN"/>
              </w:rPr>
            </w:pPr>
            <w:r>
              <w:rPr>
                <w:rFonts w:hint="eastAsia" w:ascii="仿宋" w:hAnsi="仿宋" w:eastAsia="仿宋" w:cs="仿宋"/>
                <w:color w:val="auto"/>
                <w:kern w:val="0"/>
                <w:sz w:val="24"/>
              </w:rPr>
              <w:t>针对本项目提出</w:t>
            </w:r>
            <w:r>
              <w:rPr>
                <w:rFonts w:hint="eastAsia" w:ascii="仿宋" w:hAnsi="仿宋" w:eastAsia="仿宋" w:cs="仿宋"/>
                <w:color w:val="auto"/>
                <w:kern w:val="0"/>
                <w:sz w:val="24"/>
                <w:lang w:val="en-US" w:eastAsia="zh-CN"/>
              </w:rPr>
              <w:t>适用于本项目的总体方案</w:t>
            </w:r>
            <w:r>
              <w:rPr>
                <w:rFonts w:hint="eastAsia" w:ascii="仿宋" w:hAnsi="仿宋" w:eastAsia="仿宋" w:cs="仿宋"/>
                <w:color w:val="auto"/>
                <w:kern w:val="0"/>
                <w:sz w:val="24"/>
              </w:rPr>
              <w:t>，方案内容包括：</w:t>
            </w:r>
            <w:r>
              <w:rPr>
                <w:rFonts w:hint="eastAsia" w:ascii="仿宋" w:hAnsi="仿宋" w:eastAsia="仿宋" w:cs="仿宋"/>
                <w:b w:val="0"/>
                <w:color w:val="auto"/>
                <w:kern w:val="0"/>
                <w:sz w:val="24"/>
                <w:szCs w:val="28"/>
                <w:lang w:val="en-US" w:eastAsia="zh-CN" w:bidi="ar-SA"/>
              </w:rPr>
              <w:t>①</w:t>
            </w:r>
            <w:r>
              <w:rPr>
                <w:rFonts w:hint="eastAsia" w:ascii="仿宋" w:hAnsi="仿宋" w:eastAsia="仿宋" w:cs="仿宋"/>
                <w:color w:val="auto"/>
                <w:kern w:val="0"/>
                <w:sz w:val="24"/>
                <w:lang w:val="en-US" w:eastAsia="zh-CN"/>
              </w:rPr>
              <w:t>服务重难点分析②服务目标。</w:t>
            </w:r>
          </w:p>
          <w:p w14:paraId="39618B88">
            <w:pPr>
              <w:pageBreakBefore w:val="0"/>
              <w:widowControl/>
              <w:kinsoku/>
              <w:wordWrap/>
              <w:overflowPunct/>
              <w:topLinePunct w:val="0"/>
              <w:bidi w:val="0"/>
              <w:snapToGrid/>
              <w:spacing w:line="240" w:lineRule="auto"/>
              <w:jc w:val="both"/>
              <w:textAlignment w:val="auto"/>
              <w:rPr>
                <w:rFonts w:ascii="仿宋" w:hAnsi="仿宋" w:eastAsia="仿宋" w:cs="仿宋"/>
                <w:b/>
                <w:bCs/>
                <w:color w:val="auto"/>
                <w:kern w:val="0"/>
                <w:sz w:val="24"/>
              </w:rPr>
            </w:pPr>
            <w:r>
              <w:rPr>
                <w:rFonts w:hint="eastAsia" w:ascii="仿宋" w:hAnsi="仿宋" w:eastAsia="仿宋" w:cs="仿宋"/>
                <w:b/>
                <w:bCs/>
                <w:color w:val="auto"/>
                <w:kern w:val="0"/>
                <w:sz w:val="24"/>
              </w:rPr>
              <w:t>二、评审标准</w:t>
            </w:r>
          </w:p>
          <w:p w14:paraId="771AB8BD">
            <w:pPr>
              <w:pageBreakBefore w:val="0"/>
              <w:widowControl/>
              <w:kinsoku/>
              <w:wordWrap/>
              <w:overflowPunct/>
              <w:topLinePunct w:val="0"/>
              <w:bidi w:val="0"/>
              <w:snapToGrid/>
              <w:spacing w:line="240" w:lineRule="auto"/>
              <w:jc w:val="both"/>
              <w:textAlignment w:val="auto"/>
              <w:rPr>
                <w:rFonts w:ascii="仿宋" w:hAnsi="仿宋" w:eastAsia="仿宋" w:cs="仿宋"/>
                <w:color w:val="auto"/>
                <w:kern w:val="0"/>
                <w:sz w:val="24"/>
              </w:rPr>
            </w:pPr>
            <w:r>
              <w:rPr>
                <w:rFonts w:hint="eastAsia" w:ascii="仿宋" w:hAnsi="仿宋" w:eastAsia="仿宋" w:cs="仿宋"/>
                <w:color w:val="auto"/>
                <w:kern w:val="0"/>
                <w:sz w:val="24"/>
              </w:rPr>
              <w:t>1</w:t>
            </w:r>
            <w:r>
              <w:rPr>
                <w:rFonts w:hint="eastAsia" w:ascii="仿宋" w:hAnsi="仿宋" w:eastAsia="仿宋" w:cs="仿宋"/>
                <w:color w:val="auto"/>
                <w:kern w:val="0"/>
                <w:sz w:val="24"/>
                <w:lang w:val="en-US" w:eastAsia="zh-CN"/>
              </w:rPr>
              <w:t>.</w:t>
            </w:r>
            <w:r>
              <w:rPr>
                <w:rFonts w:hint="eastAsia" w:ascii="仿宋" w:hAnsi="仿宋" w:eastAsia="仿宋" w:cs="仿宋"/>
                <w:color w:val="auto"/>
                <w:kern w:val="0"/>
                <w:sz w:val="24"/>
              </w:rPr>
              <w:t>完整性：方案必须全面，对评审内容中的各项要求有详细描述；</w:t>
            </w:r>
          </w:p>
          <w:p w14:paraId="0DE5AA5C">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kern w:val="0"/>
                <w:sz w:val="24"/>
                <w:lang w:eastAsia="zh-CN"/>
              </w:rPr>
            </w:pPr>
            <w:r>
              <w:rPr>
                <w:rFonts w:hint="eastAsia" w:ascii="仿宋" w:hAnsi="仿宋" w:eastAsia="仿宋" w:cs="仿宋"/>
                <w:color w:val="auto"/>
                <w:kern w:val="0"/>
                <w:sz w:val="24"/>
              </w:rPr>
              <w:t>2</w:t>
            </w:r>
            <w:r>
              <w:rPr>
                <w:rFonts w:hint="eastAsia" w:ascii="仿宋" w:hAnsi="仿宋" w:eastAsia="仿宋" w:cs="仿宋"/>
                <w:color w:val="auto"/>
                <w:kern w:val="0"/>
                <w:sz w:val="24"/>
                <w:lang w:val="en-US" w:eastAsia="zh-CN"/>
              </w:rPr>
              <w:t>.</w:t>
            </w:r>
            <w:r>
              <w:rPr>
                <w:rFonts w:hint="eastAsia" w:ascii="仿宋" w:hAnsi="仿宋" w:eastAsia="仿宋" w:cs="仿宋"/>
                <w:color w:val="auto"/>
                <w:kern w:val="0"/>
                <w:sz w:val="24"/>
              </w:rPr>
              <w:t>可实施性：切合本项目实际情况，提出步骤清晰、合理的方案</w:t>
            </w:r>
            <w:r>
              <w:rPr>
                <w:rFonts w:hint="eastAsia" w:ascii="仿宋" w:hAnsi="仿宋" w:eastAsia="仿宋" w:cs="仿宋"/>
                <w:color w:val="auto"/>
                <w:kern w:val="0"/>
                <w:sz w:val="24"/>
                <w:lang w:eastAsia="zh-CN"/>
              </w:rPr>
              <w:t>；</w:t>
            </w:r>
          </w:p>
          <w:p w14:paraId="5F4FABAC">
            <w:pPr>
              <w:pStyle w:val="5"/>
              <w:pageBreakBefore w:val="0"/>
              <w:kinsoku/>
              <w:wordWrap/>
              <w:overflowPunct/>
              <w:topLinePunct w:val="0"/>
              <w:bidi w:val="0"/>
              <w:snapToGrid/>
              <w:spacing w:line="240" w:lineRule="auto"/>
              <w:jc w:val="both"/>
              <w:textAlignment w:val="auto"/>
              <w:rPr>
                <w:rFonts w:hint="eastAsia"/>
                <w:color w:val="auto"/>
                <w:lang w:eastAsia="zh-CN"/>
              </w:rPr>
            </w:pPr>
            <w:r>
              <w:rPr>
                <w:rFonts w:hint="eastAsia" w:ascii="仿宋" w:hAnsi="仿宋" w:eastAsia="仿宋" w:cs="仿宋"/>
                <w:b w:val="0"/>
                <w:bCs/>
                <w:color w:val="auto"/>
                <w:kern w:val="2"/>
                <w:sz w:val="24"/>
                <w:szCs w:val="28"/>
                <w:lang w:val="en-US" w:eastAsia="zh-CN" w:bidi="ar-SA"/>
              </w:rPr>
              <w:t>3.针对性：方案能够紧扣项目实际情况，内容科学合理。</w:t>
            </w:r>
          </w:p>
          <w:p w14:paraId="5307028A">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kern w:val="0"/>
                <w:sz w:val="24"/>
              </w:rPr>
            </w:pPr>
            <w:r>
              <w:rPr>
                <w:rFonts w:hint="eastAsia" w:ascii="仿宋" w:hAnsi="仿宋" w:eastAsia="仿宋" w:cs="仿宋"/>
                <w:b/>
                <w:bCs/>
                <w:color w:val="auto"/>
                <w:kern w:val="0"/>
                <w:sz w:val="24"/>
              </w:rPr>
              <w:t>三、赋分标准（满分</w:t>
            </w:r>
            <w:r>
              <w:rPr>
                <w:rFonts w:hint="eastAsia" w:ascii="仿宋" w:hAnsi="仿宋" w:eastAsia="仿宋" w:cs="仿宋"/>
                <w:b/>
                <w:bCs/>
                <w:color w:val="auto"/>
                <w:kern w:val="0"/>
                <w:sz w:val="24"/>
                <w:lang w:val="en-US" w:eastAsia="zh-CN"/>
              </w:rPr>
              <w:t>6</w:t>
            </w:r>
            <w:r>
              <w:rPr>
                <w:rFonts w:hint="eastAsia" w:ascii="仿宋" w:hAnsi="仿宋" w:eastAsia="仿宋" w:cs="仿宋"/>
                <w:b/>
                <w:bCs/>
                <w:color w:val="auto"/>
                <w:kern w:val="0"/>
                <w:sz w:val="24"/>
              </w:rPr>
              <w:t>分）</w:t>
            </w:r>
          </w:p>
          <w:p w14:paraId="6068F69E">
            <w:pPr>
              <w:pStyle w:val="5"/>
              <w:pageBreakBefore w:val="0"/>
              <w:kinsoku/>
              <w:wordWrap/>
              <w:overflowPunct/>
              <w:topLinePunct w:val="0"/>
              <w:bidi w:val="0"/>
              <w:snapToGrid/>
              <w:spacing w:line="240" w:lineRule="auto"/>
              <w:jc w:val="both"/>
              <w:textAlignment w:val="auto"/>
              <w:rPr>
                <w:rFonts w:hint="default" w:ascii="仿宋" w:hAnsi="仿宋" w:eastAsia="仿宋" w:cs="仿宋"/>
                <w:b w:val="0"/>
                <w:color w:val="auto"/>
                <w:kern w:val="0"/>
                <w:sz w:val="24"/>
                <w:szCs w:val="28"/>
                <w:lang w:val="en-US" w:eastAsia="zh-CN" w:bidi="ar-SA"/>
              </w:rPr>
            </w:pPr>
            <w:r>
              <w:rPr>
                <w:rFonts w:hint="eastAsia" w:ascii="仿宋" w:hAnsi="仿宋" w:eastAsia="仿宋" w:cs="仿宋"/>
                <w:b w:val="0"/>
                <w:color w:val="auto"/>
                <w:kern w:val="0"/>
                <w:sz w:val="24"/>
                <w:szCs w:val="28"/>
                <w:lang w:val="en-US" w:eastAsia="zh-CN" w:bidi="ar-SA"/>
              </w:rPr>
              <w:t>①</w:t>
            </w:r>
            <w:r>
              <w:rPr>
                <w:rFonts w:hint="eastAsia" w:ascii="仿宋" w:hAnsi="仿宋" w:eastAsia="仿宋" w:cs="仿宋"/>
                <w:b w:val="0"/>
                <w:bCs/>
                <w:color w:val="auto"/>
                <w:kern w:val="0"/>
                <w:sz w:val="24"/>
                <w:lang w:val="en-US" w:eastAsia="zh-CN"/>
              </w:rPr>
              <w:t>服务重难点分析</w:t>
            </w:r>
            <w:r>
              <w:rPr>
                <w:rFonts w:hint="eastAsia" w:ascii="仿宋" w:hAnsi="仿宋" w:eastAsia="仿宋" w:cs="仿宋"/>
                <w:b w:val="0"/>
                <w:color w:val="auto"/>
                <w:kern w:val="0"/>
                <w:sz w:val="24"/>
                <w:szCs w:val="28"/>
                <w:lang w:val="en-US" w:eastAsia="zh-CN" w:bidi="ar-SA"/>
              </w:rPr>
              <w:t>：每完全满足一个评审标准得1分，满分3分；</w:t>
            </w:r>
          </w:p>
          <w:p w14:paraId="73F6EDD4">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rPr>
            </w:pPr>
            <w:r>
              <w:rPr>
                <w:rFonts w:hint="eastAsia" w:ascii="仿宋" w:hAnsi="仿宋" w:eastAsia="仿宋" w:cs="仿宋"/>
                <w:b w:val="0"/>
                <w:color w:val="auto"/>
                <w:kern w:val="0"/>
                <w:sz w:val="24"/>
                <w:szCs w:val="28"/>
                <w:lang w:val="en-US" w:eastAsia="zh-CN" w:bidi="ar-SA"/>
              </w:rPr>
              <w:t>②</w:t>
            </w:r>
            <w:r>
              <w:rPr>
                <w:rFonts w:hint="eastAsia" w:ascii="仿宋" w:hAnsi="仿宋" w:eastAsia="仿宋" w:cs="仿宋"/>
                <w:color w:val="auto"/>
                <w:kern w:val="0"/>
                <w:sz w:val="24"/>
                <w:lang w:val="en-US" w:eastAsia="zh-CN"/>
              </w:rPr>
              <w:t>服务目标</w:t>
            </w:r>
            <w:r>
              <w:rPr>
                <w:rFonts w:hint="eastAsia" w:ascii="仿宋" w:hAnsi="仿宋" w:eastAsia="仿宋" w:cs="仿宋"/>
                <w:b w:val="0"/>
                <w:color w:val="auto"/>
                <w:kern w:val="0"/>
                <w:sz w:val="24"/>
                <w:szCs w:val="28"/>
                <w:lang w:val="en-US" w:eastAsia="zh-CN" w:bidi="ar-SA"/>
              </w:rPr>
              <w:t>：每完全满足一个评审标准得1分，满分3分。</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60AA8761">
            <w:pPr>
              <w:pageBreakBefore w:val="0"/>
              <w:widowControl/>
              <w:kinsoku/>
              <w:wordWrap/>
              <w:overflowPunct/>
              <w:topLinePunct w:val="0"/>
              <w:bidi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主观分</w:t>
            </w:r>
          </w:p>
        </w:tc>
      </w:tr>
      <w:tr w14:paraId="7662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81BE75C">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安保服务方案</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1A1F5479">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12</w:t>
            </w:r>
          </w:p>
        </w:tc>
        <w:tc>
          <w:tcPr>
            <w:tcW w:w="6998" w:type="dxa"/>
            <w:tcBorders>
              <w:top w:val="single" w:color="auto" w:sz="4" w:space="0"/>
              <w:left w:val="single" w:color="auto" w:sz="4" w:space="0"/>
              <w:bottom w:val="single" w:color="auto" w:sz="4" w:space="0"/>
              <w:right w:val="single" w:color="auto" w:sz="4" w:space="0"/>
            </w:tcBorders>
            <w:noWrap w:val="0"/>
            <w:vAlign w:val="center"/>
          </w:tcPr>
          <w:p w14:paraId="737107C7">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kern w:val="0"/>
                <w:sz w:val="24"/>
              </w:rPr>
            </w:pPr>
            <w:r>
              <w:rPr>
                <w:rFonts w:hint="eastAsia" w:ascii="仿宋" w:hAnsi="仿宋" w:eastAsia="仿宋" w:cs="仿宋"/>
                <w:b/>
                <w:bCs/>
                <w:color w:val="auto"/>
                <w:kern w:val="0"/>
                <w:sz w:val="24"/>
              </w:rPr>
              <w:t>一、评审内容</w:t>
            </w:r>
          </w:p>
          <w:p w14:paraId="70BF2414">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kern w:val="0"/>
                <w:sz w:val="24"/>
                <w:lang w:eastAsia="zh-CN"/>
              </w:rPr>
            </w:pPr>
            <w:r>
              <w:rPr>
                <w:rFonts w:hint="eastAsia" w:ascii="仿宋" w:hAnsi="仿宋" w:eastAsia="仿宋" w:cs="仿宋"/>
                <w:color w:val="auto"/>
                <w:kern w:val="0"/>
                <w:sz w:val="24"/>
              </w:rPr>
              <w:t>针对本项目服务范围提出安保服务方案，方案内容包括：</w:t>
            </w:r>
            <w:r>
              <w:rPr>
                <w:rFonts w:hint="eastAsia" w:ascii="仿宋" w:hAnsi="仿宋" w:eastAsia="仿宋" w:cs="仿宋"/>
                <w:b w:val="0"/>
                <w:color w:val="auto"/>
                <w:kern w:val="0"/>
                <w:sz w:val="24"/>
                <w:szCs w:val="28"/>
                <w:lang w:val="en-US" w:eastAsia="zh-CN" w:bidi="ar-SA"/>
              </w:rPr>
              <w:t>①</w:t>
            </w:r>
            <w:r>
              <w:rPr>
                <w:rFonts w:hint="eastAsia" w:ascii="仿宋" w:hAnsi="仿宋" w:eastAsia="仿宋" w:cs="仿宋"/>
                <w:color w:val="auto"/>
                <w:kern w:val="0"/>
                <w:sz w:val="24"/>
              </w:rPr>
              <w:t>安保服务策划</w:t>
            </w:r>
            <w:r>
              <w:rPr>
                <w:rFonts w:hint="eastAsia" w:ascii="仿宋" w:hAnsi="仿宋" w:eastAsia="仿宋" w:cs="仿宋"/>
                <w:color w:val="auto"/>
                <w:kern w:val="0"/>
                <w:sz w:val="24"/>
                <w:lang w:val="en-US" w:eastAsia="zh-CN"/>
              </w:rPr>
              <w:t>②</w:t>
            </w:r>
            <w:r>
              <w:rPr>
                <w:rFonts w:hint="eastAsia" w:ascii="仿宋" w:hAnsi="仿宋" w:eastAsia="仿宋" w:cs="仿宋"/>
                <w:color w:val="auto"/>
                <w:kern w:val="0"/>
                <w:sz w:val="24"/>
              </w:rPr>
              <w:t>安保服务要求及标准</w:t>
            </w:r>
            <w:r>
              <w:rPr>
                <w:rFonts w:hint="eastAsia" w:ascii="仿宋" w:hAnsi="仿宋" w:eastAsia="仿宋" w:cs="仿宋"/>
                <w:color w:val="auto"/>
                <w:kern w:val="0"/>
                <w:sz w:val="24"/>
                <w:lang w:val="en-US" w:eastAsia="zh-CN"/>
              </w:rPr>
              <w:t>③各</w:t>
            </w:r>
            <w:r>
              <w:rPr>
                <w:rFonts w:hint="eastAsia" w:ascii="仿宋" w:hAnsi="仿宋" w:eastAsia="仿宋" w:cs="仿宋"/>
                <w:color w:val="auto"/>
                <w:kern w:val="0"/>
                <w:sz w:val="24"/>
              </w:rPr>
              <w:t>岗位操作流程</w:t>
            </w:r>
            <w:r>
              <w:rPr>
                <w:rFonts w:hint="eastAsia" w:ascii="仿宋" w:hAnsi="仿宋" w:eastAsia="仿宋" w:cs="仿宋"/>
                <w:color w:val="auto"/>
                <w:kern w:val="0"/>
                <w:sz w:val="24"/>
                <w:lang w:val="en-US" w:eastAsia="zh-CN"/>
              </w:rPr>
              <w:t>④人员稳定保障方案。</w:t>
            </w:r>
          </w:p>
          <w:p w14:paraId="1FF79844">
            <w:pPr>
              <w:pageBreakBefore w:val="0"/>
              <w:widowControl/>
              <w:kinsoku/>
              <w:wordWrap/>
              <w:overflowPunct/>
              <w:topLinePunct w:val="0"/>
              <w:bidi w:val="0"/>
              <w:snapToGrid/>
              <w:spacing w:line="240" w:lineRule="auto"/>
              <w:jc w:val="both"/>
              <w:textAlignment w:val="auto"/>
              <w:rPr>
                <w:rFonts w:ascii="仿宋" w:hAnsi="仿宋" w:eastAsia="仿宋" w:cs="仿宋"/>
                <w:b/>
                <w:bCs/>
                <w:color w:val="auto"/>
                <w:kern w:val="0"/>
                <w:sz w:val="24"/>
              </w:rPr>
            </w:pPr>
            <w:r>
              <w:rPr>
                <w:rFonts w:hint="eastAsia" w:ascii="仿宋" w:hAnsi="仿宋" w:eastAsia="仿宋" w:cs="仿宋"/>
                <w:b/>
                <w:bCs/>
                <w:color w:val="auto"/>
                <w:kern w:val="0"/>
                <w:sz w:val="24"/>
              </w:rPr>
              <w:t>二、评审标准</w:t>
            </w:r>
          </w:p>
          <w:p w14:paraId="0496F002">
            <w:pPr>
              <w:pageBreakBefore w:val="0"/>
              <w:widowControl/>
              <w:kinsoku/>
              <w:wordWrap/>
              <w:overflowPunct/>
              <w:topLinePunct w:val="0"/>
              <w:bidi w:val="0"/>
              <w:snapToGrid/>
              <w:spacing w:line="240" w:lineRule="auto"/>
              <w:jc w:val="both"/>
              <w:textAlignment w:val="auto"/>
              <w:rPr>
                <w:rFonts w:ascii="仿宋" w:hAnsi="仿宋" w:eastAsia="仿宋" w:cs="仿宋"/>
                <w:color w:val="auto"/>
                <w:kern w:val="0"/>
                <w:sz w:val="24"/>
              </w:rPr>
            </w:pPr>
            <w:r>
              <w:rPr>
                <w:rFonts w:hint="eastAsia" w:ascii="仿宋" w:hAnsi="仿宋" w:eastAsia="仿宋" w:cs="仿宋"/>
                <w:color w:val="auto"/>
                <w:kern w:val="0"/>
                <w:sz w:val="24"/>
              </w:rPr>
              <w:t>1</w:t>
            </w:r>
            <w:r>
              <w:rPr>
                <w:rFonts w:hint="eastAsia" w:ascii="仿宋" w:hAnsi="仿宋" w:eastAsia="仿宋" w:cs="仿宋"/>
                <w:color w:val="auto"/>
                <w:kern w:val="0"/>
                <w:sz w:val="24"/>
                <w:lang w:val="en-US" w:eastAsia="zh-CN"/>
              </w:rPr>
              <w:t>.</w:t>
            </w:r>
            <w:r>
              <w:rPr>
                <w:rFonts w:hint="eastAsia" w:ascii="仿宋" w:hAnsi="仿宋" w:eastAsia="仿宋" w:cs="仿宋"/>
                <w:color w:val="auto"/>
                <w:kern w:val="0"/>
                <w:sz w:val="24"/>
              </w:rPr>
              <w:t>完整性：方案必须全面，对评审内容中的各项要求有详细描述；</w:t>
            </w:r>
          </w:p>
          <w:p w14:paraId="0B549EBC">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kern w:val="0"/>
                <w:sz w:val="24"/>
                <w:lang w:eastAsia="zh-CN"/>
              </w:rPr>
            </w:pPr>
            <w:r>
              <w:rPr>
                <w:rFonts w:hint="eastAsia" w:ascii="仿宋" w:hAnsi="仿宋" w:eastAsia="仿宋" w:cs="仿宋"/>
                <w:color w:val="auto"/>
                <w:kern w:val="0"/>
                <w:sz w:val="24"/>
              </w:rPr>
              <w:t>2</w:t>
            </w:r>
            <w:r>
              <w:rPr>
                <w:rFonts w:hint="eastAsia" w:ascii="仿宋" w:hAnsi="仿宋" w:eastAsia="仿宋" w:cs="仿宋"/>
                <w:color w:val="auto"/>
                <w:kern w:val="0"/>
                <w:sz w:val="24"/>
                <w:lang w:val="en-US" w:eastAsia="zh-CN"/>
              </w:rPr>
              <w:t>.</w:t>
            </w:r>
            <w:r>
              <w:rPr>
                <w:rFonts w:hint="eastAsia" w:ascii="仿宋" w:hAnsi="仿宋" w:eastAsia="仿宋" w:cs="仿宋"/>
                <w:color w:val="auto"/>
                <w:kern w:val="0"/>
                <w:sz w:val="24"/>
              </w:rPr>
              <w:t>可实施性：切合本项目实际情况，提出步骤清晰、合理的方案</w:t>
            </w:r>
            <w:r>
              <w:rPr>
                <w:rFonts w:hint="eastAsia" w:ascii="仿宋" w:hAnsi="仿宋" w:eastAsia="仿宋" w:cs="仿宋"/>
                <w:color w:val="auto"/>
                <w:kern w:val="0"/>
                <w:sz w:val="24"/>
                <w:lang w:eastAsia="zh-CN"/>
              </w:rPr>
              <w:t>；</w:t>
            </w:r>
          </w:p>
          <w:p w14:paraId="7DC7F79D">
            <w:pPr>
              <w:pStyle w:val="5"/>
              <w:pageBreakBefore w:val="0"/>
              <w:kinsoku/>
              <w:wordWrap/>
              <w:overflowPunct/>
              <w:topLinePunct w:val="0"/>
              <w:bidi w:val="0"/>
              <w:snapToGrid/>
              <w:spacing w:line="240" w:lineRule="auto"/>
              <w:jc w:val="both"/>
              <w:textAlignment w:val="auto"/>
              <w:rPr>
                <w:rFonts w:hint="eastAsia"/>
                <w:color w:val="auto"/>
                <w:lang w:eastAsia="zh-CN"/>
              </w:rPr>
            </w:pPr>
            <w:r>
              <w:rPr>
                <w:rFonts w:hint="eastAsia" w:ascii="仿宋" w:hAnsi="仿宋" w:eastAsia="仿宋" w:cs="仿宋"/>
                <w:b w:val="0"/>
                <w:bCs/>
                <w:color w:val="auto"/>
                <w:kern w:val="2"/>
                <w:sz w:val="24"/>
                <w:szCs w:val="28"/>
                <w:lang w:val="en-US" w:eastAsia="zh-CN" w:bidi="ar-SA"/>
              </w:rPr>
              <w:t>3.针对性：方案能够紧扣项目实际情况，内容科学合理。</w:t>
            </w:r>
          </w:p>
          <w:p w14:paraId="4B5E5AA8">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kern w:val="0"/>
                <w:sz w:val="24"/>
              </w:rPr>
            </w:pPr>
            <w:r>
              <w:rPr>
                <w:rFonts w:hint="eastAsia" w:ascii="仿宋" w:hAnsi="仿宋" w:eastAsia="仿宋" w:cs="仿宋"/>
                <w:b/>
                <w:bCs/>
                <w:color w:val="auto"/>
                <w:kern w:val="0"/>
                <w:sz w:val="24"/>
              </w:rPr>
              <w:t>三、赋分标准（满分</w:t>
            </w:r>
            <w:r>
              <w:rPr>
                <w:rFonts w:hint="eastAsia" w:ascii="仿宋" w:hAnsi="仿宋" w:eastAsia="仿宋" w:cs="仿宋"/>
                <w:b/>
                <w:bCs/>
                <w:color w:val="auto"/>
                <w:kern w:val="0"/>
                <w:sz w:val="24"/>
                <w:lang w:val="en-US" w:eastAsia="zh-CN"/>
              </w:rPr>
              <w:t>12</w:t>
            </w:r>
            <w:r>
              <w:rPr>
                <w:rFonts w:hint="eastAsia" w:ascii="仿宋" w:hAnsi="仿宋" w:eastAsia="仿宋" w:cs="仿宋"/>
                <w:b/>
                <w:bCs/>
                <w:color w:val="auto"/>
                <w:kern w:val="0"/>
                <w:sz w:val="24"/>
              </w:rPr>
              <w:t>分）</w:t>
            </w:r>
          </w:p>
          <w:p w14:paraId="05628C2B">
            <w:pPr>
              <w:pStyle w:val="5"/>
              <w:pageBreakBefore w:val="0"/>
              <w:kinsoku/>
              <w:wordWrap/>
              <w:overflowPunct/>
              <w:topLinePunct w:val="0"/>
              <w:bidi w:val="0"/>
              <w:snapToGrid/>
              <w:spacing w:line="240" w:lineRule="auto"/>
              <w:jc w:val="both"/>
              <w:textAlignment w:val="auto"/>
              <w:rPr>
                <w:rFonts w:hint="default" w:ascii="仿宋" w:hAnsi="仿宋" w:eastAsia="仿宋" w:cs="仿宋"/>
                <w:b w:val="0"/>
                <w:color w:val="auto"/>
                <w:kern w:val="0"/>
                <w:sz w:val="24"/>
                <w:szCs w:val="28"/>
                <w:lang w:val="en-US" w:eastAsia="zh-CN" w:bidi="ar-SA"/>
              </w:rPr>
            </w:pPr>
            <w:r>
              <w:rPr>
                <w:rFonts w:hint="eastAsia" w:ascii="仿宋" w:hAnsi="仿宋" w:eastAsia="仿宋" w:cs="仿宋"/>
                <w:b w:val="0"/>
                <w:color w:val="auto"/>
                <w:kern w:val="0"/>
                <w:sz w:val="24"/>
                <w:szCs w:val="28"/>
                <w:lang w:val="en-US" w:eastAsia="zh-CN" w:bidi="ar-SA"/>
              </w:rPr>
              <w:t>①安保服务策划：每完全满足一个评审标准得1分，满分3分；</w:t>
            </w:r>
          </w:p>
          <w:p w14:paraId="5E570303">
            <w:pPr>
              <w:pageBreakBefore w:val="0"/>
              <w:widowControl/>
              <w:kinsoku/>
              <w:wordWrap/>
              <w:overflowPunct/>
              <w:topLinePunct w:val="0"/>
              <w:bidi w:val="0"/>
              <w:snapToGrid/>
              <w:spacing w:line="240" w:lineRule="auto"/>
              <w:jc w:val="both"/>
              <w:textAlignment w:val="auto"/>
              <w:rPr>
                <w:rFonts w:hint="eastAsia" w:ascii="仿宋" w:hAnsi="仿宋" w:eastAsia="仿宋" w:cs="仿宋"/>
                <w:b w:val="0"/>
                <w:color w:val="auto"/>
                <w:kern w:val="0"/>
                <w:sz w:val="24"/>
                <w:szCs w:val="28"/>
                <w:lang w:val="en-US" w:eastAsia="zh-CN" w:bidi="ar-SA"/>
              </w:rPr>
            </w:pPr>
            <w:r>
              <w:rPr>
                <w:rFonts w:hint="eastAsia" w:ascii="仿宋" w:hAnsi="仿宋" w:eastAsia="仿宋" w:cs="仿宋"/>
                <w:b w:val="0"/>
                <w:color w:val="auto"/>
                <w:kern w:val="0"/>
                <w:sz w:val="24"/>
                <w:szCs w:val="28"/>
                <w:lang w:val="en-US" w:eastAsia="zh-CN" w:bidi="ar-SA"/>
              </w:rPr>
              <w:t>②安保服务要求及标准：每完全满足一个评审标准得1分，满分3分；</w:t>
            </w:r>
          </w:p>
          <w:p w14:paraId="232B3A65">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kern w:val="0"/>
                <w:sz w:val="24"/>
              </w:rPr>
            </w:pPr>
            <w:r>
              <w:rPr>
                <w:rFonts w:hint="eastAsia" w:ascii="仿宋" w:hAnsi="仿宋" w:eastAsia="仿宋" w:cs="仿宋"/>
                <w:color w:val="auto"/>
                <w:kern w:val="0"/>
                <w:sz w:val="24"/>
                <w:lang w:val="en-US" w:eastAsia="zh-CN"/>
              </w:rPr>
              <w:t>③各</w:t>
            </w:r>
            <w:r>
              <w:rPr>
                <w:rFonts w:hint="eastAsia" w:ascii="仿宋" w:hAnsi="仿宋" w:eastAsia="仿宋" w:cs="仿宋"/>
                <w:color w:val="auto"/>
                <w:kern w:val="0"/>
                <w:sz w:val="24"/>
              </w:rPr>
              <w:t>岗位操作流程：每完全满足一个评审标准得</w:t>
            </w:r>
            <w:r>
              <w:rPr>
                <w:rFonts w:hint="eastAsia" w:ascii="仿宋" w:hAnsi="仿宋" w:eastAsia="仿宋" w:cs="仿宋"/>
                <w:color w:val="auto"/>
                <w:kern w:val="0"/>
                <w:sz w:val="24"/>
                <w:lang w:val="en-US" w:eastAsia="zh-CN"/>
              </w:rPr>
              <w:t>1</w:t>
            </w:r>
            <w:r>
              <w:rPr>
                <w:rFonts w:hint="eastAsia" w:ascii="仿宋" w:hAnsi="仿宋" w:eastAsia="仿宋" w:cs="仿宋"/>
                <w:color w:val="auto"/>
                <w:kern w:val="0"/>
                <w:sz w:val="24"/>
              </w:rPr>
              <w:t>分，满分</w:t>
            </w:r>
            <w:r>
              <w:rPr>
                <w:rFonts w:hint="eastAsia" w:ascii="仿宋" w:hAnsi="仿宋" w:eastAsia="仿宋" w:cs="仿宋"/>
                <w:color w:val="auto"/>
                <w:kern w:val="0"/>
                <w:sz w:val="24"/>
                <w:lang w:val="en-US" w:eastAsia="zh-CN"/>
              </w:rPr>
              <w:t>3</w:t>
            </w:r>
            <w:r>
              <w:rPr>
                <w:rFonts w:hint="eastAsia" w:ascii="仿宋" w:hAnsi="仿宋" w:eastAsia="仿宋" w:cs="仿宋"/>
                <w:color w:val="auto"/>
                <w:kern w:val="0"/>
                <w:sz w:val="24"/>
              </w:rPr>
              <w:t>分</w:t>
            </w:r>
            <w:r>
              <w:rPr>
                <w:rFonts w:hint="eastAsia" w:ascii="仿宋" w:hAnsi="仿宋" w:eastAsia="仿宋" w:cs="仿宋"/>
                <w:color w:val="auto"/>
                <w:kern w:val="0"/>
                <w:sz w:val="24"/>
                <w:lang w:eastAsia="zh-CN"/>
              </w:rPr>
              <w:t>；</w:t>
            </w:r>
          </w:p>
          <w:p w14:paraId="2EE72AAA">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rPr>
            </w:pPr>
            <w:r>
              <w:rPr>
                <w:rFonts w:hint="eastAsia" w:ascii="仿宋" w:hAnsi="仿宋" w:eastAsia="仿宋" w:cs="仿宋"/>
                <w:color w:val="auto"/>
                <w:kern w:val="0"/>
                <w:sz w:val="24"/>
                <w:lang w:val="en-US" w:eastAsia="zh-CN"/>
              </w:rPr>
              <w:t>④人员稳定保障方案：</w:t>
            </w:r>
            <w:r>
              <w:rPr>
                <w:rFonts w:hint="eastAsia" w:ascii="仿宋" w:hAnsi="仿宋" w:eastAsia="仿宋" w:cs="仿宋"/>
                <w:color w:val="auto"/>
                <w:kern w:val="0"/>
                <w:sz w:val="24"/>
              </w:rPr>
              <w:t>每完全满足一个评审标准得</w:t>
            </w:r>
            <w:r>
              <w:rPr>
                <w:rFonts w:hint="eastAsia" w:ascii="仿宋" w:hAnsi="仿宋" w:eastAsia="仿宋" w:cs="仿宋"/>
                <w:color w:val="auto"/>
                <w:kern w:val="0"/>
                <w:sz w:val="24"/>
                <w:lang w:val="en-US" w:eastAsia="zh-CN"/>
              </w:rPr>
              <w:t>1</w:t>
            </w:r>
            <w:r>
              <w:rPr>
                <w:rFonts w:hint="eastAsia" w:ascii="仿宋" w:hAnsi="仿宋" w:eastAsia="仿宋" w:cs="仿宋"/>
                <w:color w:val="auto"/>
                <w:kern w:val="0"/>
                <w:sz w:val="24"/>
              </w:rPr>
              <w:t>分，满分</w:t>
            </w:r>
            <w:r>
              <w:rPr>
                <w:rFonts w:hint="eastAsia" w:ascii="仿宋" w:hAnsi="仿宋" w:eastAsia="仿宋" w:cs="仿宋"/>
                <w:color w:val="auto"/>
                <w:kern w:val="0"/>
                <w:sz w:val="24"/>
                <w:lang w:val="en-US" w:eastAsia="zh-CN"/>
              </w:rPr>
              <w:t>3</w:t>
            </w:r>
            <w:r>
              <w:rPr>
                <w:rFonts w:hint="eastAsia" w:ascii="仿宋" w:hAnsi="仿宋" w:eastAsia="仿宋" w:cs="仿宋"/>
                <w:color w:val="auto"/>
                <w:kern w:val="0"/>
                <w:sz w:val="24"/>
              </w:rPr>
              <w:t>分</w:t>
            </w:r>
            <w:r>
              <w:rPr>
                <w:rFonts w:hint="eastAsia" w:ascii="仿宋" w:hAnsi="仿宋" w:eastAsia="仿宋" w:cs="仿宋"/>
                <w:color w:val="auto"/>
                <w:kern w:val="0"/>
                <w:sz w:val="24"/>
                <w:lang w:eastAsia="zh-CN"/>
              </w:rPr>
              <w:t>。</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7C311AB6">
            <w:pPr>
              <w:pageBreakBefore w:val="0"/>
              <w:widowControl/>
              <w:kinsoku/>
              <w:wordWrap/>
              <w:overflowPunct/>
              <w:topLinePunct w:val="0"/>
              <w:bidi w:val="0"/>
              <w:snapToGrid/>
              <w:spacing w:line="240" w:lineRule="auto"/>
              <w:jc w:val="center"/>
              <w:textAlignment w:val="auto"/>
              <w:rPr>
                <w:rFonts w:hint="eastAsia" w:ascii="仿宋" w:hAnsi="仿宋" w:eastAsia="仿宋" w:cs="仿宋"/>
                <w:color w:val="auto"/>
                <w:sz w:val="24"/>
                <w:lang w:val="en-US" w:eastAsia="zh-CN"/>
              </w:rPr>
            </w:pPr>
            <w:r>
              <w:rPr>
                <w:rFonts w:hint="eastAsia" w:ascii="仿宋" w:hAnsi="仿宋" w:eastAsia="仿宋" w:cs="仿宋"/>
                <w:color w:val="auto"/>
                <w:kern w:val="0"/>
                <w:sz w:val="24"/>
                <w:lang w:val="en-US" w:eastAsia="zh-CN"/>
              </w:rPr>
              <w:t>主观分</w:t>
            </w:r>
          </w:p>
        </w:tc>
      </w:tr>
      <w:tr w14:paraId="2006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B90F195">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lang w:eastAsia="zh-CN"/>
              </w:rPr>
            </w:pPr>
            <w:r>
              <w:rPr>
                <w:rFonts w:hint="eastAsia" w:ascii="仿宋" w:hAnsi="仿宋" w:eastAsia="仿宋" w:cs="仿宋"/>
                <w:color w:val="auto"/>
                <w:sz w:val="24"/>
                <w:highlight w:val="none"/>
                <w:lang w:val="en-US" w:eastAsia="zh-CN"/>
              </w:rPr>
              <w:t>安保</w:t>
            </w:r>
            <w:r>
              <w:rPr>
                <w:rFonts w:hint="eastAsia" w:ascii="仿宋" w:hAnsi="仿宋" w:eastAsia="仿宋" w:cs="仿宋"/>
                <w:color w:val="auto"/>
                <w:sz w:val="24"/>
                <w:highlight w:val="none"/>
              </w:rPr>
              <w:t>服务质量保障</w:t>
            </w:r>
            <w:r>
              <w:rPr>
                <w:rFonts w:hint="eastAsia" w:ascii="仿宋" w:hAnsi="仿宋" w:eastAsia="仿宋" w:cs="仿宋"/>
                <w:color w:val="auto"/>
                <w:sz w:val="24"/>
                <w:highlight w:val="none"/>
                <w:lang w:val="en-US" w:eastAsia="zh-CN"/>
              </w:rPr>
              <w:t>方案</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3DC6D9EC">
            <w:pPr>
              <w:pageBreakBefore w:val="0"/>
              <w:kinsoku/>
              <w:wordWrap/>
              <w:overflowPunct/>
              <w:topLinePunct w:val="0"/>
              <w:bidi w:val="0"/>
              <w:snapToGrid/>
              <w:spacing w:line="24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highlight w:val="none"/>
                <w:lang w:val="en-US" w:eastAsia="zh-CN"/>
              </w:rPr>
              <w:t>9</w:t>
            </w:r>
          </w:p>
        </w:tc>
        <w:tc>
          <w:tcPr>
            <w:tcW w:w="6998" w:type="dxa"/>
            <w:tcBorders>
              <w:top w:val="single" w:color="auto" w:sz="4" w:space="0"/>
              <w:left w:val="single" w:color="auto" w:sz="4" w:space="0"/>
              <w:bottom w:val="single" w:color="auto" w:sz="4" w:space="0"/>
              <w:right w:val="single" w:color="auto" w:sz="4" w:space="0"/>
            </w:tcBorders>
            <w:noWrap w:val="0"/>
            <w:vAlign w:val="top"/>
          </w:tcPr>
          <w:p w14:paraId="61A0C75E">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一、评审内容</w:t>
            </w:r>
          </w:p>
          <w:p w14:paraId="6A55F47F">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根据本项目特点制定</w:t>
            </w:r>
            <w:r>
              <w:rPr>
                <w:rFonts w:hint="eastAsia" w:ascii="仿宋" w:hAnsi="仿宋" w:eastAsia="仿宋" w:cs="仿宋"/>
                <w:color w:val="auto"/>
                <w:sz w:val="24"/>
                <w:highlight w:val="none"/>
                <w:lang w:val="en-US" w:eastAsia="zh-CN"/>
              </w:rPr>
              <w:t>安保</w:t>
            </w:r>
            <w:r>
              <w:rPr>
                <w:rFonts w:hint="eastAsia" w:ascii="仿宋" w:hAnsi="仿宋" w:eastAsia="仿宋" w:cs="仿宋"/>
                <w:color w:val="auto"/>
                <w:sz w:val="24"/>
                <w:highlight w:val="none"/>
              </w:rPr>
              <w:t>服务质量保障</w:t>
            </w:r>
            <w:r>
              <w:rPr>
                <w:rFonts w:hint="eastAsia" w:ascii="仿宋" w:hAnsi="仿宋" w:eastAsia="仿宋" w:cs="仿宋"/>
                <w:color w:val="auto"/>
                <w:sz w:val="24"/>
                <w:highlight w:val="none"/>
                <w:lang w:val="en-US" w:eastAsia="zh-CN"/>
              </w:rPr>
              <w:t>方案</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方案</w:t>
            </w:r>
            <w:r>
              <w:rPr>
                <w:rFonts w:hint="eastAsia" w:ascii="仿宋" w:hAnsi="仿宋" w:eastAsia="仿宋" w:cs="仿宋"/>
                <w:color w:val="auto"/>
                <w:sz w:val="24"/>
                <w:highlight w:val="none"/>
              </w:rPr>
              <w:t>包括：①服务质量保障措施②安保管理售后保障措施</w:t>
            </w:r>
            <w:r>
              <w:rPr>
                <w:rFonts w:hint="eastAsia" w:ascii="仿宋" w:hAnsi="仿宋" w:eastAsia="仿宋" w:cs="仿宋"/>
                <w:color w:val="auto"/>
                <w:sz w:val="24"/>
                <w:highlight w:val="none"/>
                <w:lang w:val="en-US" w:eastAsia="zh-CN"/>
              </w:rPr>
              <w:t>③</w:t>
            </w:r>
            <w:r>
              <w:rPr>
                <w:rFonts w:hint="eastAsia" w:ascii="仿宋" w:hAnsi="仿宋" w:eastAsia="仿宋" w:cs="仿宋"/>
                <w:color w:val="auto"/>
                <w:sz w:val="24"/>
                <w:highlight w:val="none"/>
              </w:rPr>
              <w:t>对服务质量较差的人员有具体的考核办法</w:t>
            </w:r>
            <w:r>
              <w:rPr>
                <w:rFonts w:hint="eastAsia" w:ascii="仿宋" w:hAnsi="仿宋" w:eastAsia="仿宋" w:cs="仿宋"/>
                <w:color w:val="auto"/>
                <w:sz w:val="24"/>
                <w:highlight w:val="none"/>
                <w:lang w:eastAsia="zh-CN"/>
              </w:rPr>
              <w:t>。</w:t>
            </w:r>
          </w:p>
          <w:p w14:paraId="29B9EB1B">
            <w:pPr>
              <w:pageBreakBefore w:val="0"/>
              <w:kinsoku/>
              <w:wordWrap/>
              <w:overflowPunct/>
              <w:topLinePunct w:val="0"/>
              <w:bidi w:val="0"/>
              <w:snapToGrid/>
              <w:spacing w:line="240" w:lineRule="auto"/>
              <w:jc w:val="both"/>
              <w:textAlignment w:val="auto"/>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二、评审标准</w:t>
            </w:r>
          </w:p>
          <w:p w14:paraId="5FDA814D">
            <w:pPr>
              <w:pageBreakBefore w:val="0"/>
              <w:widowControl/>
              <w:kinsoku/>
              <w:wordWrap/>
              <w:overflowPunct/>
              <w:topLinePunct w:val="0"/>
              <w:bidi w:val="0"/>
              <w:snapToGrid/>
              <w:spacing w:line="240" w:lineRule="auto"/>
              <w:jc w:val="both"/>
              <w:textAlignment w:val="auto"/>
              <w:rPr>
                <w:rFonts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val="en-US" w:eastAsia="zh-CN"/>
              </w:rPr>
              <w:t>.</w:t>
            </w:r>
            <w:r>
              <w:rPr>
                <w:rFonts w:hint="eastAsia" w:ascii="仿宋" w:hAnsi="仿宋" w:eastAsia="仿宋" w:cs="仿宋"/>
                <w:bCs/>
                <w:color w:val="auto"/>
                <w:sz w:val="24"/>
                <w:highlight w:val="none"/>
              </w:rPr>
              <w:t>完整性：方案必须全面，对评审内容中的各项要求有详细描述；</w:t>
            </w:r>
          </w:p>
          <w:p w14:paraId="4967C325">
            <w:pPr>
              <w:pageBreakBefore w:val="0"/>
              <w:widowControl/>
              <w:kinsoku/>
              <w:wordWrap/>
              <w:overflowPunct/>
              <w:topLinePunct w:val="0"/>
              <w:bidi w:val="0"/>
              <w:snapToGrid/>
              <w:spacing w:line="240" w:lineRule="auto"/>
              <w:jc w:val="both"/>
              <w:textAlignment w:val="auto"/>
              <w:rPr>
                <w:rFonts w:hint="eastAsia" w:ascii="仿宋" w:hAnsi="仿宋" w:eastAsia="仿宋" w:cs="仿宋"/>
                <w:bCs/>
                <w:color w:val="auto"/>
                <w:sz w:val="24"/>
                <w:highlight w:val="none"/>
                <w:lang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落实性：切合本项目实际情况，</w:t>
            </w:r>
            <w:r>
              <w:rPr>
                <w:rFonts w:hint="eastAsia" w:ascii="仿宋" w:hAnsi="仿宋" w:eastAsia="仿宋" w:cs="仿宋"/>
                <w:bCs/>
                <w:color w:val="auto"/>
                <w:sz w:val="24"/>
                <w:highlight w:val="none"/>
              </w:rPr>
              <w:t>提出责任明确、要求具体的方案</w:t>
            </w:r>
            <w:r>
              <w:rPr>
                <w:rFonts w:hint="eastAsia" w:ascii="仿宋" w:hAnsi="仿宋" w:eastAsia="仿宋" w:cs="仿宋"/>
                <w:bCs/>
                <w:color w:val="auto"/>
                <w:sz w:val="24"/>
                <w:highlight w:val="none"/>
                <w:lang w:eastAsia="zh-CN"/>
              </w:rPr>
              <w:t>；</w:t>
            </w:r>
          </w:p>
          <w:p w14:paraId="045A312B">
            <w:pPr>
              <w:pStyle w:val="5"/>
              <w:pageBreakBefore w:val="0"/>
              <w:kinsoku/>
              <w:wordWrap/>
              <w:overflowPunct/>
              <w:topLinePunct w:val="0"/>
              <w:bidi w:val="0"/>
              <w:snapToGrid/>
              <w:spacing w:line="240" w:lineRule="auto"/>
              <w:jc w:val="both"/>
              <w:textAlignment w:val="auto"/>
              <w:rPr>
                <w:rFonts w:hint="eastAsia"/>
                <w:color w:val="auto"/>
                <w:lang w:eastAsia="zh-CN"/>
              </w:rPr>
            </w:pPr>
            <w:r>
              <w:rPr>
                <w:rFonts w:hint="eastAsia" w:ascii="仿宋" w:hAnsi="仿宋" w:eastAsia="仿宋" w:cs="仿宋"/>
                <w:b w:val="0"/>
                <w:bCs/>
                <w:color w:val="auto"/>
                <w:kern w:val="2"/>
                <w:sz w:val="24"/>
                <w:szCs w:val="28"/>
                <w:lang w:val="en-US" w:eastAsia="zh-CN" w:bidi="ar-SA"/>
              </w:rPr>
              <w:t>3.针对性：方案能够紧扣项目实际情况，内容科学合理。</w:t>
            </w:r>
          </w:p>
          <w:p w14:paraId="2551759B">
            <w:pPr>
              <w:pageBreakBefore w:val="0"/>
              <w:widowControl/>
              <w:kinsoku/>
              <w:wordWrap/>
              <w:overflowPunct/>
              <w:topLinePunct w:val="0"/>
              <w:bidi w:val="0"/>
              <w:snapToGrid/>
              <w:spacing w:line="240" w:lineRule="auto"/>
              <w:jc w:val="both"/>
              <w:textAlignment w:val="auto"/>
              <w:rPr>
                <w:rFonts w:ascii="仿宋" w:hAnsi="仿宋" w:eastAsia="仿宋" w:cs="仿宋"/>
                <w:b/>
                <w:bCs/>
                <w:color w:val="auto"/>
                <w:sz w:val="24"/>
                <w:highlight w:val="none"/>
              </w:rPr>
            </w:pPr>
            <w:r>
              <w:rPr>
                <w:rFonts w:hint="eastAsia" w:ascii="仿宋" w:hAnsi="仿宋" w:eastAsia="仿宋" w:cs="仿宋"/>
                <w:b/>
                <w:bCs/>
                <w:color w:val="auto"/>
                <w:sz w:val="24"/>
                <w:highlight w:val="none"/>
              </w:rPr>
              <w:t>三、赋分标准(满分</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rPr>
              <w:t>分）</w:t>
            </w:r>
          </w:p>
          <w:p w14:paraId="30DE20BD">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①服务质量保障措施：每完全满足一个评审标准得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099E4C94">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②安保管理售后保障措施:每完全满足一个评审标准得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eastAsia="zh-CN"/>
              </w:rPr>
              <w:t>；</w:t>
            </w:r>
          </w:p>
          <w:p w14:paraId="4DE8DCD4">
            <w:pPr>
              <w:pageBreakBefore w:val="0"/>
              <w:widowControl/>
              <w:kinsoku/>
              <w:wordWrap/>
              <w:overflowPunct/>
              <w:topLinePunct w:val="0"/>
              <w:bidi w:val="0"/>
              <w:snapToGrid/>
              <w:spacing w:line="240" w:lineRule="auto"/>
              <w:jc w:val="both"/>
              <w:textAlignment w:val="auto"/>
              <w:rPr>
                <w:color w:val="auto"/>
                <w:highlight w:val="none"/>
              </w:rPr>
            </w:pPr>
            <w:r>
              <w:rPr>
                <w:rFonts w:hint="eastAsia" w:ascii="仿宋" w:hAnsi="仿宋" w:eastAsia="仿宋" w:cs="仿宋"/>
                <w:color w:val="auto"/>
                <w:sz w:val="24"/>
                <w:highlight w:val="none"/>
                <w:lang w:val="en-US" w:eastAsia="zh-CN"/>
              </w:rPr>
              <w:t>③</w:t>
            </w:r>
            <w:r>
              <w:rPr>
                <w:rFonts w:hint="eastAsia" w:ascii="仿宋" w:hAnsi="仿宋" w:eastAsia="仿宋" w:cs="仿宋"/>
                <w:color w:val="auto"/>
                <w:sz w:val="24"/>
                <w:highlight w:val="none"/>
              </w:rPr>
              <w:t>对服务质量较差的人员有具体的考核办法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eastAsia="zh-CN"/>
              </w:rPr>
              <w:t>。</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56C17A8C">
            <w:pPr>
              <w:pageBreakBefore w:val="0"/>
              <w:widowControl/>
              <w:kinsoku/>
              <w:wordWrap/>
              <w:overflowPunct/>
              <w:topLinePunct w:val="0"/>
              <w:bidi w:val="0"/>
              <w:snapToGrid/>
              <w:spacing w:line="24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主观分</w:t>
            </w:r>
          </w:p>
        </w:tc>
      </w:tr>
      <w:tr w14:paraId="73A8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0A723D0">
            <w:pPr>
              <w:pageBreakBefore w:val="0"/>
              <w:kinsoku/>
              <w:wordWrap/>
              <w:overflowPunct/>
              <w:topLinePunct w:val="0"/>
              <w:bidi w:val="0"/>
              <w:snapToGrid/>
              <w:spacing w:line="240" w:lineRule="auto"/>
              <w:jc w:val="center"/>
              <w:textAlignment w:val="auto"/>
              <w:rPr>
                <w:rFonts w:hint="eastAsia" w:eastAsia="仿宋"/>
                <w:color w:val="auto"/>
                <w:highlight w:val="none"/>
                <w:lang w:val="en-US" w:eastAsia="zh-CN"/>
              </w:rPr>
            </w:pPr>
            <w:r>
              <w:rPr>
                <w:rFonts w:hint="eastAsia" w:ascii="仿宋" w:hAnsi="仿宋" w:eastAsia="仿宋" w:cs="仿宋"/>
                <w:color w:val="auto"/>
                <w:kern w:val="0"/>
                <w:sz w:val="24"/>
                <w:highlight w:val="none"/>
                <w:lang w:val="en-US" w:eastAsia="zh-CN" w:bidi="ar"/>
              </w:rPr>
              <w:t>安保服务</w:t>
            </w:r>
            <w:r>
              <w:rPr>
                <w:rFonts w:ascii="仿宋" w:hAnsi="仿宋" w:eastAsia="仿宋" w:cs="仿宋"/>
                <w:color w:val="auto"/>
                <w:kern w:val="0"/>
                <w:sz w:val="24"/>
                <w:highlight w:val="none"/>
                <w:lang w:bidi="ar"/>
              </w:rPr>
              <w:t>培训</w:t>
            </w:r>
          </w:p>
          <w:p w14:paraId="05D60693">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0"/>
                <w:sz w:val="24"/>
                <w:highlight w:val="none"/>
                <w:lang w:bidi="ar"/>
              </w:rPr>
              <w:t>方案</w:t>
            </w:r>
          </w:p>
        </w:tc>
        <w:tc>
          <w:tcPr>
            <w:tcW w:w="732" w:type="dxa"/>
            <w:tcBorders>
              <w:top w:val="single" w:color="auto" w:sz="4" w:space="0"/>
              <w:left w:val="single" w:color="auto" w:sz="4" w:space="0"/>
              <w:bottom w:val="single" w:color="auto" w:sz="4" w:space="0"/>
              <w:right w:val="single" w:color="auto" w:sz="4" w:space="0"/>
            </w:tcBorders>
            <w:noWrap w:val="0"/>
            <w:vAlign w:val="center"/>
          </w:tcPr>
          <w:p w14:paraId="5FD703D8">
            <w:pPr>
              <w:pageBreakBefore w:val="0"/>
              <w:kinsoku/>
              <w:wordWrap/>
              <w:overflowPunct/>
              <w:topLinePunct w:val="0"/>
              <w:bidi w:val="0"/>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lang w:val="en-US" w:eastAsia="zh-CN"/>
              </w:rPr>
              <w:t>9</w:t>
            </w:r>
          </w:p>
        </w:tc>
        <w:tc>
          <w:tcPr>
            <w:tcW w:w="6998" w:type="dxa"/>
            <w:tcBorders>
              <w:top w:val="single" w:color="auto" w:sz="4" w:space="0"/>
              <w:left w:val="single" w:color="auto" w:sz="4" w:space="0"/>
              <w:bottom w:val="single" w:color="auto" w:sz="4" w:space="0"/>
              <w:right w:val="single" w:color="auto" w:sz="4" w:space="0"/>
            </w:tcBorders>
            <w:noWrap w:val="0"/>
            <w:vAlign w:val="top"/>
          </w:tcPr>
          <w:p w14:paraId="1C2DB0A3">
            <w:pPr>
              <w:pageBreakBefore w:val="0"/>
              <w:widowControl/>
              <w:tabs>
                <w:tab w:val="left" w:pos="547"/>
              </w:tabs>
              <w:kinsoku/>
              <w:wordWrap/>
              <w:overflowPunct/>
              <w:topLinePunct w:val="0"/>
              <w:autoSpaceDE w:val="0"/>
              <w:autoSpaceDN w:val="0"/>
              <w:bidi w:val="0"/>
              <w:adjustRightInd w:val="0"/>
              <w:snapToGrid/>
              <w:spacing w:line="240" w:lineRule="auto"/>
              <w:jc w:val="both"/>
              <w:textAlignment w:val="auto"/>
              <w:rPr>
                <w:rFonts w:ascii="仿宋" w:hAnsi="仿宋" w:eastAsia="仿宋" w:cs="仿宋"/>
                <w:b/>
                <w:color w:val="auto"/>
                <w:sz w:val="24"/>
                <w:highlight w:val="none"/>
              </w:rPr>
            </w:pPr>
            <w:r>
              <w:rPr>
                <w:rFonts w:hint="eastAsia" w:ascii="仿宋" w:hAnsi="仿宋" w:eastAsia="仿宋" w:cs="仿宋"/>
                <w:b/>
                <w:color w:val="auto"/>
                <w:sz w:val="24"/>
                <w:highlight w:val="none"/>
              </w:rPr>
              <w:t>一、评审内容</w:t>
            </w:r>
          </w:p>
          <w:p w14:paraId="16F76645">
            <w:pPr>
              <w:pageBreakBefore w:val="0"/>
              <w:widowControl/>
              <w:tabs>
                <w:tab w:val="left" w:pos="547"/>
              </w:tabs>
              <w:kinsoku/>
              <w:wordWrap/>
              <w:overflowPunct/>
              <w:topLinePunct w:val="0"/>
              <w:autoSpaceDE w:val="0"/>
              <w:autoSpaceDN w:val="0"/>
              <w:bidi w:val="0"/>
              <w:adjustRightInd w:val="0"/>
              <w:snapToGrid/>
              <w:spacing w:line="240" w:lineRule="auto"/>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针对本项目制定</w:t>
            </w:r>
            <w:r>
              <w:rPr>
                <w:rFonts w:hint="eastAsia" w:ascii="仿宋" w:hAnsi="仿宋" w:eastAsia="仿宋" w:cs="仿宋"/>
                <w:color w:val="auto"/>
                <w:sz w:val="24"/>
                <w:highlight w:val="none"/>
                <w:lang w:val="en-US" w:eastAsia="zh-CN"/>
              </w:rPr>
              <w:t>安保服务</w:t>
            </w:r>
            <w:r>
              <w:rPr>
                <w:rFonts w:hint="eastAsia" w:ascii="仿宋" w:hAnsi="仿宋" w:eastAsia="仿宋" w:cs="仿宋"/>
                <w:color w:val="auto"/>
                <w:sz w:val="24"/>
                <w:highlight w:val="none"/>
              </w:rPr>
              <w:t>培训方案，方案包括：①日常执勤培训②消防培训③岗前培训</w:t>
            </w:r>
            <w:r>
              <w:rPr>
                <w:rFonts w:hint="eastAsia" w:ascii="仿宋" w:hAnsi="仿宋" w:eastAsia="仿宋" w:cs="仿宋"/>
                <w:color w:val="auto"/>
                <w:sz w:val="24"/>
                <w:highlight w:val="none"/>
                <w:lang w:eastAsia="zh-CN"/>
              </w:rPr>
              <w:t>。</w:t>
            </w:r>
          </w:p>
          <w:p w14:paraId="030A5A85">
            <w:pPr>
              <w:pageBreakBefore w:val="0"/>
              <w:widowControl/>
              <w:tabs>
                <w:tab w:val="left" w:pos="547"/>
              </w:tabs>
              <w:kinsoku/>
              <w:wordWrap/>
              <w:overflowPunct/>
              <w:topLinePunct w:val="0"/>
              <w:autoSpaceDE w:val="0"/>
              <w:autoSpaceDN w:val="0"/>
              <w:bidi w:val="0"/>
              <w:adjustRightInd w:val="0"/>
              <w:snapToGrid/>
              <w:spacing w:line="240" w:lineRule="auto"/>
              <w:jc w:val="both"/>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二、评审标准</w:t>
            </w:r>
          </w:p>
          <w:p w14:paraId="4A902511">
            <w:pPr>
              <w:pageBreakBefore w:val="0"/>
              <w:widowControl/>
              <w:kinsoku/>
              <w:wordWrap/>
              <w:overflowPunct/>
              <w:topLinePunct w:val="0"/>
              <w:bidi w:val="0"/>
              <w:snapToGrid/>
              <w:spacing w:line="240" w:lineRule="auto"/>
              <w:jc w:val="both"/>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完整性：方案必须全面，对评审内容中的各项要求有详细描述；</w:t>
            </w:r>
          </w:p>
          <w:p w14:paraId="1EA354C3">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可实施性：切合本项目实际情况，提出步骤清晰、合理的方案</w:t>
            </w:r>
            <w:r>
              <w:rPr>
                <w:rFonts w:hint="eastAsia" w:ascii="仿宋" w:hAnsi="仿宋" w:eastAsia="仿宋" w:cs="仿宋"/>
                <w:color w:val="auto"/>
                <w:sz w:val="24"/>
                <w:highlight w:val="none"/>
                <w:lang w:eastAsia="zh-CN"/>
              </w:rPr>
              <w:t>；</w:t>
            </w:r>
          </w:p>
          <w:p w14:paraId="4AD8A53F">
            <w:pPr>
              <w:pStyle w:val="5"/>
              <w:pageBreakBefore w:val="0"/>
              <w:kinsoku/>
              <w:wordWrap/>
              <w:overflowPunct/>
              <w:topLinePunct w:val="0"/>
              <w:bidi w:val="0"/>
              <w:snapToGrid/>
              <w:spacing w:line="240" w:lineRule="auto"/>
              <w:jc w:val="both"/>
              <w:textAlignment w:val="auto"/>
              <w:rPr>
                <w:rFonts w:hint="eastAsia"/>
                <w:color w:val="auto"/>
                <w:lang w:eastAsia="zh-CN"/>
              </w:rPr>
            </w:pPr>
            <w:r>
              <w:rPr>
                <w:rFonts w:hint="eastAsia" w:ascii="仿宋" w:hAnsi="仿宋" w:eastAsia="仿宋" w:cs="仿宋"/>
                <w:b w:val="0"/>
                <w:bCs/>
                <w:color w:val="auto"/>
                <w:kern w:val="2"/>
                <w:sz w:val="24"/>
                <w:szCs w:val="28"/>
                <w:lang w:val="en-US" w:eastAsia="zh-CN" w:bidi="ar-SA"/>
              </w:rPr>
              <w:t>3.针对性：方案能够紧扣项目实际情况，内容科学合理。</w:t>
            </w:r>
          </w:p>
          <w:p w14:paraId="7AFD4AD7">
            <w:pPr>
              <w:pageBreakBefore w:val="0"/>
              <w:widowControl/>
              <w:kinsoku/>
              <w:wordWrap/>
              <w:overflowPunct/>
              <w:topLinePunct w:val="0"/>
              <w:bidi w:val="0"/>
              <w:snapToGrid/>
              <w:spacing w:line="240" w:lineRule="auto"/>
              <w:jc w:val="both"/>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三、赋分标准</w:t>
            </w:r>
            <w:r>
              <w:rPr>
                <w:rFonts w:hint="eastAsia" w:ascii="仿宋" w:hAnsi="仿宋" w:eastAsia="仿宋" w:cs="仿宋"/>
                <w:b/>
                <w:bCs/>
                <w:color w:val="auto"/>
                <w:kern w:val="0"/>
                <w:sz w:val="24"/>
                <w:highlight w:val="none"/>
              </w:rPr>
              <w:t>（满分</w:t>
            </w:r>
            <w:r>
              <w:rPr>
                <w:rFonts w:hint="eastAsia" w:ascii="仿宋" w:hAnsi="仿宋" w:eastAsia="仿宋" w:cs="仿宋"/>
                <w:b/>
                <w:bCs/>
                <w:color w:val="auto"/>
                <w:kern w:val="0"/>
                <w:sz w:val="24"/>
                <w:highlight w:val="none"/>
                <w:lang w:val="en-US" w:eastAsia="zh-CN"/>
              </w:rPr>
              <w:t>9</w:t>
            </w:r>
            <w:r>
              <w:rPr>
                <w:rFonts w:hint="eastAsia" w:ascii="仿宋" w:hAnsi="仿宋" w:eastAsia="仿宋" w:cs="仿宋"/>
                <w:b/>
                <w:bCs/>
                <w:color w:val="auto"/>
                <w:kern w:val="0"/>
                <w:sz w:val="24"/>
                <w:highlight w:val="none"/>
              </w:rPr>
              <w:t>分）</w:t>
            </w:r>
          </w:p>
          <w:p w14:paraId="021A05A7">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①日常执勤培训：每完全满足一个评审标准得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4940FA5D">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②消防培训:每完全满足一个评审标准得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2A6C0993">
            <w:pPr>
              <w:pageBreakBefore w:val="0"/>
              <w:widowControl/>
              <w:kinsoku/>
              <w:wordWrap/>
              <w:overflowPunct/>
              <w:topLinePunct w:val="0"/>
              <w:bidi w:val="0"/>
              <w:snapToGrid/>
              <w:spacing w:line="240" w:lineRule="auto"/>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③岗前培训:每完全满足一个评审标准得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分，满分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eastAsia="zh-CN"/>
              </w:rPr>
              <w:t>。</w:t>
            </w:r>
          </w:p>
        </w:tc>
        <w:tc>
          <w:tcPr>
            <w:tcW w:w="965" w:type="dxa"/>
            <w:tcBorders>
              <w:top w:val="single" w:color="auto" w:sz="4" w:space="0"/>
              <w:left w:val="single" w:color="auto" w:sz="4" w:space="0"/>
              <w:bottom w:val="single" w:color="auto" w:sz="4" w:space="0"/>
              <w:right w:val="single" w:color="auto" w:sz="4" w:space="0"/>
            </w:tcBorders>
            <w:noWrap w:val="0"/>
            <w:vAlign w:val="center"/>
          </w:tcPr>
          <w:p w14:paraId="309FC61F">
            <w:pPr>
              <w:pageBreakBefore w:val="0"/>
              <w:widowControl/>
              <w:kinsoku/>
              <w:wordWrap/>
              <w:overflowPunct/>
              <w:topLinePunct w:val="0"/>
              <w:bidi w:val="0"/>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主观分</w:t>
            </w:r>
          </w:p>
        </w:tc>
      </w:tr>
    </w:tbl>
    <w:p w14:paraId="44032E52">
      <w:pPr>
        <w:spacing w:line="240" w:lineRule="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p w14:paraId="230218C9">
      <w:pPr>
        <w:keepNext w:val="0"/>
        <w:keepLines w:val="0"/>
        <w:pageBreakBefore w:val="0"/>
        <w:widowControl w:val="0"/>
        <w:kinsoku w:val="0"/>
        <w:wordWrap/>
        <w:overflowPunct w:val="0"/>
        <w:topLinePunct w:val="0"/>
        <w:autoSpaceDE/>
        <w:autoSpaceDN/>
        <w:bidi w:val="0"/>
        <w:adjustRightInd/>
        <w:snapToGrid/>
        <w:spacing w:line="500" w:lineRule="exact"/>
        <w:ind w:firstLine="566" w:firstLineChars="200"/>
        <w:textAlignment w:val="auto"/>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30924"/>
      <w:bookmarkStart w:id="124" w:name="_Toc17612"/>
      <w:bookmarkStart w:id="125" w:name="_Toc25855"/>
      <w:bookmarkStart w:id="126" w:name="_Toc22712"/>
      <w:bookmarkStart w:id="127" w:name="_Toc28384"/>
      <w:bookmarkStart w:id="128" w:name="_Toc4670"/>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10386"/>
      <w:bookmarkStart w:id="130" w:name="_Toc14009"/>
      <w:bookmarkStart w:id="131" w:name="_Toc20049"/>
      <w:bookmarkStart w:id="132" w:name="_Toc28870"/>
      <w:bookmarkStart w:id="133" w:name="_Toc3100"/>
      <w:bookmarkStart w:id="134" w:name="_Toc31537"/>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21906"/>
      <w:bookmarkStart w:id="136" w:name="_Toc16965"/>
      <w:bookmarkStart w:id="137" w:name="_Toc3153"/>
      <w:bookmarkStart w:id="138" w:name="_Toc864"/>
      <w:bookmarkStart w:id="139" w:name="_Toc1272"/>
      <w:bookmarkStart w:id="140" w:name="_Toc2334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24433"/>
      <w:bookmarkStart w:id="143" w:name="_Toc10627"/>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12805F71">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一、服务内容及采购要求</w:t>
      </w:r>
    </w:p>
    <w:p w14:paraId="05600A8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1.服务区域：总建筑面积38.82万平方米，学校给供应商提供住宿和办公场所；</w:t>
      </w:r>
    </w:p>
    <w:p w14:paraId="6355DB46">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2.负责院本部除职工住宅区以外的治安巡查、消防督查、交通秩序维护、机动车和非机动车等安全综合管理；</w:t>
      </w:r>
    </w:p>
    <w:p w14:paraId="7A6F3EA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3.负责南大门、北大门、24小时门禁管理、值班值守、出入人员及车辆登记等；</w:t>
      </w:r>
    </w:p>
    <w:p w14:paraId="330C6EAA">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4.负责校园突发事件的预防和应急处置；</w:t>
      </w:r>
    </w:p>
    <w:p w14:paraId="2A7B413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5.积极维护广大师生员工的人身和财产安全，制止校园内不文明行为；</w:t>
      </w:r>
    </w:p>
    <w:p w14:paraId="34D13F31">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6.负责监控室（应急指挥中心）24小时值班，视频画面即时巡视调阅，音视频资料存储，以及治安、应急、突发、求助等信息的接收和安保力量紧急调度；</w:t>
      </w:r>
    </w:p>
    <w:p w14:paraId="0D1BB60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7.负责车辆管理系统、监控系统、一键式报警柱、报警电话、电动巡逻车、电动巡逻摩托车、电动伸缩门、防暴器材器械等安防设施设备的保管和报修；</w:t>
      </w:r>
    </w:p>
    <w:p w14:paraId="576BD03C">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8.协助采购人开展反恐防暴、消防疏散、应急演练、安全教育等活动；</w:t>
      </w:r>
    </w:p>
    <w:p w14:paraId="333F6B0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9.负责大型活动（学生报到、社会考试、外来培训、运动会、文体表演、重要集会等）期间的出入人员、车辆信息核查、安全保卫、交通和现场秩序维护；</w:t>
      </w:r>
    </w:p>
    <w:p w14:paraId="27A68835">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10.负责公安、消防、社区等部门依法纳入校园安全综合治理的其他工作；</w:t>
      </w:r>
    </w:p>
    <w:p w14:paraId="2F6D82CC">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11.负责采购人交办的涉及安全稳定相关工作；</w:t>
      </w:r>
    </w:p>
    <w:p w14:paraId="45933035">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12.采购人为供应商提供必要的办公和生活场所（办公室、宿舍、训练场），其它办公设施设备、家具用具、文印复印、易耗品及登记册、检查记录本、管理台账等全部由供应商自行承担。</w:t>
      </w:r>
    </w:p>
    <w:p w14:paraId="1FB9CC11">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13.本项目安保人员配备数量不少于21人（详见岗位设置）；女性年龄在55周岁以下，男性年龄在60周岁以下。政治合格，身体健康，形象好，气质佳，无残疾、无基础或精神疾病、无违法犯罪前科；</w:t>
      </w:r>
    </w:p>
    <w:p w14:paraId="0444FAE5">
      <w:pPr>
        <w:spacing w:line="500" w:lineRule="exact"/>
        <w:ind w:firstLine="4245" w:firstLineChars="1500"/>
        <w:jc w:val="both"/>
        <w:rPr>
          <w:rFonts w:hint="eastAsia" w:ascii="华文仿宋" w:hAnsi="华文仿宋" w:cs="华文仿宋"/>
          <w:color w:val="000000"/>
          <w:lang w:val="en-US" w:eastAsia="zh-CN"/>
        </w:rPr>
      </w:pPr>
      <w:r>
        <w:rPr>
          <w:rFonts w:hint="eastAsia" w:ascii="华文仿宋" w:hAnsi="华文仿宋" w:cs="华文仿宋"/>
          <w:b/>
          <w:bCs/>
          <w:color w:val="000000"/>
          <w:lang w:val="en-US" w:eastAsia="zh-CN"/>
        </w:rPr>
        <w:t>岗位设置</w:t>
      </w:r>
    </w:p>
    <w:tbl>
      <w:tblPr>
        <w:tblStyle w:val="39"/>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07"/>
        <w:gridCol w:w="1020"/>
        <w:gridCol w:w="790"/>
        <w:gridCol w:w="407"/>
        <w:gridCol w:w="6932"/>
      </w:tblGrid>
      <w:tr w14:paraId="2EA13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0" w:type="auto"/>
            <w:noWrap w:val="0"/>
            <w:vAlign w:val="center"/>
          </w:tcPr>
          <w:p w14:paraId="218516E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0" w:type="auto"/>
            <w:noWrap w:val="0"/>
            <w:vAlign w:val="center"/>
          </w:tcPr>
          <w:p w14:paraId="3EBEC66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岗位设置</w:t>
            </w:r>
          </w:p>
        </w:tc>
        <w:tc>
          <w:tcPr>
            <w:tcW w:w="0" w:type="auto"/>
            <w:noWrap w:val="0"/>
            <w:vAlign w:val="center"/>
          </w:tcPr>
          <w:p w14:paraId="78EA5D2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班次</w:t>
            </w:r>
          </w:p>
        </w:tc>
        <w:tc>
          <w:tcPr>
            <w:tcW w:w="0" w:type="auto"/>
            <w:noWrap w:val="0"/>
            <w:vAlign w:val="center"/>
          </w:tcPr>
          <w:p w14:paraId="1DCA561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人数</w:t>
            </w:r>
          </w:p>
        </w:tc>
        <w:tc>
          <w:tcPr>
            <w:tcW w:w="0" w:type="auto"/>
            <w:noWrap w:val="0"/>
            <w:vAlign w:val="center"/>
          </w:tcPr>
          <w:p w14:paraId="7BABF5D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主要任务或区域</w:t>
            </w:r>
          </w:p>
        </w:tc>
      </w:tr>
      <w:tr w14:paraId="586A5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0" w:type="auto"/>
            <w:noWrap w:val="0"/>
            <w:vAlign w:val="center"/>
          </w:tcPr>
          <w:p w14:paraId="7677C30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0" w:type="auto"/>
            <w:noWrap w:val="0"/>
            <w:vAlign w:val="center"/>
          </w:tcPr>
          <w:p w14:paraId="1836CC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项目负责人</w:t>
            </w:r>
          </w:p>
        </w:tc>
        <w:tc>
          <w:tcPr>
            <w:tcW w:w="0" w:type="auto"/>
            <w:noWrap w:val="0"/>
            <w:vAlign w:val="center"/>
          </w:tcPr>
          <w:p w14:paraId="451F7AE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全天侯</w:t>
            </w:r>
          </w:p>
        </w:tc>
        <w:tc>
          <w:tcPr>
            <w:tcW w:w="0" w:type="auto"/>
            <w:noWrap w:val="0"/>
            <w:vAlign w:val="center"/>
          </w:tcPr>
          <w:p w14:paraId="5FF1937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p>
        </w:tc>
        <w:tc>
          <w:tcPr>
            <w:tcW w:w="0" w:type="auto"/>
            <w:noWrap w:val="0"/>
            <w:vAlign w:val="center"/>
          </w:tcPr>
          <w:p w14:paraId="4007A273">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负责安保中队全部工作</w:t>
            </w:r>
          </w:p>
        </w:tc>
      </w:tr>
      <w:tr w14:paraId="7BC4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jc w:val="center"/>
        </w:trPr>
        <w:tc>
          <w:tcPr>
            <w:tcW w:w="0" w:type="auto"/>
            <w:noWrap w:val="0"/>
            <w:vAlign w:val="center"/>
          </w:tcPr>
          <w:p w14:paraId="2363E23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0" w:type="auto"/>
            <w:noWrap w:val="0"/>
            <w:vAlign w:val="center"/>
          </w:tcPr>
          <w:p w14:paraId="10A0B3C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中队长</w:t>
            </w:r>
          </w:p>
        </w:tc>
        <w:tc>
          <w:tcPr>
            <w:tcW w:w="0" w:type="auto"/>
            <w:noWrap w:val="0"/>
            <w:vAlign w:val="center"/>
          </w:tcPr>
          <w:p w14:paraId="57A7C79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全天侯</w:t>
            </w:r>
          </w:p>
        </w:tc>
        <w:tc>
          <w:tcPr>
            <w:tcW w:w="0" w:type="auto"/>
            <w:noWrap w:val="0"/>
            <w:vAlign w:val="center"/>
          </w:tcPr>
          <w:p w14:paraId="7E11436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0" w:type="auto"/>
            <w:noWrap w:val="0"/>
            <w:vAlign w:val="center"/>
          </w:tcPr>
          <w:p w14:paraId="5F87B04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负责</w:t>
            </w:r>
            <w:r>
              <w:rPr>
                <w:rFonts w:hint="eastAsia" w:ascii="仿宋" w:hAnsi="仿宋" w:eastAsia="仿宋" w:cs="仿宋"/>
                <w:color w:val="auto"/>
                <w:sz w:val="24"/>
                <w:szCs w:val="24"/>
              </w:rPr>
              <w:t>校园安全整体管理</w:t>
            </w:r>
          </w:p>
        </w:tc>
      </w:tr>
      <w:tr w14:paraId="68ED3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jc w:val="center"/>
        </w:trPr>
        <w:tc>
          <w:tcPr>
            <w:tcW w:w="0" w:type="auto"/>
            <w:noWrap w:val="0"/>
            <w:vAlign w:val="center"/>
          </w:tcPr>
          <w:p w14:paraId="680BD1D1">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p>
        </w:tc>
        <w:tc>
          <w:tcPr>
            <w:tcW w:w="0" w:type="auto"/>
            <w:noWrap w:val="0"/>
            <w:vAlign w:val="center"/>
          </w:tcPr>
          <w:p w14:paraId="758F40B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班组长</w:t>
            </w:r>
          </w:p>
        </w:tc>
        <w:tc>
          <w:tcPr>
            <w:tcW w:w="0" w:type="auto"/>
            <w:noWrap w:val="0"/>
            <w:vAlign w:val="center"/>
          </w:tcPr>
          <w:p w14:paraId="32FE0FD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w:t>
            </w:r>
            <w:r>
              <w:rPr>
                <w:rFonts w:hint="eastAsia" w:ascii="仿宋" w:hAnsi="仿宋" w:eastAsia="仿宋" w:cs="仿宋"/>
                <w:color w:val="auto"/>
                <w:sz w:val="24"/>
                <w:szCs w:val="24"/>
                <w:lang w:val="en-US" w:eastAsia="zh-CN"/>
              </w:rPr>
              <w:t>夜</w:t>
            </w:r>
            <w:r>
              <w:rPr>
                <w:rFonts w:hint="eastAsia" w:ascii="仿宋" w:hAnsi="仿宋" w:eastAsia="仿宋" w:cs="仿宋"/>
                <w:color w:val="auto"/>
                <w:sz w:val="24"/>
                <w:szCs w:val="24"/>
              </w:rPr>
              <w:t>班</w:t>
            </w:r>
          </w:p>
        </w:tc>
        <w:tc>
          <w:tcPr>
            <w:tcW w:w="0" w:type="auto"/>
            <w:noWrap w:val="0"/>
            <w:vAlign w:val="center"/>
          </w:tcPr>
          <w:p w14:paraId="6AA9010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p>
        </w:tc>
        <w:tc>
          <w:tcPr>
            <w:tcW w:w="0" w:type="auto"/>
            <w:noWrap w:val="0"/>
            <w:vAlign w:val="center"/>
          </w:tcPr>
          <w:p w14:paraId="6FFBB0B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校园安全管理、治安巡查、消防督查、交通秩序维护、机动车和非机动车管理、突发事件应急处置等</w:t>
            </w:r>
          </w:p>
        </w:tc>
      </w:tr>
      <w:tr w14:paraId="7292E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0" w:type="auto"/>
            <w:noWrap w:val="0"/>
            <w:vAlign w:val="center"/>
          </w:tcPr>
          <w:p w14:paraId="2A51DCA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0" w:type="auto"/>
            <w:noWrap w:val="0"/>
            <w:vAlign w:val="center"/>
          </w:tcPr>
          <w:p w14:paraId="11997C7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南大门门卫</w:t>
            </w:r>
          </w:p>
        </w:tc>
        <w:tc>
          <w:tcPr>
            <w:tcW w:w="0" w:type="auto"/>
            <w:noWrap w:val="0"/>
            <w:vAlign w:val="center"/>
          </w:tcPr>
          <w:p w14:paraId="132A25C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w:t>
            </w:r>
            <w:r>
              <w:rPr>
                <w:rFonts w:hint="eastAsia" w:ascii="仿宋" w:hAnsi="仿宋" w:eastAsia="仿宋" w:cs="仿宋"/>
                <w:color w:val="auto"/>
                <w:sz w:val="24"/>
                <w:szCs w:val="24"/>
                <w:lang w:val="en-US" w:eastAsia="zh-CN"/>
              </w:rPr>
              <w:t>夜</w:t>
            </w:r>
            <w:r>
              <w:rPr>
                <w:rFonts w:hint="eastAsia" w:ascii="仿宋" w:hAnsi="仿宋" w:eastAsia="仿宋" w:cs="仿宋"/>
                <w:color w:val="auto"/>
                <w:sz w:val="24"/>
                <w:szCs w:val="24"/>
              </w:rPr>
              <w:t>班</w:t>
            </w:r>
          </w:p>
        </w:tc>
        <w:tc>
          <w:tcPr>
            <w:tcW w:w="0" w:type="auto"/>
            <w:noWrap w:val="0"/>
            <w:vAlign w:val="center"/>
          </w:tcPr>
          <w:p w14:paraId="6AD6671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p>
        </w:tc>
        <w:tc>
          <w:tcPr>
            <w:tcW w:w="0" w:type="auto"/>
            <w:noWrap w:val="0"/>
            <w:vAlign w:val="center"/>
          </w:tcPr>
          <w:p w14:paraId="1AFF3EB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南大门24小时门禁管理、值班值守、出入人员及车辆登记等</w:t>
            </w:r>
          </w:p>
        </w:tc>
      </w:tr>
      <w:tr w14:paraId="1EB13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0" w:type="auto"/>
            <w:noWrap w:val="0"/>
            <w:vAlign w:val="center"/>
          </w:tcPr>
          <w:p w14:paraId="4240361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0" w:type="auto"/>
            <w:noWrap w:val="0"/>
            <w:vAlign w:val="center"/>
          </w:tcPr>
          <w:p w14:paraId="6F27804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交通管理员</w:t>
            </w:r>
          </w:p>
        </w:tc>
        <w:tc>
          <w:tcPr>
            <w:tcW w:w="0" w:type="auto"/>
            <w:noWrap w:val="0"/>
            <w:vAlign w:val="center"/>
          </w:tcPr>
          <w:p w14:paraId="490A34E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w:t>
            </w:r>
            <w:r>
              <w:rPr>
                <w:rFonts w:hint="eastAsia" w:ascii="仿宋" w:hAnsi="仿宋" w:eastAsia="仿宋" w:cs="仿宋"/>
                <w:color w:val="auto"/>
                <w:sz w:val="24"/>
                <w:szCs w:val="24"/>
                <w:lang w:val="en-US" w:eastAsia="zh-CN"/>
              </w:rPr>
              <w:t>夜</w:t>
            </w:r>
            <w:r>
              <w:rPr>
                <w:rFonts w:hint="eastAsia" w:ascii="仿宋" w:hAnsi="仿宋" w:eastAsia="仿宋" w:cs="仿宋"/>
                <w:color w:val="auto"/>
                <w:sz w:val="24"/>
                <w:szCs w:val="24"/>
              </w:rPr>
              <w:t>班</w:t>
            </w:r>
          </w:p>
        </w:tc>
        <w:tc>
          <w:tcPr>
            <w:tcW w:w="0" w:type="auto"/>
            <w:noWrap w:val="0"/>
            <w:vAlign w:val="center"/>
          </w:tcPr>
          <w:p w14:paraId="4CE6A13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p>
        </w:tc>
        <w:tc>
          <w:tcPr>
            <w:tcW w:w="0" w:type="auto"/>
            <w:noWrap w:val="0"/>
            <w:vAlign w:val="center"/>
          </w:tcPr>
          <w:p w14:paraId="03C5FB2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北大门24小时门禁管理、值班值守、出入人员及车辆登记等</w:t>
            </w:r>
          </w:p>
        </w:tc>
      </w:tr>
      <w:tr w14:paraId="27D0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jc w:val="center"/>
        </w:trPr>
        <w:tc>
          <w:tcPr>
            <w:tcW w:w="0" w:type="auto"/>
            <w:noWrap w:val="0"/>
            <w:vAlign w:val="center"/>
          </w:tcPr>
          <w:p w14:paraId="5749D88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p>
        </w:tc>
        <w:tc>
          <w:tcPr>
            <w:tcW w:w="0" w:type="auto"/>
            <w:noWrap w:val="0"/>
            <w:vAlign w:val="center"/>
          </w:tcPr>
          <w:p w14:paraId="12615E7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北大门门卫</w:t>
            </w:r>
          </w:p>
        </w:tc>
        <w:tc>
          <w:tcPr>
            <w:tcW w:w="0" w:type="auto"/>
            <w:noWrap w:val="0"/>
            <w:vAlign w:val="center"/>
          </w:tcPr>
          <w:p w14:paraId="42FFA37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w:t>
            </w:r>
            <w:r>
              <w:rPr>
                <w:rFonts w:hint="eastAsia" w:ascii="仿宋" w:hAnsi="仿宋" w:eastAsia="仿宋" w:cs="仿宋"/>
                <w:color w:val="auto"/>
                <w:sz w:val="24"/>
                <w:szCs w:val="24"/>
                <w:lang w:val="en-US" w:eastAsia="zh-CN"/>
              </w:rPr>
              <w:t>夜</w:t>
            </w:r>
            <w:r>
              <w:rPr>
                <w:rFonts w:hint="eastAsia" w:ascii="仿宋" w:hAnsi="仿宋" w:eastAsia="仿宋" w:cs="仿宋"/>
                <w:color w:val="auto"/>
                <w:sz w:val="24"/>
                <w:szCs w:val="24"/>
              </w:rPr>
              <w:t>班</w:t>
            </w:r>
          </w:p>
        </w:tc>
        <w:tc>
          <w:tcPr>
            <w:tcW w:w="0" w:type="auto"/>
            <w:noWrap w:val="0"/>
            <w:vAlign w:val="center"/>
          </w:tcPr>
          <w:p w14:paraId="15BAA15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p>
        </w:tc>
        <w:tc>
          <w:tcPr>
            <w:tcW w:w="0" w:type="auto"/>
            <w:noWrap w:val="0"/>
            <w:vAlign w:val="center"/>
          </w:tcPr>
          <w:p w14:paraId="58D255E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隔离门24小时门禁管理、值班值守、出入人员登记等</w:t>
            </w:r>
          </w:p>
        </w:tc>
      </w:tr>
      <w:tr w14:paraId="75AF8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jc w:val="center"/>
        </w:trPr>
        <w:tc>
          <w:tcPr>
            <w:tcW w:w="0" w:type="auto"/>
            <w:noWrap w:val="0"/>
            <w:vAlign w:val="center"/>
          </w:tcPr>
          <w:p w14:paraId="7BC18AF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p>
        </w:tc>
        <w:tc>
          <w:tcPr>
            <w:tcW w:w="0" w:type="auto"/>
            <w:noWrap w:val="0"/>
            <w:vAlign w:val="center"/>
          </w:tcPr>
          <w:p w14:paraId="3AC93F3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监控室值班员</w:t>
            </w:r>
          </w:p>
        </w:tc>
        <w:tc>
          <w:tcPr>
            <w:tcW w:w="0" w:type="auto"/>
            <w:noWrap w:val="0"/>
            <w:vAlign w:val="center"/>
          </w:tcPr>
          <w:p w14:paraId="06FFDA0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w:t>
            </w:r>
            <w:r>
              <w:rPr>
                <w:rFonts w:hint="eastAsia" w:ascii="仿宋" w:hAnsi="仿宋" w:eastAsia="仿宋" w:cs="仿宋"/>
                <w:color w:val="auto"/>
                <w:sz w:val="24"/>
                <w:szCs w:val="24"/>
                <w:lang w:val="en-US" w:eastAsia="zh-CN"/>
              </w:rPr>
              <w:t>夜</w:t>
            </w:r>
            <w:r>
              <w:rPr>
                <w:rFonts w:hint="eastAsia" w:ascii="仿宋" w:hAnsi="仿宋" w:eastAsia="仿宋" w:cs="仿宋"/>
                <w:color w:val="auto"/>
                <w:sz w:val="24"/>
                <w:szCs w:val="24"/>
              </w:rPr>
              <w:t>班</w:t>
            </w:r>
          </w:p>
        </w:tc>
        <w:tc>
          <w:tcPr>
            <w:tcW w:w="0" w:type="auto"/>
            <w:noWrap w:val="0"/>
            <w:vAlign w:val="center"/>
          </w:tcPr>
          <w:p w14:paraId="003835A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p>
        </w:tc>
        <w:tc>
          <w:tcPr>
            <w:tcW w:w="0" w:type="auto"/>
            <w:noWrap w:val="0"/>
            <w:vAlign w:val="center"/>
          </w:tcPr>
          <w:p w14:paraId="130BCA9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监控室视频画面的巡视调阅，以及治安、应急、突发、求助等信息的接收和安保人员紧急调度等</w:t>
            </w:r>
          </w:p>
        </w:tc>
      </w:tr>
      <w:tr w14:paraId="608DA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0" w:type="auto"/>
            <w:noWrap w:val="0"/>
            <w:vAlign w:val="center"/>
          </w:tcPr>
          <w:p w14:paraId="5528009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8</w:t>
            </w:r>
          </w:p>
        </w:tc>
        <w:tc>
          <w:tcPr>
            <w:tcW w:w="0" w:type="auto"/>
            <w:noWrap w:val="0"/>
            <w:vAlign w:val="center"/>
          </w:tcPr>
          <w:p w14:paraId="3F46262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lang w:val="en-US" w:eastAsia="en-US"/>
              </w:rPr>
            </w:pPr>
            <w:r>
              <w:rPr>
                <w:rFonts w:hint="eastAsia" w:ascii="仿宋" w:hAnsi="仿宋" w:eastAsia="仿宋" w:cs="仿宋"/>
                <w:color w:val="auto"/>
                <w:sz w:val="24"/>
                <w:szCs w:val="24"/>
                <w:lang w:val="en-US" w:eastAsia="zh-CN"/>
              </w:rPr>
              <w:t>安全巡逻员</w:t>
            </w:r>
          </w:p>
        </w:tc>
        <w:tc>
          <w:tcPr>
            <w:tcW w:w="0" w:type="auto"/>
            <w:noWrap w:val="0"/>
            <w:vAlign w:val="center"/>
          </w:tcPr>
          <w:p w14:paraId="3B95E858">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白班/夜班</w:t>
            </w:r>
          </w:p>
        </w:tc>
        <w:tc>
          <w:tcPr>
            <w:tcW w:w="0" w:type="auto"/>
            <w:noWrap w:val="0"/>
            <w:vAlign w:val="center"/>
          </w:tcPr>
          <w:p w14:paraId="108D852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p>
        </w:tc>
        <w:tc>
          <w:tcPr>
            <w:tcW w:w="0" w:type="auto"/>
            <w:noWrap w:val="0"/>
            <w:vAlign w:val="center"/>
          </w:tcPr>
          <w:p w14:paraId="255C4D9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校园24小时巡逻检查、突发事件应急处置等</w:t>
            </w:r>
          </w:p>
        </w:tc>
      </w:tr>
      <w:tr w14:paraId="3CA47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0" w:type="auto"/>
            <w:gridSpan w:val="2"/>
            <w:noWrap w:val="0"/>
            <w:vAlign w:val="center"/>
          </w:tcPr>
          <w:p w14:paraId="77F6550C">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合计</w:t>
            </w:r>
          </w:p>
        </w:tc>
        <w:tc>
          <w:tcPr>
            <w:tcW w:w="0" w:type="auto"/>
            <w:gridSpan w:val="3"/>
            <w:noWrap w:val="0"/>
            <w:vAlign w:val="center"/>
          </w:tcPr>
          <w:p w14:paraId="1DBD3BA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人</w:t>
            </w:r>
          </w:p>
        </w:tc>
      </w:tr>
    </w:tbl>
    <w:p w14:paraId="7595FFA6">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二、其他要求</w:t>
      </w:r>
    </w:p>
    <w:p w14:paraId="1D9E353E">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贯彻“预防为主、防治结合、突出重点、保障安全”的方针，坚持“人、事、物、环境，同防共治”的原则。根据《企事业单位内保条例》相关要求，采取有效防范措施，及时发现和消除治安漏洞和教育教学中的不安定因素，坚决预防各种治安、刑事案件发生，保证师生人身和财产安全，确保教育教学工作正常有序开展。</w:t>
      </w:r>
    </w:p>
    <w:p w14:paraId="3CF78D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2.根据采购人管理环境和管理要求，健全组织领导机构，建立安全管理规章制度。自觉接受公安、教育、交通、消防等部门的监督指导，服从采购人的管理、检查和考核。</w:t>
      </w:r>
    </w:p>
    <w:p w14:paraId="6231F0F1">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3.派驻具有从事高校安保管理经历且经验丰富的管理团队，落实合同约定的有关条款。</w:t>
      </w:r>
    </w:p>
    <w:p w14:paraId="67BBD82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4.保持保安队伍的稳定性和年轻化、专业化。安保人员具有从事安保服务工作经历，入职前经过严格的岗前培训且培训合格，持有有效从业资格证书，做到“持证上岗、人岗相适”。每月向安全保卫处报送安保人员花名册。需更换人员时，必须向安全保卫处报备，并提供新上岗人员的资质证明（个人信息、劳务合同、从业资格证书等）。</w:t>
      </w:r>
    </w:p>
    <w:p w14:paraId="06094256">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5.每日出勤率必须保持在总人数的85%以上。项目负责人、班组长手机24小时处于可接通状态，不得出现拒接或无法接通的状况。紧急集合时，所有在岗人员必须在5分钟内到达指定集合地点（备勤人员15分钟内）。</w:t>
      </w:r>
    </w:p>
    <w:p w14:paraId="5885B99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6.强化安保队伍建设，定期在安保人员中进行政治理论、爱岗敬业、职业道德、遵章守纪、文明执勤教育活动。常态化开展反恐防暴、消防救援、防灾避险应急演练。安保人员能正确熟练使用各类反恐防暴和消防器材器械。</w:t>
      </w:r>
    </w:p>
    <w:p w14:paraId="695D3F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7.能高效规范处置校园意外伤害和灾害事故，积极配合公安、消防、医疗等部门开展现场保护、调查取证、案件侦办和紧急救援等。</w:t>
      </w:r>
    </w:p>
    <w:p w14:paraId="6BE7390A">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8.严格执行24小时巡逻检查和“日检查、日通报”管理措施，加强重点区域、重要时段、节假日等期间安全管理，做好防火、防灾、防事故各项工作。</w:t>
      </w:r>
    </w:p>
    <w:p w14:paraId="6D317643">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9.履行消防监管责任，深入校园各区域和场所开展消防安全隐患排查，发现问题及时处置并报告。</w:t>
      </w:r>
    </w:p>
    <w:p w14:paraId="446F8C6E">
      <w:pPr>
        <w:spacing w:line="500" w:lineRule="exact"/>
        <w:ind w:firstLine="566" w:firstLineChars="200"/>
        <w:rPr>
          <w:rFonts w:hint="eastAsia" w:ascii="华文仿宋" w:hAnsi="华文仿宋" w:cs="华文仿宋"/>
          <w:color w:val="auto"/>
          <w:lang w:val="en-US" w:eastAsia="zh-CN"/>
        </w:rPr>
      </w:pPr>
      <w:r>
        <w:rPr>
          <w:rFonts w:hint="eastAsia" w:ascii="华文仿宋" w:hAnsi="华文仿宋" w:cs="华文仿宋"/>
          <w:color w:val="000000"/>
          <w:lang w:val="en-US" w:eastAsia="zh-CN"/>
        </w:rPr>
        <w:t>10.采购人与供应商为双方合作关系，与供应商内部员工不存在任何形式的管理与被管理关系。供应商与其内部员工建立劳动合同关系，承担购买社会保险等法律规定的一切责任义务。供应商员工在上下班及工作过程中发生的本人及第三方人身伤害、财产损失等均与采购人无任何责任。</w:t>
      </w:r>
    </w:p>
    <w:p w14:paraId="7BD2D082">
      <w:pPr>
        <w:spacing w:line="500" w:lineRule="exact"/>
        <w:ind w:firstLine="566" w:firstLineChars="200"/>
        <w:rPr>
          <w:rFonts w:hint="eastAsia" w:ascii="华文仿宋" w:hAnsi="华文仿宋" w:cs="华文仿宋"/>
          <w:color w:val="auto"/>
          <w:lang w:val="en-US" w:eastAsia="zh-CN"/>
        </w:rPr>
      </w:pPr>
    </w:p>
    <w:p w14:paraId="175212DF">
      <w:pPr>
        <w:spacing w:line="500" w:lineRule="exact"/>
        <w:ind w:firstLine="566" w:firstLineChars="200"/>
        <w:rPr>
          <w:rFonts w:hint="eastAsia" w:ascii="华文仿宋" w:hAnsi="华文仿宋" w:cs="华文仿宋"/>
          <w:color w:val="auto"/>
          <w:lang w:val="en-US" w:eastAsia="zh-CN"/>
        </w:rPr>
      </w:pPr>
      <w:r>
        <w:rPr>
          <w:rFonts w:hint="eastAsia" w:ascii="华文仿宋" w:hAnsi="华文仿宋" w:cs="华文仿宋"/>
          <w:b/>
          <w:bCs/>
          <w:color w:val="auto"/>
          <w:lang w:val="en-US" w:eastAsia="zh-CN"/>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0"/>
          <w:rFonts w:ascii="黑体" w:hAnsi="黑体" w:eastAsia="黑体" w:cs="黑体"/>
          <w:b w:val="0"/>
          <w:bCs/>
          <w:color w:val="000000"/>
          <w:sz w:val="32"/>
          <w:szCs w:val="32"/>
        </w:rPr>
      </w:pPr>
      <w:r>
        <w:rPr>
          <w:rStyle w:val="30"/>
          <w:rFonts w:hint="eastAsia" w:ascii="黑体" w:hAnsi="黑体" w:eastAsia="黑体" w:cs="黑体"/>
          <w:b w:val="0"/>
          <w:bCs/>
          <w:color w:val="000000"/>
          <w:sz w:val="32"/>
          <w:szCs w:val="32"/>
        </w:rPr>
        <w:t>第四章  合同草案条款</w:t>
      </w:r>
    </w:p>
    <w:p w14:paraId="5E914721">
      <w:pPr>
        <w:numPr>
          <w:ilvl w:val="0"/>
          <w:numId w:val="0"/>
        </w:numPr>
        <w:spacing w:line="500" w:lineRule="exact"/>
        <w:ind w:firstLine="566"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bCs/>
          <w:sz w:val="28"/>
          <w:szCs w:val="28"/>
          <w:lang w:val="en-US" w:eastAsia="zh-CN"/>
        </w:rPr>
        <w:t>一、</w:t>
      </w:r>
      <w:r>
        <w:rPr>
          <w:rFonts w:hint="eastAsia" w:ascii="华文仿宋" w:hAnsi="华文仿宋" w:eastAsia="华文仿宋" w:cs="华文仿宋"/>
          <w:b/>
          <w:bCs/>
          <w:sz w:val="28"/>
          <w:szCs w:val="28"/>
          <w:lang w:val="en-US" w:eastAsia="zh-CN"/>
        </w:rPr>
        <w:t>服务地点</w:t>
      </w:r>
      <w:r>
        <w:rPr>
          <w:rFonts w:hint="eastAsia" w:ascii="华文仿宋" w:hAnsi="华文仿宋" w:cs="华文仿宋"/>
          <w:b w:val="0"/>
          <w:bCs w:val="0"/>
          <w:color w:val="000000"/>
          <w:spacing w:val="2"/>
          <w:kern w:val="0"/>
          <w:sz w:val="28"/>
          <w:szCs w:val="28"/>
          <w:lang w:val="en-US" w:eastAsia="zh-CN"/>
        </w:rPr>
        <w:t>：采购人指定地点</w:t>
      </w:r>
    </w:p>
    <w:p w14:paraId="03888E95">
      <w:pPr>
        <w:numPr>
          <w:ilvl w:val="0"/>
          <w:numId w:val="0"/>
        </w:numPr>
        <w:spacing w:line="500" w:lineRule="exact"/>
        <w:ind w:firstLine="566"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bCs/>
          <w:sz w:val="28"/>
          <w:szCs w:val="28"/>
          <w:lang w:val="en-US" w:eastAsia="zh-CN"/>
        </w:rPr>
        <w:t>二、</w:t>
      </w:r>
      <w:r>
        <w:rPr>
          <w:rFonts w:hint="eastAsia" w:ascii="华文仿宋" w:hAnsi="华文仿宋" w:eastAsia="华文仿宋" w:cs="华文仿宋"/>
          <w:b/>
          <w:bCs/>
          <w:sz w:val="28"/>
          <w:szCs w:val="28"/>
          <w:lang w:val="en-US" w:eastAsia="zh-CN"/>
        </w:rPr>
        <w:t>服务期限</w:t>
      </w:r>
      <w:r>
        <w:rPr>
          <w:rFonts w:hint="eastAsia" w:ascii="华文仿宋" w:hAnsi="华文仿宋" w:cs="华文仿宋"/>
          <w:b w:val="0"/>
          <w:bCs w:val="0"/>
          <w:color w:val="000000"/>
          <w:spacing w:val="2"/>
          <w:kern w:val="0"/>
          <w:sz w:val="28"/>
          <w:szCs w:val="28"/>
          <w:lang w:val="en-US" w:eastAsia="zh-CN"/>
        </w:rPr>
        <w:t>：自合同签订之日起两年，合同一年一签。</w:t>
      </w:r>
    </w:p>
    <w:p w14:paraId="702F9E58">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三、合同金额与付款方式</w:t>
      </w:r>
    </w:p>
    <w:p w14:paraId="306EEED7">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1.合同金额即成交价格；其金额不受人工、材料市场价格变化的影响。</w:t>
      </w:r>
    </w:p>
    <w:p w14:paraId="7203BE94">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2.合同签订前，成交人须向采购人缴纳合同总价款5%的履约保证金（账号：6100 1683 8110 5250 3314，开户行：建行延安东关支行）。项目履约完成后，经采购人验收合格无任何问题后，由成交人申请，采购人一次性无息退付履约保证金。</w:t>
      </w:r>
    </w:p>
    <w:p w14:paraId="79063A95">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3.付款方式：由采购人直接支付，成交人正式履行合同各项条款后，采购人安全保卫处于次月十五日前完成对成交人上月服务情况考核和费用支付。月考核等次达到优秀，支付100%费用；考核达到良好，支付95%费用；考核达到合格，支付90%费用；考核为不合格，支付50%费用。即：月服务费用支付额=年服务合同价×95%÷12×考核支付比例。成交人出具正式票据，采购人以银行转帐方式支付成交人上月服务费用。</w:t>
      </w:r>
    </w:p>
    <w:p w14:paraId="5C55CC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四.采购人的权利和义务</w:t>
      </w:r>
    </w:p>
    <w:p w14:paraId="78CE20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1.采购人为成交人提供必要的办公和生活场所（办公室、宿舍、训练场），其它办公设施设备、家具用具、文印复印、易耗品及登记册、检查记录本、管理台账等全部由成交人自行承担。</w:t>
      </w:r>
    </w:p>
    <w:p w14:paraId="550FAA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2.成交人在采购人现有安防设施设备的基础上（附件1），配足配齐对讲机、制式服装服饰、武装带、橡胶警棍、强光手电、反光背心、执法记录仪、肩闪灯等装备，其费用包含在服务费中。</w:t>
      </w:r>
    </w:p>
    <w:p w14:paraId="35D9CE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3.采购人有权针对成交人对违反采购人规章制度、服务态度差、履职不到位或年龄、健康等条件不达标的人员予以处罚或清退。</w:t>
      </w:r>
    </w:p>
    <w:p w14:paraId="24B15D3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4.采购人委托安全保卫处对成交人进行日常管理、监督和考核。安全保卫处根据管理环境和要求，制订考核指标体系定期考核。具体为：</w:t>
      </w:r>
    </w:p>
    <w:p w14:paraId="3803CF6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月考核（附件2）：每月月初，安全保卫处对安全成交人上月服务情况进行考核。考核等次达到优秀，支付100%费用；考核达到良好，支付95%费用；考核达到合格，支付90%费用；考核为不合格，支付50%费用。即：月服务费用支付额=年服务合同价×95%÷12×考核支付比例。</w:t>
      </w:r>
    </w:p>
    <w:p w14:paraId="5023EE7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6.因成交人管理不严不细、工作渎职失责或处理不当，造成人员伤害、经济或声誉损失的，扣除部分或全部履约保证金，还可一并主张损害赔偿，并责令成交人限期整改，若整改无效可直接解除合同关系。</w:t>
      </w:r>
    </w:p>
    <w:p w14:paraId="689D21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7.成交人根据考核结果，提供合法有效票据，采购人以银行转账方式支付相应费用。</w:t>
      </w:r>
    </w:p>
    <w:p w14:paraId="1E1E60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五、成交人的权利和义务</w:t>
      </w:r>
    </w:p>
    <w:p w14:paraId="099D89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1.成交人有权要求采购人按照采购合同约定，及时足额支付服务费用。</w:t>
      </w:r>
    </w:p>
    <w:p w14:paraId="48BE3C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2.成交人有权要求采购人提供本文件4.1条约定的办公、宿舍、训练场等必要场地条件，为安保服务开展提供基础环境支持。</w:t>
      </w:r>
    </w:p>
    <w:p w14:paraId="403BAF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3.成交人有权对采购人安全保卫处的日常考核结果提出异议，对考核存在偏差的事项可提交书面申辩材料申请复核。</w:t>
      </w:r>
    </w:p>
    <w:p w14:paraId="599989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4.成交人应当严格遵守国家法律法规以及采购人各项内部管理制度，按照采购文件、合同要求配齐人员、装备，保质保量完成安全保卫服务工作。</w:t>
      </w:r>
    </w:p>
    <w:p w14:paraId="5BA8E3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5.成交人负责所属安保人员的劳动合同签订、工资发放、社保、工伤保险购买，承担员工劳动用工全部责任；员工在工作、上下班途中产生人身伤害、财产损失以及造成第三方损害的，全部由成交人承担相应赔偿与法律责任。</w:t>
      </w:r>
    </w:p>
    <w:p w14:paraId="44D247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6.成交人须按本文件4.2要求，自行承担对讲机、制式服装、橡胶警棍、执法记录仪等全部安保装备的采购、维护、更换，相关成本全部包含在合同服务费内。做好装备日常维护保养，保证装备完好可用。</w:t>
      </w:r>
    </w:p>
    <w:p w14:paraId="1E5928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7.成交人接受采购人安全保卫处的日常监督、管理、考核；对于采购人提出的人员清退、整改要求，成交人须在规定时限内完成人员调换、问题整改，不得拖延。</w:t>
      </w:r>
    </w:p>
    <w:p w14:paraId="181E1E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8.成交人负责建立完整安保管理台账、值班记录、检查登记本，自行承担办公耗材、文印、台账物料等全部办公开支，按要求定期向采购人报送值班、巡查等工作资料。</w:t>
      </w:r>
    </w:p>
    <w:p w14:paraId="198D4D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9.如发生突发事件、治安险情，成交人应当第一时间处置，并立即向采购人安全保卫处报告，配合采购人开展应急处置工作。</w:t>
      </w:r>
    </w:p>
    <w:p w14:paraId="71AF56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10.成交人对服务期间接触到的采购人内部信息、监控资料、内部工作情况负有保密义务，不得向外泄露，服务结束后仍需持续履行保密责任。</w:t>
      </w:r>
    </w:p>
    <w:p w14:paraId="78BAF7D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六.违约责任</w:t>
      </w:r>
    </w:p>
    <w:p w14:paraId="7DDAE5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成交人未按合同约定提供服务或未达到约定的服务标准的，采购人有权解除合同，并可依法向成交人主张合同总价款5%的违约金，造成损害的，可一并主张损害赔偿。采购人违约的，应当赔偿成交人的经济损失。</w:t>
      </w:r>
    </w:p>
    <w:p w14:paraId="40FB47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bCs/>
          <w:sz w:val="28"/>
          <w:szCs w:val="28"/>
          <w:lang w:val="en-US" w:eastAsia="zh-CN"/>
        </w:rPr>
        <w:t>七.其他事项</w:t>
      </w:r>
    </w:p>
    <w:p w14:paraId="4240B2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遇有政策调整、机构改革、自然灾害等不可抗力，致使采购人和成交人双方不能继续履行合同时，合同实时终止，采购人和成交人双方互不承担违约责任。</w:t>
      </w:r>
    </w:p>
    <w:p w14:paraId="2202E5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八、</w:t>
      </w:r>
      <w:r>
        <w:rPr>
          <w:rFonts w:hint="eastAsia" w:ascii="华文仿宋" w:hAnsi="华文仿宋" w:eastAsia="华文仿宋" w:cs="华文仿宋"/>
          <w:b/>
          <w:bCs/>
          <w:sz w:val="28"/>
          <w:szCs w:val="28"/>
          <w:lang w:val="zh-CN" w:eastAsia="zh-CN"/>
        </w:rPr>
        <w:t>合同争议的解决</w:t>
      </w:r>
    </w:p>
    <w:p w14:paraId="69A421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zh-CN" w:eastAsia="zh-CN"/>
        </w:rPr>
        <w:t>合同执行中发生争议的，采购人和成交供应商应协商解决，协商达不成一致时，可向采购人</w:t>
      </w:r>
      <w:r>
        <w:rPr>
          <w:rFonts w:hint="eastAsia" w:ascii="华文仿宋" w:hAnsi="华文仿宋" w:eastAsia="华文仿宋" w:cs="华文仿宋"/>
          <w:sz w:val="28"/>
          <w:szCs w:val="28"/>
          <w:lang w:val="en-US" w:eastAsia="zh-CN"/>
        </w:rPr>
        <w:t>所在地的人民法院提请诉讼</w:t>
      </w:r>
      <w:r>
        <w:rPr>
          <w:rFonts w:hint="eastAsia" w:ascii="华文仿宋" w:hAnsi="华文仿宋" w:eastAsia="华文仿宋" w:cs="华文仿宋"/>
          <w:sz w:val="28"/>
          <w:szCs w:val="28"/>
          <w:lang w:val="zh-CN" w:eastAsia="zh-CN"/>
        </w:rPr>
        <w:t>。</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九、</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十一、未尽事宜由双方在签订合同时具体明确，但不得超出磋商文件合同草案规定。 </w:t>
      </w:r>
    </w:p>
    <w:p w14:paraId="64EE0196">
      <w:pPr>
        <w:spacing w:line="500" w:lineRule="exact"/>
        <w:ind w:firstLine="567"/>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本合同须经中心确认，否则无效。</w:t>
      </w:r>
    </w:p>
    <w:p w14:paraId="140C56BF">
      <w:pPr>
        <w:spacing w:line="500" w:lineRule="exact"/>
        <w:ind w:firstLine="567"/>
        <w:outlineLvl w:val="9"/>
        <w:rPr>
          <w:rFonts w:hint="default" w:ascii="华文仿宋" w:hAnsi="华文仿宋" w:cs="华文仿宋"/>
          <w:b/>
          <w:bCs/>
          <w:color w:val="000000"/>
          <w:sz w:val="28"/>
          <w:szCs w:val="28"/>
          <w:lang w:val="en-US" w:eastAsia="zh-CN"/>
        </w:rPr>
      </w:pPr>
    </w:p>
    <w:p w14:paraId="3924B04A">
      <w:pPr>
        <w:spacing w:line="500" w:lineRule="exact"/>
        <w:ind w:firstLine="567"/>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附件：1.安防设施设备清单</w:t>
      </w:r>
    </w:p>
    <w:p w14:paraId="43A57F15">
      <w:pPr>
        <w:spacing w:line="500" w:lineRule="exact"/>
        <w:ind w:firstLine="1417" w:firstLineChars="501"/>
        <w:outlineLvl w:val="9"/>
        <w:rPr>
          <w:rFonts w:hint="default"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w:t>
      </w:r>
      <w:r>
        <w:rPr>
          <w:rFonts w:hint="default" w:ascii="华文仿宋" w:hAnsi="华文仿宋" w:cs="华文仿宋"/>
          <w:b w:val="0"/>
          <w:bCs w:val="0"/>
          <w:color w:val="000000"/>
          <w:sz w:val="28"/>
          <w:szCs w:val="28"/>
          <w:lang w:val="en-US" w:eastAsia="zh-CN"/>
        </w:rPr>
        <w:t>月考核指标</w:t>
      </w:r>
    </w:p>
    <w:p w14:paraId="164987C2">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63DA77B7">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1CCA63DE">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0B0B54E7">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0CFE1BC8">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55D19904">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328A0EA7">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4295D809">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7FD31F6B">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3103FFEF">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0BCCA5B5">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1D9E38C3">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1CC0C566">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5CDF7DB0">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25C7151C">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2D12034C">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6C65C2C1">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384BA2DF">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7E605FCA">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75F7278D">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32E498B1">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53B29200">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2796C029">
      <w:pPr>
        <w:keepNext w:val="0"/>
        <w:keepLines w:val="0"/>
        <w:pageBreakBefore w:val="0"/>
        <w:widowControl w:val="0"/>
        <w:kinsoku/>
        <w:wordWrap/>
        <w:overflowPunct/>
        <w:topLinePunct w:val="0"/>
        <w:autoSpaceDE/>
        <w:bidi w:val="0"/>
        <w:adjustRightInd/>
        <w:snapToGrid/>
        <w:spacing w:line="560" w:lineRule="exact"/>
        <w:ind w:firstLine="646"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附件</w:t>
      </w:r>
      <w:r>
        <w:rPr>
          <w:rFonts w:hint="eastAsia" w:ascii="仿宋_GB2312" w:hAnsi="仿宋_GB2312" w:eastAsia="仿宋_GB2312" w:cs="仿宋_GB2312"/>
          <w:color w:val="auto"/>
          <w:sz w:val="32"/>
          <w:szCs w:val="32"/>
          <w:lang w:val="en-US" w:eastAsia="zh-CN"/>
        </w:rPr>
        <w:t>1</w:t>
      </w:r>
    </w:p>
    <w:p w14:paraId="0FE9F57D">
      <w:pPr>
        <w:spacing w:before="72" w:line="221" w:lineRule="auto"/>
        <w:jc w:val="center"/>
        <w:rPr>
          <w:rFonts w:ascii="黑体" w:hAnsi="黑体" w:eastAsia="黑体" w:cs="黑体"/>
          <w:color w:val="auto"/>
          <w:sz w:val="36"/>
          <w:szCs w:val="36"/>
        </w:rPr>
      </w:pPr>
      <w:r>
        <w:rPr>
          <w:rFonts w:ascii="黑体" w:hAnsi="黑体" w:eastAsia="黑体" w:cs="黑体"/>
          <w:b/>
          <w:bCs/>
          <w:color w:val="auto"/>
          <w:spacing w:val="-7"/>
          <w:sz w:val="36"/>
          <w:szCs w:val="36"/>
        </w:rPr>
        <w:t>安防设施设备清单</w:t>
      </w:r>
    </w:p>
    <w:tbl>
      <w:tblPr>
        <w:tblStyle w:val="39"/>
        <w:tblW w:w="9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5"/>
        <w:gridCol w:w="1758"/>
        <w:gridCol w:w="609"/>
        <w:gridCol w:w="610"/>
        <w:gridCol w:w="909"/>
        <w:gridCol w:w="5438"/>
      </w:tblGrid>
      <w:tr w14:paraId="78207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545" w:type="dxa"/>
            <w:noWrap w:val="0"/>
            <w:vAlign w:val="center"/>
          </w:tcPr>
          <w:p w14:paraId="33B9CE4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758" w:type="dxa"/>
            <w:noWrap w:val="0"/>
            <w:vAlign w:val="center"/>
          </w:tcPr>
          <w:p w14:paraId="3AA6D7C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设施设备名称</w:t>
            </w:r>
          </w:p>
        </w:tc>
        <w:tc>
          <w:tcPr>
            <w:tcW w:w="609" w:type="dxa"/>
            <w:noWrap w:val="0"/>
            <w:vAlign w:val="center"/>
          </w:tcPr>
          <w:p w14:paraId="683E2E7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610" w:type="dxa"/>
            <w:noWrap w:val="0"/>
            <w:vAlign w:val="center"/>
          </w:tcPr>
          <w:p w14:paraId="32CF55B9">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单位</w:t>
            </w:r>
          </w:p>
        </w:tc>
        <w:tc>
          <w:tcPr>
            <w:tcW w:w="909" w:type="dxa"/>
            <w:noWrap w:val="0"/>
            <w:vAlign w:val="center"/>
          </w:tcPr>
          <w:p w14:paraId="7DA98F5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使用状</w:t>
            </w:r>
          </w:p>
          <w:p w14:paraId="624F33C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态</w:t>
            </w:r>
          </w:p>
        </w:tc>
        <w:tc>
          <w:tcPr>
            <w:tcW w:w="5438" w:type="dxa"/>
            <w:noWrap w:val="0"/>
            <w:vAlign w:val="center"/>
          </w:tcPr>
          <w:p w14:paraId="30AF004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0E9B4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jc w:val="center"/>
        </w:trPr>
        <w:tc>
          <w:tcPr>
            <w:tcW w:w="545" w:type="dxa"/>
            <w:noWrap w:val="0"/>
            <w:vAlign w:val="center"/>
          </w:tcPr>
          <w:p w14:paraId="7667EF1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58" w:type="dxa"/>
            <w:noWrap w:val="0"/>
            <w:vAlign w:val="center"/>
          </w:tcPr>
          <w:p w14:paraId="34CE744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视频监控系统</w:t>
            </w:r>
          </w:p>
        </w:tc>
        <w:tc>
          <w:tcPr>
            <w:tcW w:w="609" w:type="dxa"/>
            <w:noWrap w:val="0"/>
            <w:vAlign w:val="center"/>
          </w:tcPr>
          <w:p w14:paraId="25A274B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610" w:type="dxa"/>
            <w:noWrap w:val="0"/>
            <w:vAlign w:val="center"/>
          </w:tcPr>
          <w:p w14:paraId="1FA411F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2172D8A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16A9169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4台主机、1261个高清监控探头(20个与省教育厅联网、12个与市公安局联网)</w:t>
            </w:r>
          </w:p>
        </w:tc>
      </w:tr>
      <w:tr w14:paraId="06DF3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45" w:type="dxa"/>
            <w:noWrap w:val="0"/>
            <w:vAlign w:val="center"/>
          </w:tcPr>
          <w:p w14:paraId="347927B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758" w:type="dxa"/>
            <w:noWrap w:val="0"/>
            <w:vAlign w:val="center"/>
          </w:tcPr>
          <w:p w14:paraId="793686D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一键式报警柱</w:t>
            </w:r>
          </w:p>
        </w:tc>
        <w:tc>
          <w:tcPr>
            <w:tcW w:w="609" w:type="dxa"/>
            <w:noWrap w:val="0"/>
            <w:vAlign w:val="center"/>
          </w:tcPr>
          <w:p w14:paraId="1EDF936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610" w:type="dxa"/>
            <w:noWrap w:val="0"/>
            <w:vAlign w:val="center"/>
          </w:tcPr>
          <w:p w14:paraId="2B4BACE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4CEFE2A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4863F53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覆盖校园重点和人员密集区域</w:t>
            </w:r>
          </w:p>
        </w:tc>
      </w:tr>
      <w:tr w14:paraId="0799F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545" w:type="dxa"/>
            <w:noWrap w:val="0"/>
            <w:vAlign w:val="center"/>
          </w:tcPr>
          <w:p w14:paraId="26FCB6F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758" w:type="dxa"/>
            <w:noWrap w:val="0"/>
            <w:vAlign w:val="center"/>
          </w:tcPr>
          <w:p w14:paraId="06256EF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校园报警电话</w:t>
            </w:r>
          </w:p>
        </w:tc>
        <w:tc>
          <w:tcPr>
            <w:tcW w:w="609" w:type="dxa"/>
            <w:noWrap w:val="0"/>
            <w:vAlign w:val="center"/>
          </w:tcPr>
          <w:p w14:paraId="4ABE911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610" w:type="dxa"/>
            <w:noWrap w:val="0"/>
            <w:vAlign w:val="center"/>
          </w:tcPr>
          <w:p w14:paraId="3213577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部</w:t>
            </w:r>
          </w:p>
        </w:tc>
        <w:tc>
          <w:tcPr>
            <w:tcW w:w="909" w:type="dxa"/>
            <w:noWrap w:val="0"/>
            <w:vAlign w:val="center"/>
          </w:tcPr>
          <w:p w14:paraId="6C487AA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1A68A52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8078110报警电话</w:t>
            </w:r>
          </w:p>
        </w:tc>
      </w:tr>
      <w:tr w14:paraId="6BAC6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jc w:val="center"/>
        </w:trPr>
        <w:tc>
          <w:tcPr>
            <w:tcW w:w="545" w:type="dxa"/>
            <w:noWrap w:val="0"/>
            <w:vAlign w:val="center"/>
          </w:tcPr>
          <w:p w14:paraId="68FC7D7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758" w:type="dxa"/>
            <w:noWrap w:val="0"/>
            <w:vAlign w:val="center"/>
          </w:tcPr>
          <w:p w14:paraId="4291B68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车辆管理系统</w:t>
            </w:r>
          </w:p>
        </w:tc>
        <w:tc>
          <w:tcPr>
            <w:tcW w:w="609" w:type="dxa"/>
            <w:noWrap w:val="0"/>
            <w:vAlign w:val="center"/>
          </w:tcPr>
          <w:p w14:paraId="48B15C9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610" w:type="dxa"/>
            <w:noWrap w:val="0"/>
            <w:vAlign w:val="center"/>
          </w:tcPr>
          <w:p w14:paraId="2A3D817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5968452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63B01D0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分别控制教学区、家属区、9号楼地下车库、6号楼地下车库4个区域</w:t>
            </w:r>
          </w:p>
        </w:tc>
      </w:tr>
      <w:tr w14:paraId="13FDE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jc w:val="center"/>
        </w:trPr>
        <w:tc>
          <w:tcPr>
            <w:tcW w:w="545" w:type="dxa"/>
            <w:noWrap w:val="0"/>
            <w:vAlign w:val="center"/>
          </w:tcPr>
          <w:p w14:paraId="3DBA229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758" w:type="dxa"/>
            <w:noWrap w:val="0"/>
            <w:vAlign w:val="center"/>
          </w:tcPr>
          <w:p w14:paraId="25C1003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电动伸缩门</w:t>
            </w:r>
          </w:p>
        </w:tc>
        <w:tc>
          <w:tcPr>
            <w:tcW w:w="609" w:type="dxa"/>
            <w:noWrap w:val="0"/>
            <w:vAlign w:val="center"/>
          </w:tcPr>
          <w:p w14:paraId="56E7BDE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610" w:type="dxa"/>
            <w:noWrap w:val="0"/>
            <w:vAlign w:val="center"/>
          </w:tcPr>
          <w:p w14:paraId="26B081C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20E0E12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1501C40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南大门中、西、东通道各1套，家属区大门1套，中江酒店1套，北门1套</w:t>
            </w:r>
          </w:p>
        </w:tc>
      </w:tr>
      <w:tr w14:paraId="578F8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545" w:type="dxa"/>
            <w:noWrap w:val="0"/>
            <w:vAlign w:val="center"/>
          </w:tcPr>
          <w:p w14:paraId="22A6AB8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758" w:type="dxa"/>
            <w:noWrap w:val="0"/>
            <w:vAlign w:val="center"/>
          </w:tcPr>
          <w:p w14:paraId="16B2779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电动巡逻车</w:t>
            </w:r>
          </w:p>
        </w:tc>
        <w:tc>
          <w:tcPr>
            <w:tcW w:w="609" w:type="dxa"/>
            <w:noWrap w:val="0"/>
            <w:vAlign w:val="center"/>
          </w:tcPr>
          <w:p w14:paraId="19F42C8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610" w:type="dxa"/>
            <w:noWrap w:val="0"/>
            <w:vAlign w:val="center"/>
          </w:tcPr>
          <w:p w14:paraId="1A04285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909" w:type="dxa"/>
            <w:noWrap w:val="0"/>
            <w:vAlign w:val="center"/>
          </w:tcPr>
          <w:p w14:paraId="5AABC8B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05C7404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四座、充电、全封闭、带警灯警报系统</w:t>
            </w:r>
          </w:p>
        </w:tc>
      </w:tr>
      <w:tr w14:paraId="71146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545" w:type="dxa"/>
            <w:noWrap w:val="0"/>
            <w:vAlign w:val="center"/>
          </w:tcPr>
          <w:p w14:paraId="19BE68A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758" w:type="dxa"/>
            <w:noWrap w:val="0"/>
            <w:vAlign w:val="center"/>
          </w:tcPr>
          <w:p w14:paraId="083A551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电动巡逻摩托车</w:t>
            </w:r>
          </w:p>
        </w:tc>
        <w:tc>
          <w:tcPr>
            <w:tcW w:w="609" w:type="dxa"/>
            <w:noWrap w:val="0"/>
            <w:vAlign w:val="center"/>
          </w:tcPr>
          <w:p w14:paraId="0C980DF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610" w:type="dxa"/>
            <w:noWrap w:val="0"/>
            <w:vAlign w:val="center"/>
          </w:tcPr>
          <w:p w14:paraId="6683F01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辆</w:t>
            </w:r>
          </w:p>
        </w:tc>
        <w:tc>
          <w:tcPr>
            <w:tcW w:w="909" w:type="dxa"/>
            <w:noWrap w:val="0"/>
            <w:vAlign w:val="center"/>
          </w:tcPr>
          <w:p w14:paraId="67EF5E8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5AA39F0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充电、带警灯警报系统</w:t>
            </w:r>
          </w:p>
        </w:tc>
      </w:tr>
      <w:tr w14:paraId="3F53F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45" w:type="dxa"/>
            <w:noWrap w:val="0"/>
            <w:vAlign w:val="center"/>
          </w:tcPr>
          <w:p w14:paraId="330AB8B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758" w:type="dxa"/>
            <w:noWrap w:val="0"/>
            <w:vAlign w:val="center"/>
          </w:tcPr>
          <w:p w14:paraId="1D792EF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空调</w:t>
            </w:r>
          </w:p>
        </w:tc>
        <w:tc>
          <w:tcPr>
            <w:tcW w:w="609" w:type="dxa"/>
            <w:noWrap w:val="0"/>
            <w:vAlign w:val="center"/>
          </w:tcPr>
          <w:p w14:paraId="02E439D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610" w:type="dxa"/>
            <w:noWrap w:val="0"/>
            <w:vAlign w:val="center"/>
          </w:tcPr>
          <w:p w14:paraId="5D1139D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909" w:type="dxa"/>
            <w:noWrap w:val="0"/>
            <w:vAlign w:val="center"/>
          </w:tcPr>
          <w:p w14:paraId="36861B5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4A11B45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安装于视频监控室</w:t>
            </w:r>
          </w:p>
        </w:tc>
      </w:tr>
      <w:tr w14:paraId="28545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545" w:type="dxa"/>
            <w:noWrap w:val="0"/>
            <w:vAlign w:val="center"/>
          </w:tcPr>
          <w:p w14:paraId="4BBAB03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758" w:type="dxa"/>
            <w:noWrap w:val="0"/>
            <w:vAlign w:val="center"/>
          </w:tcPr>
          <w:p w14:paraId="01BB1E4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移动岗亭(含空</w:t>
            </w:r>
          </w:p>
          <w:p w14:paraId="1A2FB2A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调)</w:t>
            </w:r>
          </w:p>
        </w:tc>
        <w:tc>
          <w:tcPr>
            <w:tcW w:w="609" w:type="dxa"/>
            <w:noWrap w:val="0"/>
            <w:vAlign w:val="center"/>
          </w:tcPr>
          <w:p w14:paraId="3AAB6A8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610" w:type="dxa"/>
            <w:noWrap w:val="0"/>
            <w:vAlign w:val="center"/>
          </w:tcPr>
          <w:p w14:paraId="2479707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909" w:type="dxa"/>
            <w:noWrap w:val="0"/>
            <w:vAlign w:val="center"/>
          </w:tcPr>
          <w:p w14:paraId="3C8505E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5F106A8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南大门、家属区大门、家属区1号岗各1个</w:t>
            </w:r>
          </w:p>
        </w:tc>
      </w:tr>
      <w:tr w14:paraId="35985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545" w:type="dxa"/>
            <w:noWrap w:val="0"/>
            <w:vAlign w:val="center"/>
          </w:tcPr>
          <w:p w14:paraId="0A4FF1C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758" w:type="dxa"/>
            <w:noWrap w:val="0"/>
            <w:vAlign w:val="center"/>
          </w:tcPr>
          <w:p w14:paraId="092BA89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移动式彩钢房</w:t>
            </w:r>
          </w:p>
        </w:tc>
        <w:tc>
          <w:tcPr>
            <w:tcW w:w="609" w:type="dxa"/>
            <w:noWrap w:val="0"/>
            <w:vAlign w:val="center"/>
          </w:tcPr>
          <w:p w14:paraId="23B64BA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610" w:type="dxa"/>
            <w:noWrap w:val="0"/>
            <w:vAlign w:val="center"/>
          </w:tcPr>
          <w:p w14:paraId="1619B1E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909" w:type="dxa"/>
            <w:noWrap w:val="0"/>
            <w:vAlign w:val="center"/>
          </w:tcPr>
          <w:p w14:paraId="002C6FA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3AF0BD0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教学区与家属区隔离围墙处</w:t>
            </w:r>
          </w:p>
        </w:tc>
      </w:tr>
      <w:tr w14:paraId="29B9F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545" w:type="dxa"/>
            <w:noWrap w:val="0"/>
            <w:vAlign w:val="center"/>
          </w:tcPr>
          <w:p w14:paraId="5A1CD3C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758" w:type="dxa"/>
            <w:noWrap w:val="0"/>
            <w:vAlign w:val="center"/>
          </w:tcPr>
          <w:p w14:paraId="01A105F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门禁管理系统</w:t>
            </w:r>
          </w:p>
        </w:tc>
        <w:tc>
          <w:tcPr>
            <w:tcW w:w="609" w:type="dxa"/>
            <w:noWrap w:val="0"/>
            <w:vAlign w:val="center"/>
          </w:tcPr>
          <w:p w14:paraId="18496AA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610" w:type="dxa"/>
            <w:noWrap w:val="0"/>
            <w:vAlign w:val="center"/>
          </w:tcPr>
          <w:p w14:paraId="41D51BD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0D57EAB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744BBCF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南大门2套、家属区大门1套</w:t>
            </w:r>
          </w:p>
        </w:tc>
      </w:tr>
      <w:tr w14:paraId="5E63F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545" w:type="dxa"/>
            <w:noWrap w:val="0"/>
            <w:vAlign w:val="center"/>
          </w:tcPr>
          <w:p w14:paraId="07C3B75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758" w:type="dxa"/>
            <w:noWrap w:val="0"/>
            <w:vAlign w:val="center"/>
          </w:tcPr>
          <w:p w14:paraId="5E6807A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电子哨兵</w:t>
            </w:r>
          </w:p>
        </w:tc>
        <w:tc>
          <w:tcPr>
            <w:tcW w:w="609" w:type="dxa"/>
            <w:noWrap w:val="0"/>
            <w:vAlign w:val="center"/>
          </w:tcPr>
          <w:p w14:paraId="5523460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610" w:type="dxa"/>
            <w:noWrap w:val="0"/>
            <w:vAlign w:val="center"/>
          </w:tcPr>
          <w:p w14:paraId="6002D63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909" w:type="dxa"/>
            <w:noWrap w:val="0"/>
            <w:vAlign w:val="center"/>
          </w:tcPr>
          <w:p w14:paraId="3D0E57F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36E5B95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南大门西侧2套、南大门东侧2套、隔离门1套</w:t>
            </w:r>
          </w:p>
        </w:tc>
      </w:tr>
      <w:tr w14:paraId="6366F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545" w:type="dxa"/>
            <w:noWrap w:val="0"/>
            <w:vAlign w:val="center"/>
          </w:tcPr>
          <w:p w14:paraId="5523938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1758" w:type="dxa"/>
            <w:noWrap w:val="0"/>
            <w:vAlign w:val="center"/>
          </w:tcPr>
          <w:p w14:paraId="4F47E11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防撞钢梁</w:t>
            </w:r>
          </w:p>
        </w:tc>
        <w:tc>
          <w:tcPr>
            <w:tcW w:w="609" w:type="dxa"/>
            <w:noWrap w:val="0"/>
            <w:vAlign w:val="center"/>
          </w:tcPr>
          <w:p w14:paraId="3102E8D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610" w:type="dxa"/>
            <w:noWrap w:val="0"/>
            <w:vAlign w:val="center"/>
          </w:tcPr>
          <w:p w14:paraId="7B8B787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组</w:t>
            </w:r>
          </w:p>
        </w:tc>
        <w:tc>
          <w:tcPr>
            <w:tcW w:w="909" w:type="dxa"/>
            <w:noWrap w:val="0"/>
            <w:vAlign w:val="center"/>
          </w:tcPr>
          <w:p w14:paraId="53973A8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2CE4861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钢制</w:t>
            </w:r>
          </w:p>
        </w:tc>
      </w:tr>
      <w:tr w14:paraId="2E7E7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jc w:val="center"/>
        </w:trPr>
        <w:tc>
          <w:tcPr>
            <w:tcW w:w="545" w:type="dxa"/>
            <w:noWrap w:val="0"/>
            <w:vAlign w:val="center"/>
          </w:tcPr>
          <w:p w14:paraId="084441E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1758" w:type="dxa"/>
            <w:noWrap w:val="0"/>
            <w:vAlign w:val="center"/>
          </w:tcPr>
          <w:p w14:paraId="1A0D0DB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防暴器材</w:t>
            </w:r>
          </w:p>
        </w:tc>
        <w:tc>
          <w:tcPr>
            <w:tcW w:w="609" w:type="dxa"/>
            <w:noWrap w:val="0"/>
            <w:vAlign w:val="center"/>
          </w:tcPr>
          <w:p w14:paraId="0529186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610" w:type="dxa"/>
            <w:noWrap w:val="0"/>
            <w:vAlign w:val="center"/>
          </w:tcPr>
          <w:p w14:paraId="3A58FB5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套/件</w:t>
            </w:r>
          </w:p>
        </w:tc>
        <w:tc>
          <w:tcPr>
            <w:tcW w:w="909" w:type="dxa"/>
            <w:noWrap w:val="0"/>
            <w:vAlign w:val="center"/>
          </w:tcPr>
          <w:p w14:paraId="47AC027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正常</w:t>
            </w:r>
          </w:p>
        </w:tc>
        <w:tc>
          <w:tcPr>
            <w:tcW w:w="5438" w:type="dxa"/>
            <w:noWrap w:val="0"/>
            <w:vAlign w:val="center"/>
          </w:tcPr>
          <w:p w14:paraId="2484218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盾牌、钢叉、头盔、防刺服、防暴棍、防刺手套、手电、武装带等</w:t>
            </w:r>
          </w:p>
        </w:tc>
      </w:tr>
    </w:tbl>
    <w:p w14:paraId="25199993">
      <w:pPr>
        <w:rPr>
          <w:rFonts w:hint="eastAsia"/>
          <w:color w:val="auto"/>
          <w:highlight w:val="none"/>
        </w:rPr>
      </w:pPr>
    </w:p>
    <w:p w14:paraId="4E6B5916">
      <w:pPr>
        <w:rPr>
          <w:rFonts w:hint="eastAsia"/>
          <w:color w:val="auto"/>
          <w:highlight w:val="none"/>
        </w:rPr>
      </w:pPr>
    </w:p>
    <w:p w14:paraId="6357D84B">
      <w:pPr>
        <w:rPr>
          <w:rFonts w:hint="eastAsia"/>
          <w:color w:val="auto"/>
          <w:highlight w:val="none"/>
        </w:rPr>
      </w:pPr>
    </w:p>
    <w:p w14:paraId="024CA4BB">
      <w:pPr>
        <w:rPr>
          <w:rFonts w:hint="eastAsia"/>
          <w:color w:val="auto"/>
          <w:highlight w:val="none"/>
        </w:rPr>
      </w:pPr>
    </w:p>
    <w:p w14:paraId="772265F7">
      <w:pPr>
        <w:rPr>
          <w:rFonts w:hint="eastAsia"/>
          <w:color w:val="auto"/>
          <w:highlight w:val="none"/>
        </w:rPr>
      </w:pPr>
    </w:p>
    <w:p w14:paraId="156D0B1D">
      <w:pPr>
        <w:keepNext w:val="0"/>
        <w:keepLines w:val="0"/>
        <w:pageBreakBefore w:val="0"/>
        <w:widowControl w:val="0"/>
        <w:kinsoku/>
        <w:wordWrap/>
        <w:overflowPunct/>
        <w:topLinePunct w:val="0"/>
        <w:autoSpaceDE/>
        <w:bidi w:val="0"/>
        <w:adjustRightInd/>
        <w:snapToGrid/>
        <w:spacing w:line="560" w:lineRule="exact"/>
        <w:ind w:firstLine="646"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附件</w:t>
      </w:r>
      <w:r>
        <w:rPr>
          <w:rFonts w:hint="eastAsia" w:ascii="仿宋_GB2312" w:hAnsi="仿宋_GB2312" w:eastAsia="仿宋_GB2312" w:cs="仿宋_GB2312"/>
          <w:color w:val="auto"/>
          <w:sz w:val="32"/>
          <w:szCs w:val="32"/>
          <w:lang w:val="en-US" w:eastAsia="zh-CN"/>
        </w:rPr>
        <w:t>2</w:t>
      </w:r>
    </w:p>
    <w:p w14:paraId="4A85CA26">
      <w:pPr>
        <w:spacing w:before="72" w:line="221" w:lineRule="auto"/>
        <w:jc w:val="center"/>
        <w:rPr>
          <w:rFonts w:ascii="黑体" w:hAnsi="黑体" w:eastAsia="黑体" w:cs="黑体"/>
          <w:b/>
          <w:bCs/>
          <w:color w:val="auto"/>
          <w:spacing w:val="-7"/>
          <w:sz w:val="36"/>
          <w:szCs w:val="36"/>
        </w:rPr>
      </w:pPr>
      <w:r>
        <w:rPr>
          <w:rFonts w:ascii="黑体" w:hAnsi="黑体" w:eastAsia="黑体" w:cs="黑体"/>
          <w:b/>
          <w:bCs/>
          <w:color w:val="auto"/>
          <w:spacing w:val="-7"/>
          <w:sz w:val="36"/>
          <w:szCs w:val="36"/>
        </w:rPr>
        <w:t xml:space="preserve">月考核指标       </w:t>
      </w:r>
    </w:p>
    <w:p w14:paraId="5B91CC55">
      <w:pPr>
        <w:spacing w:before="72" w:line="221" w:lineRule="auto"/>
        <w:jc w:val="center"/>
        <w:rPr>
          <w:rFonts w:hint="eastAsia" w:ascii="黑体" w:hAnsi="黑体" w:eastAsia="黑体" w:cs="黑体"/>
          <w:b w:val="0"/>
          <w:bCs w:val="0"/>
          <w:color w:val="auto"/>
          <w:spacing w:val="-7"/>
          <w:sz w:val="28"/>
          <w:szCs w:val="28"/>
        </w:rPr>
      </w:pPr>
      <w:r>
        <w:rPr>
          <w:rFonts w:hint="eastAsia" w:ascii="黑体" w:hAnsi="黑体" w:eastAsia="黑体" w:cs="黑体"/>
          <w:b/>
          <w:bCs/>
          <w:color w:val="auto"/>
          <w:spacing w:val="-7"/>
          <w:sz w:val="36"/>
          <w:szCs w:val="36"/>
          <w:lang w:val="en-US" w:eastAsia="zh-CN"/>
        </w:rPr>
        <w:t xml:space="preserve">                                     </w:t>
      </w:r>
      <w:r>
        <w:rPr>
          <w:rFonts w:ascii="黑体" w:hAnsi="黑体" w:eastAsia="黑体" w:cs="黑体"/>
          <w:b w:val="0"/>
          <w:bCs w:val="0"/>
          <w:color w:val="auto"/>
          <w:spacing w:val="-7"/>
          <w:sz w:val="28"/>
          <w:szCs w:val="28"/>
        </w:rPr>
        <w:t xml:space="preserve">   月</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16"/>
        <w:gridCol w:w="6626"/>
        <w:gridCol w:w="317"/>
        <w:gridCol w:w="1189"/>
        <w:gridCol w:w="317"/>
        <w:gridCol w:w="317"/>
      </w:tblGrid>
      <w:tr w14:paraId="2575C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0" w:type="auto"/>
            <w:vMerge w:val="restart"/>
            <w:tcBorders>
              <w:bottom w:val="nil"/>
            </w:tcBorders>
            <w:noWrap w:val="0"/>
            <w:vAlign w:val="center"/>
          </w:tcPr>
          <w:p w14:paraId="107C015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0" w:type="auto"/>
            <w:vMerge w:val="restart"/>
            <w:tcBorders>
              <w:bottom w:val="nil"/>
            </w:tcBorders>
            <w:noWrap w:val="0"/>
            <w:vAlign w:val="center"/>
          </w:tcPr>
          <w:p w14:paraId="5843A68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考核内容</w:t>
            </w:r>
          </w:p>
        </w:tc>
        <w:tc>
          <w:tcPr>
            <w:tcW w:w="0" w:type="auto"/>
            <w:vMerge w:val="restart"/>
            <w:tcBorders>
              <w:bottom w:val="nil"/>
            </w:tcBorders>
            <w:noWrap w:val="0"/>
            <w:vAlign w:val="center"/>
          </w:tcPr>
          <w:p w14:paraId="775BB91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分值</w:t>
            </w:r>
          </w:p>
        </w:tc>
        <w:tc>
          <w:tcPr>
            <w:tcW w:w="0" w:type="auto"/>
            <w:vMerge w:val="restart"/>
            <w:tcBorders>
              <w:bottom w:val="nil"/>
            </w:tcBorders>
            <w:noWrap w:val="0"/>
            <w:vAlign w:val="center"/>
          </w:tcPr>
          <w:p w14:paraId="29347F3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评分标准</w:t>
            </w:r>
          </w:p>
        </w:tc>
        <w:tc>
          <w:tcPr>
            <w:tcW w:w="0" w:type="auto"/>
            <w:gridSpan w:val="2"/>
            <w:noWrap w:val="0"/>
            <w:vAlign w:val="center"/>
          </w:tcPr>
          <w:p w14:paraId="2DC7BC1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评分</w:t>
            </w:r>
          </w:p>
        </w:tc>
      </w:tr>
      <w:tr w14:paraId="6C9D7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0" w:type="auto"/>
            <w:vMerge w:val="continue"/>
            <w:tcBorders>
              <w:top w:val="nil"/>
            </w:tcBorders>
            <w:noWrap w:val="0"/>
            <w:textDirection w:val="tbRlV"/>
            <w:vAlign w:val="center"/>
          </w:tcPr>
          <w:p w14:paraId="691B9BE3">
            <w:pPr>
              <w:jc w:val="center"/>
              <w:rPr>
                <w:rFonts w:hint="eastAsia" w:ascii="仿宋" w:hAnsi="仿宋" w:eastAsia="仿宋" w:cs="仿宋"/>
                <w:color w:val="auto"/>
                <w:sz w:val="24"/>
                <w:szCs w:val="24"/>
              </w:rPr>
            </w:pPr>
          </w:p>
        </w:tc>
        <w:tc>
          <w:tcPr>
            <w:tcW w:w="0" w:type="auto"/>
            <w:vMerge w:val="continue"/>
            <w:tcBorders>
              <w:top w:val="nil"/>
            </w:tcBorders>
            <w:noWrap w:val="0"/>
            <w:vAlign w:val="center"/>
          </w:tcPr>
          <w:p w14:paraId="60F512E5">
            <w:pPr>
              <w:jc w:val="center"/>
              <w:rPr>
                <w:rFonts w:hint="eastAsia" w:ascii="仿宋" w:hAnsi="仿宋" w:eastAsia="仿宋" w:cs="仿宋"/>
                <w:color w:val="auto"/>
                <w:sz w:val="24"/>
                <w:szCs w:val="24"/>
              </w:rPr>
            </w:pPr>
          </w:p>
        </w:tc>
        <w:tc>
          <w:tcPr>
            <w:tcW w:w="0" w:type="auto"/>
            <w:vMerge w:val="continue"/>
            <w:tcBorders>
              <w:top w:val="nil"/>
            </w:tcBorders>
            <w:noWrap w:val="0"/>
            <w:textDirection w:val="tbRlV"/>
            <w:vAlign w:val="center"/>
          </w:tcPr>
          <w:p w14:paraId="0083A785">
            <w:pPr>
              <w:jc w:val="center"/>
              <w:rPr>
                <w:rFonts w:hint="eastAsia" w:ascii="仿宋" w:hAnsi="仿宋" w:eastAsia="仿宋" w:cs="仿宋"/>
                <w:color w:val="auto"/>
                <w:sz w:val="24"/>
                <w:szCs w:val="24"/>
              </w:rPr>
            </w:pPr>
          </w:p>
        </w:tc>
        <w:tc>
          <w:tcPr>
            <w:tcW w:w="0" w:type="auto"/>
            <w:vMerge w:val="continue"/>
            <w:tcBorders>
              <w:top w:val="nil"/>
            </w:tcBorders>
            <w:noWrap w:val="0"/>
            <w:vAlign w:val="center"/>
          </w:tcPr>
          <w:p w14:paraId="59BCB243">
            <w:pPr>
              <w:jc w:val="center"/>
              <w:rPr>
                <w:rFonts w:hint="eastAsia" w:ascii="仿宋" w:hAnsi="仿宋" w:eastAsia="仿宋" w:cs="仿宋"/>
                <w:color w:val="auto"/>
                <w:sz w:val="24"/>
                <w:szCs w:val="24"/>
              </w:rPr>
            </w:pPr>
          </w:p>
        </w:tc>
        <w:tc>
          <w:tcPr>
            <w:tcW w:w="0" w:type="auto"/>
            <w:noWrap w:val="0"/>
            <w:vAlign w:val="center"/>
          </w:tcPr>
          <w:p w14:paraId="358A007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自评</w:t>
            </w:r>
          </w:p>
        </w:tc>
        <w:tc>
          <w:tcPr>
            <w:tcW w:w="0" w:type="auto"/>
            <w:noWrap w:val="0"/>
            <w:vAlign w:val="center"/>
          </w:tcPr>
          <w:p w14:paraId="15BA988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考核</w:t>
            </w:r>
          </w:p>
        </w:tc>
      </w:tr>
      <w:tr w14:paraId="64E4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0" w:type="auto"/>
            <w:noWrap w:val="0"/>
            <w:vAlign w:val="center"/>
          </w:tcPr>
          <w:p w14:paraId="1EA2F96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0" w:type="auto"/>
            <w:noWrap w:val="0"/>
            <w:vAlign w:val="center"/>
          </w:tcPr>
          <w:p w14:paraId="1A846639">
            <w:pPr>
              <w:jc w:val="both"/>
              <w:rPr>
                <w:rFonts w:hint="eastAsia" w:ascii="仿宋" w:hAnsi="仿宋" w:eastAsia="仿宋" w:cs="仿宋"/>
                <w:color w:val="auto"/>
                <w:sz w:val="24"/>
                <w:szCs w:val="24"/>
              </w:rPr>
            </w:pPr>
            <w:r>
              <w:rPr>
                <w:rFonts w:hint="eastAsia" w:ascii="仿宋" w:hAnsi="仿宋" w:eastAsia="仿宋" w:cs="仿宋"/>
                <w:color w:val="auto"/>
                <w:sz w:val="24"/>
                <w:szCs w:val="24"/>
              </w:rPr>
              <w:t>认真落实上级和学院有关安全稳定决策部署，校园无安全责任事故发生。</w:t>
            </w:r>
          </w:p>
        </w:tc>
        <w:tc>
          <w:tcPr>
            <w:tcW w:w="0" w:type="auto"/>
            <w:noWrap w:val="0"/>
            <w:vAlign w:val="center"/>
          </w:tcPr>
          <w:p w14:paraId="0FB9E24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0" w:type="auto"/>
            <w:noWrap w:val="0"/>
            <w:vAlign w:val="center"/>
          </w:tcPr>
          <w:p w14:paraId="5E6660D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发生一起扣3分</w:t>
            </w:r>
          </w:p>
        </w:tc>
        <w:tc>
          <w:tcPr>
            <w:tcW w:w="0" w:type="auto"/>
            <w:noWrap w:val="0"/>
            <w:vAlign w:val="center"/>
          </w:tcPr>
          <w:p w14:paraId="281921FB">
            <w:pPr>
              <w:jc w:val="center"/>
              <w:rPr>
                <w:rFonts w:hint="eastAsia" w:ascii="仿宋" w:hAnsi="仿宋" w:eastAsia="仿宋" w:cs="仿宋"/>
                <w:color w:val="auto"/>
                <w:sz w:val="24"/>
                <w:szCs w:val="24"/>
              </w:rPr>
            </w:pPr>
          </w:p>
        </w:tc>
        <w:tc>
          <w:tcPr>
            <w:tcW w:w="0" w:type="auto"/>
            <w:noWrap w:val="0"/>
            <w:vAlign w:val="center"/>
          </w:tcPr>
          <w:p w14:paraId="1E9635B4">
            <w:pPr>
              <w:jc w:val="center"/>
              <w:rPr>
                <w:rFonts w:hint="eastAsia" w:ascii="仿宋" w:hAnsi="仿宋" w:eastAsia="仿宋" w:cs="仿宋"/>
                <w:color w:val="auto"/>
                <w:sz w:val="24"/>
                <w:szCs w:val="24"/>
              </w:rPr>
            </w:pPr>
          </w:p>
        </w:tc>
      </w:tr>
      <w:tr w14:paraId="61026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0" w:type="auto"/>
            <w:noWrap w:val="0"/>
            <w:vAlign w:val="center"/>
          </w:tcPr>
          <w:p w14:paraId="57ABEC4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0" w:type="auto"/>
            <w:noWrap w:val="0"/>
            <w:vAlign w:val="center"/>
          </w:tcPr>
          <w:p w14:paraId="5224F6A3">
            <w:pPr>
              <w:jc w:val="both"/>
              <w:rPr>
                <w:rFonts w:hint="eastAsia" w:ascii="仿宋" w:hAnsi="仿宋" w:eastAsia="仿宋" w:cs="仿宋"/>
                <w:color w:val="auto"/>
                <w:sz w:val="24"/>
                <w:szCs w:val="24"/>
              </w:rPr>
            </w:pPr>
            <w:r>
              <w:rPr>
                <w:rFonts w:hint="eastAsia" w:ascii="仿宋" w:hAnsi="仿宋" w:eastAsia="仿宋" w:cs="仿宋"/>
                <w:color w:val="auto"/>
                <w:sz w:val="24"/>
                <w:szCs w:val="24"/>
              </w:rPr>
              <w:t>定期在安保队伍中开展政治理论、职业道德、遵章守纪、文明执勤、爱岗敬业教育培训活动。安保人员无违反校纪校规现象。</w:t>
            </w:r>
          </w:p>
        </w:tc>
        <w:tc>
          <w:tcPr>
            <w:tcW w:w="0" w:type="auto"/>
            <w:noWrap w:val="0"/>
            <w:vAlign w:val="center"/>
          </w:tcPr>
          <w:p w14:paraId="02BE4AA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0" w:type="auto"/>
            <w:noWrap w:val="0"/>
            <w:vAlign w:val="center"/>
          </w:tcPr>
          <w:p w14:paraId="301DA55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发生一起扣2分</w:t>
            </w:r>
          </w:p>
        </w:tc>
        <w:tc>
          <w:tcPr>
            <w:tcW w:w="0" w:type="auto"/>
            <w:noWrap w:val="0"/>
            <w:vAlign w:val="center"/>
          </w:tcPr>
          <w:p w14:paraId="094F72D1">
            <w:pPr>
              <w:jc w:val="center"/>
              <w:rPr>
                <w:rFonts w:hint="eastAsia" w:ascii="仿宋" w:hAnsi="仿宋" w:eastAsia="仿宋" w:cs="仿宋"/>
                <w:color w:val="auto"/>
                <w:sz w:val="24"/>
                <w:szCs w:val="24"/>
              </w:rPr>
            </w:pPr>
          </w:p>
        </w:tc>
        <w:tc>
          <w:tcPr>
            <w:tcW w:w="0" w:type="auto"/>
            <w:noWrap w:val="0"/>
            <w:vAlign w:val="center"/>
          </w:tcPr>
          <w:p w14:paraId="316BFB9C">
            <w:pPr>
              <w:jc w:val="center"/>
              <w:rPr>
                <w:rFonts w:hint="eastAsia" w:ascii="仿宋" w:hAnsi="仿宋" w:eastAsia="仿宋" w:cs="仿宋"/>
                <w:color w:val="auto"/>
                <w:sz w:val="24"/>
                <w:szCs w:val="24"/>
              </w:rPr>
            </w:pPr>
          </w:p>
        </w:tc>
      </w:tr>
      <w:tr w14:paraId="3FD4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jc w:val="center"/>
        </w:trPr>
        <w:tc>
          <w:tcPr>
            <w:tcW w:w="0" w:type="auto"/>
            <w:noWrap w:val="0"/>
            <w:vAlign w:val="center"/>
          </w:tcPr>
          <w:p w14:paraId="5ED6ECB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0" w:type="auto"/>
            <w:noWrap w:val="0"/>
            <w:vAlign w:val="center"/>
          </w:tcPr>
          <w:p w14:paraId="2CBAAB4B">
            <w:pPr>
              <w:jc w:val="both"/>
              <w:rPr>
                <w:rFonts w:hint="eastAsia" w:ascii="仿宋" w:hAnsi="仿宋" w:eastAsia="仿宋" w:cs="仿宋"/>
                <w:color w:val="auto"/>
                <w:sz w:val="24"/>
                <w:szCs w:val="24"/>
              </w:rPr>
            </w:pPr>
            <w:r>
              <w:rPr>
                <w:rFonts w:hint="eastAsia" w:ascii="仿宋" w:hAnsi="仿宋" w:eastAsia="仿宋" w:cs="仿宋"/>
                <w:color w:val="auto"/>
                <w:sz w:val="24"/>
                <w:szCs w:val="24"/>
              </w:rPr>
              <w:t>每日对校园各区域的人员安全、建筑安全、设施安全、设备安全、消防安全进行检查。各类工作记录、隐患排查、出入人员及车辆登记“三本台帐”齐全完整。</w:t>
            </w:r>
          </w:p>
        </w:tc>
        <w:tc>
          <w:tcPr>
            <w:tcW w:w="0" w:type="auto"/>
            <w:noWrap w:val="0"/>
            <w:vAlign w:val="center"/>
          </w:tcPr>
          <w:p w14:paraId="3A30C7C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0" w:type="auto"/>
            <w:noWrap w:val="0"/>
            <w:vAlign w:val="center"/>
          </w:tcPr>
          <w:p w14:paraId="4799949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缺失一项扣3分</w:t>
            </w:r>
          </w:p>
        </w:tc>
        <w:tc>
          <w:tcPr>
            <w:tcW w:w="0" w:type="auto"/>
            <w:noWrap w:val="0"/>
            <w:vAlign w:val="center"/>
          </w:tcPr>
          <w:p w14:paraId="4BAB97DF">
            <w:pPr>
              <w:jc w:val="center"/>
              <w:rPr>
                <w:rFonts w:hint="eastAsia" w:ascii="仿宋" w:hAnsi="仿宋" w:eastAsia="仿宋" w:cs="仿宋"/>
                <w:color w:val="auto"/>
                <w:sz w:val="24"/>
                <w:szCs w:val="24"/>
              </w:rPr>
            </w:pPr>
          </w:p>
        </w:tc>
        <w:tc>
          <w:tcPr>
            <w:tcW w:w="0" w:type="auto"/>
            <w:noWrap w:val="0"/>
            <w:vAlign w:val="center"/>
          </w:tcPr>
          <w:p w14:paraId="005B5304">
            <w:pPr>
              <w:jc w:val="center"/>
              <w:rPr>
                <w:rFonts w:hint="eastAsia" w:ascii="仿宋" w:hAnsi="仿宋" w:eastAsia="仿宋" w:cs="仿宋"/>
                <w:color w:val="auto"/>
                <w:sz w:val="24"/>
                <w:szCs w:val="24"/>
              </w:rPr>
            </w:pPr>
          </w:p>
        </w:tc>
      </w:tr>
      <w:tr w14:paraId="0752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jc w:val="center"/>
        </w:trPr>
        <w:tc>
          <w:tcPr>
            <w:tcW w:w="0" w:type="auto"/>
            <w:noWrap w:val="0"/>
            <w:vAlign w:val="center"/>
          </w:tcPr>
          <w:p w14:paraId="38E4185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0" w:type="auto"/>
            <w:noWrap w:val="0"/>
            <w:vAlign w:val="center"/>
          </w:tcPr>
          <w:p w14:paraId="45BCBD27">
            <w:pPr>
              <w:jc w:val="both"/>
              <w:rPr>
                <w:rFonts w:hint="eastAsia" w:ascii="仿宋" w:hAnsi="仿宋" w:eastAsia="仿宋" w:cs="仿宋"/>
                <w:color w:val="auto"/>
                <w:sz w:val="24"/>
                <w:szCs w:val="24"/>
              </w:rPr>
            </w:pPr>
            <w:r>
              <w:rPr>
                <w:rFonts w:hint="eastAsia" w:ascii="仿宋" w:hAnsi="仿宋" w:eastAsia="仿宋" w:cs="仿宋"/>
                <w:color w:val="auto"/>
                <w:sz w:val="24"/>
                <w:szCs w:val="24"/>
              </w:rPr>
              <w:t>严格门禁管理，执行“一卡通”和“请假条”查验制度，外来人员实行身份信息登记和被访人员“来电确认”管理措施，对出入校园车辆实行全查全检。校园内无闲杂人员及车辆、无小商小贩、无摆摊设点、无流浪狗等现象</w:t>
            </w:r>
          </w:p>
        </w:tc>
        <w:tc>
          <w:tcPr>
            <w:tcW w:w="0" w:type="auto"/>
            <w:noWrap w:val="0"/>
            <w:vAlign w:val="center"/>
          </w:tcPr>
          <w:p w14:paraId="78768D5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0" w:type="auto"/>
            <w:noWrap w:val="0"/>
            <w:vAlign w:val="center"/>
          </w:tcPr>
          <w:p w14:paraId="032BB62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发现一起扣1分</w:t>
            </w:r>
          </w:p>
        </w:tc>
        <w:tc>
          <w:tcPr>
            <w:tcW w:w="0" w:type="auto"/>
            <w:noWrap w:val="0"/>
            <w:vAlign w:val="center"/>
          </w:tcPr>
          <w:p w14:paraId="54D4D5AB">
            <w:pPr>
              <w:jc w:val="center"/>
              <w:rPr>
                <w:rFonts w:hint="eastAsia" w:ascii="仿宋" w:hAnsi="仿宋" w:eastAsia="仿宋" w:cs="仿宋"/>
                <w:color w:val="auto"/>
                <w:sz w:val="24"/>
                <w:szCs w:val="24"/>
              </w:rPr>
            </w:pPr>
          </w:p>
        </w:tc>
        <w:tc>
          <w:tcPr>
            <w:tcW w:w="0" w:type="auto"/>
            <w:noWrap w:val="0"/>
            <w:vAlign w:val="center"/>
          </w:tcPr>
          <w:p w14:paraId="27A22B69">
            <w:pPr>
              <w:jc w:val="center"/>
              <w:rPr>
                <w:rFonts w:hint="eastAsia" w:ascii="仿宋" w:hAnsi="仿宋" w:eastAsia="仿宋" w:cs="仿宋"/>
                <w:color w:val="auto"/>
                <w:sz w:val="24"/>
                <w:szCs w:val="24"/>
              </w:rPr>
            </w:pPr>
          </w:p>
        </w:tc>
      </w:tr>
      <w:tr w14:paraId="20BE7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0" w:type="auto"/>
            <w:noWrap w:val="0"/>
            <w:vAlign w:val="center"/>
          </w:tcPr>
          <w:p w14:paraId="30CD8CF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0" w:type="auto"/>
            <w:noWrap w:val="0"/>
            <w:vAlign w:val="center"/>
          </w:tcPr>
          <w:p w14:paraId="2F616BF5">
            <w:pPr>
              <w:jc w:val="both"/>
              <w:rPr>
                <w:rFonts w:hint="eastAsia" w:ascii="仿宋" w:hAnsi="仿宋" w:eastAsia="仿宋" w:cs="仿宋"/>
                <w:color w:val="auto"/>
                <w:sz w:val="24"/>
                <w:szCs w:val="24"/>
              </w:rPr>
            </w:pPr>
            <w:r>
              <w:rPr>
                <w:rFonts w:hint="eastAsia" w:ascii="仿宋" w:hAnsi="仿宋" w:eastAsia="仿宋" w:cs="仿宋"/>
                <w:color w:val="auto"/>
                <w:sz w:val="24"/>
                <w:szCs w:val="24"/>
              </w:rPr>
              <w:t>严格“工作联络单”推送制度，信息反馈准确高效，做到“事不过夜、日清日结”。</w:t>
            </w:r>
          </w:p>
        </w:tc>
        <w:tc>
          <w:tcPr>
            <w:tcW w:w="0" w:type="auto"/>
            <w:noWrap w:val="0"/>
            <w:vAlign w:val="center"/>
          </w:tcPr>
          <w:p w14:paraId="0A80500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0" w:type="auto"/>
            <w:noWrap w:val="0"/>
            <w:vAlign w:val="center"/>
          </w:tcPr>
          <w:p w14:paraId="7221BA7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延误一起扣1分</w:t>
            </w:r>
          </w:p>
        </w:tc>
        <w:tc>
          <w:tcPr>
            <w:tcW w:w="0" w:type="auto"/>
            <w:noWrap w:val="0"/>
            <w:vAlign w:val="center"/>
          </w:tcPr>
          <w:p w14:paraId="344C133F">
            <w:pPr>
              <w:jc w:val="center"/>
              <w:rPr>
                <w:rFonts w:hint="eastAsia" w:ascii="仿宋" w:hAnsi="仿宋" w:eastAsia="仿宋" w:cs="仿宋"/>
                <w:color w:val="auto"/>
                <w:sz w:val="24"/>
                <w:szCs w:val="24"/>
              </w:rPr>
            </w:pPr>
          </w:p>
        </w:tc>
        <w:tc>
          <w:tcPr>
            <w:tcW w:w="0" w:type="auto"/>
            <w:noWrap w:val="0"/>
            <w:vAlign w:val="center"/>
          </w:tcPr>
          <w:p w14:paraId="157326C7">
            <w:pPr>
              <w:jc w:val="center"/>
              <w:rPr>
                <w:rFonts w:hint="eastAsia" w:ascii="仿宋" w:hAnsi="仿宋" w:eastAsia="仿宋" w:cs="仿宋"/>
                <w:color w:val="auto"/>
                <w:sz w:val="24"/>
                <w:szCs w:val="24"/>
              </w:rPr>
            </w:pPr>
          </w:p>
        </w:tc>
      </w:tr>
      <w:tr w14:paraId="404E2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0" w:type="auto"/>
            <w:noWrap w:val="0"/>
            <w:vAlign w:val="center"/>
          </w:tcPr>
          <w:p w14:paraId="400DE0A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0" w:type="auto"/>
            <w:noWrap w:val="0"/>
            <w:vAlign w:val="center"/>
          </w:tcPr>
          <w:p w14:paraId="41A3964D">
            <w:pPr>
              <w:jc w:val="both"/>
              <w:rPr>
                <w:rFonts w:hint="eastAsia" w:ascii="仿宋" w:hAnsi="仿宋" w:eastAsia="仿宋" w:cs="仿宋"/>
                <w:color w:val="auto"/>
                <w:sz w:val="24"/>
                <w:szCs w:val="24"/>
              </w:rPr>
            </w:pPr>
            <w:r>
              <w:rPr>
                <w:rFonts w:hint="eastAsia" w:ascii="仿宋" w:hAnsi="仿宋" w:eastAsia="仿宋" w:cs="仿宋"/>
                <w:color w:val="auto"/>
                <w:sz w:val="24"/>
                <w:szCs w:val="24"/>
              </w:rPr>
              <w:t>能积极配合</w:t>
            </w:r>
            <w:r>
              <w:rPr>
                <w:rFonts w:hint="eastAsia" w:ascii="仿宋" w:hAnsi="仿宋" w:eastAsia="仿宋" w:cs="仿宋"/>
                <w:color w:val="auto"/>
                <w:sz w:val="24"/>
                <w:szCs w:val="24"/>
                <w:lang w:eastAsia="zh-CN"/>
              </w:rPr>
              <w:t>安全保卫处</w:t>
            </w:r>
            <w:r>
              <w:rPr>
                <w:rFonts w:hint="eastAsia" w:ascii="仿宋" w:hAnsi="仿宋" w:eastAsia="仿宋" w:cs="仿宋"/>
                <w:color w:val="auto"/>
                <w:sz w:val="24"/>
                <w:szCs w:val="24"/>
              </w:rPr>
              <w:t>开展法治教育、消防应急演练、管制刀具检查，“黄赌毒”、“两卡诈骗”防范教育，以及涉黑涉恶、金融诈骗、校园欺凌线索摸排等工作。</w:t>
            </w:r>
          </w:p>
        </w:tc>
        <w:tc>
          <w:tcPr>
            <w:tcW w:w="0" w:type="auto"/>
            <w:noWrap w:val="0"/>
            <w:vAlign w:val="center"/>
          </w:tcPr>
          <w:p w14:paraId="72648AE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0" w:type="auto"/>
            <w:noWrap w:val="0"/>
            <w:vAlign w:val="center"/>
          </w:tcPr>
          <w:p w14:paraId="33D4AFE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配合不到位，发现一起扣1分</w:t>
            </w:r>
          </w:p>
        </w:tc>
        <w:tc>
          <w:tcPr>
            <w:tcW w:w="0" w:type="auto"/>
            <w:noWrap w:val="0"/>
            <w:vAlign w:val="center"/>
          </w:tcPr>
          <w:p w14:paraId="33305CB9">
            <w:pPr>
              <w:jc w:val="center"/>
              <w:rPr>
                <w:rFonts w:hint="eastAsia" w:ascii="仿宋" w:hAnsi="仿宋" w:eastAsia="仿宋" w:cs="仿宋"/>
                <w:color w:val="auto"/>
                <w:sz w:val="24"/>
                <w:szCs w:val="24"/>
              </w:rPr>
            </w:pPr>
          </w:p>
        </w:tc>
        <w:tc>
          <w:tcPr>
            <w:tcW w:w="0" w:type="auto"/>
            <w:noWrap w:val="0"/>
            <w:vAlign w:val="center"/>
          </w:tcPr>
          <w:p w14:paraId="5063F357">
            <w:pPr>
              <w:jc w:val="center"/>
              <w:rPr>
                <w:rFonts w:hint="eastAsia" w:ascii="仿宋" w:hAnsi="仿宋" w:eastAsia="仿宋" w:cs="仿宋"/>
                <w:color w:val="auto"/>
                <w:sz w:val="24"/>
                <w:szCs w:val="24"/>
              </w:rPr>
            </w:pPr>
          </w:p>
        </w:tc>
      </w:tr>
      <w:tr w14:paraId="5ACF2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jc w:val="center"/>
        </w:trPr>
        <w:tc>
          <w:tcPr>
            <w:tcW w:w="0" w:type="auto"/>
            <w:noWrap w:val="0"/>
            <w:vAlign w:val="center"/>
          </w:tcPr>
          <w:p w14:paraId="13E74E0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0" w:type="auto"/>
            <w:noWrap w:val="0"/>
            <w:vAlign w:val="center"/>
          </w:tcPr>
          <w:p w14:paraId="37E97AD6">
            <w:pPr>
              <w:jc w:val="both"/>
              <w:rPr>
                <w:rFonts w:hint="eastAsia" w:ascii="仿宋" w:hAnsi="仿宋" w:eastAsia="仿宋" w:cs="仿宋"/>
                <w:color w:val="auto"/>
                <w:sz w:val="24"/>
                <w:szCs w:val="24"/>
              </w:rPr>
            </w:pPr>
            <w:r>
              <w:rPr>
                <w:rFonts w:hint="eastAsia" w:ascii="仿宋" w:hAnsi="仿宋" w:eastAsia="仿宋" w:cs="仿宋"/>
                <w:color w:val="auto"/>
                <w:sz w:val="24"/>
                <w:szCs w:val="24"/>
              </w:rPr>
              <w:t>坚持“早点名、晚例会”制度，每月最少召开一次全体职工大会，总结上月工作，安排布置下月工作任务。每周最少开展一次文明执勤、紧急集合、反恐演练、消防器材使用等专项教育和业务技能培训活动。</w:t>
            </w:r>
          </w:p>
        </w:tc>
        <w:tc>
          <w:tcPr>
            <w:tcW w:w="0" w:type="auto"/>
            <w:noWrap w:val="0"/>
            <w:vAlign w:val="center"/>
          </w:tcPr>
          <w:p w14:paraId="0578BFD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0" w:type="auto"/>
            <w:noWrap w:val="0"/>
            <w:vAlign w:val="center"/>
          </w:tcPr>
          <w:p w14:paraId="3483E6B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缺失一项扣1分</w:t>
            </w:r>
          </w:p>
        </w:tc>
        <w:tc>
          <w:tcPr>
            <w:tcW w:w="0" w:type="auto"/>
            <w:noWrap w:val="0"/>
            <w:vAlign w:val="center"/>
          </w:tcPr>
          <w:p w14:paraId="4FEDB6C9">
            <w:pPr>
              <w:jc w:val="center"/>
              <w:rPr>
                <w:rFonts w:hint="eastAsia" w:ascii="仿宋" w:hAnsi="仿宋" w:eastAsia="仿宋" w:cs="仿宋"/>
                <w:color w:val="auto"/>
                <w:sz w:val="24"/>
                <w:szCs w:val="24"/>
              </w:rPr>
            </w:pPr>
          </w:p>
        </w:tc>
        <w:tc>
          <w:tcPr>
            <w:tcW w:w="0" w:type="auto"/>
            <w:noWrap w:val="0"/>
            <w:vAlign w:val="center"/>
          </w:tcPr>
          <w:p w14:paraId="07174BCB">
            <w:pPr>
              <w:jc w:val="center"/>
              <w:rPr>
                <w:rFonts w:hint="eastAsia" w:ascii="仿宋" w:hAnsi="仿宋" w:eastAsia="仿宋" w:cs="仿宋"/>
                <w:color w:val="auto"/>
                <w:sz w:val="24"/>
                <w:szCs w:val="24"/>
              </w:rPr>
            </w:pPr>
          </w:p>
        </w:tc>
      </w:tr>
      <w:tr w14:paraId="63AD5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jc w:val="center"/>
        </w:trPr>
        <w:tc>
          <w:tcPr>
            <w:tcW w:w="0" w:type="auto"/>
            <w:noWrap w:val="0"/>
            <w:vAlign w:val="center"/>
          </w:tcPr>
          <w:p w14:paraId="232FFA0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0" w:type="auto"/>
            <w:noWrap w:val="0"/>
            <w:vAlign w:val="center"/>
          </w:tcPr>
          <w:p w14:paraId="2AC10778">
            <w:pPr>
              <w:jc w:val="both"/>
              <w:rPr>
                <w:rFonts w:hint="eastAsia" w:ascii="仿宋" w:hAnsi="仿宋" w:eastAsia="仿宋" w:cs="仿宋"/>
                <w:color w:val="auto"/>
                <w:sz w:val="24"/>
                <w:szCs w:val="24"/>
              </w:rPr>
            </w:pPr>
            <w:r>
              <w:rPr>
                <w:rFonts w:hint="eastAsia" w:ascii="仿宋" w:hAnsi="仿宋" w:eastAsia="仿宋" w:cs="仿宋"/>
                <w:color w:val="auto"/>
                <w:sz w:val="24"/>
                <w:szCs w:val="24"/>
              </w:rPr>
              <w:t>安保人员能按认真履行岗位职责，按时上下班，不迟到、不早退，不擅离职守。上班期间不闲聊、不玩手机、不酗酒、不吸烟，不做与工作无关的事。</w:t>
            </w:r>
          </w:p>
        </w:tc>
        <w:tc>
          <w:tcPr>
            <w:tcW w:w="0" w:type="auto"/>
            <w:noWrap w:val="0"/>
            <w:vAlign w:val="center"/>
          </w:tcPr>
          <w:p w14:paraId="2121E54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0" w:type="auto"/>
            <w:noWrap w:val="0"/>
            <w:vAlign w:val="center"/>
          </w:tcPr>
          <w:p w14:paraId="7080858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发现一起扣1分</w:t>
            </w:r>
          </w:p>
        </w:tc>
        <w:tc>
          <w:tcPr>
            <w:tcW w:w="0" w:type="auto"/>
            <w:noWrap w:val="0"/>
            <w:vAlign w:val="center"/>
          </w:tcPr>
          <w:p w14:paraId="270E8B14">
            <w:pPr>
              <w:jc w:val="center"/>
              <w:rPr>
                <w:rFonts w:hint="eastAsia" w:ascii="仿宋" w:hAnsi="仿宋" w:eastAsia="仿宋" w:cs="仿宋"/>
                <w:color w:val="auto"/>
                <w:sz w:val="24"/>
                <w:szCs w:val="24"/>
              </w:rPr>
            </w:pPr>
          </w:p>
        </w:tc>
        <w:tc>
          <w:tcPr>
            <w:tcW w:w="0" w:type="auto"/>
            <w:noWrap w:val="0"/>
            <w:vAlign w:val="center"/>
          </w:tcPr>
          <w:p w14:paraId="59B3D537">
            <w:pPr>
              <w:jc w:val="center"/>
              <w:rPr>
                <w:rFonts w:hint="eastAsia" w:ascii="仿宋" w:hAnsi="仿宋" w:eastAsia="仿宋" w:cs="仿宋"/>
                <w:color w:val="auto"/>
                <w:sz w:val="24"/>
                <w:szCs w:val="24"/>
              </w:rPr>
            </w:pPr>
          </w:p>
        </w:tc>
      </w:tr>
      <w:tr w14:paraId="4AFD2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jc w:val="center"/>
        </w:trPr>
        <w:tc>
          <w:tcPr>
            <w:tcW w:w="0" w:type="auto"/>
            <w:noWrap w:val="0"/>
            <w:vAlign w:val="center"/>
          </w:tcPr>
          <w:p w14:paraId="23F3834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0" w:type="auto"/>
            <w:noWrap w:val="0"/>
            <w:vAlign w:val="center"/>
          </w:tcPr>
          <w:p w14:paraId="0A358BEC">
            <w:pPr>
              <w:jc w:val="both"/>
              <w:rPr>
                <w:rFonts w:hint="eastAsia" w:ascii="仿宋" w:hAnsi="仿宋" w:eastAsia="仿宋" w:cs="仿宋"/>
                <w:color w:val="auto"/>
                <w:sz w:val="24"/>
                <w:szCs w:val="24"/>
              </w:rPr>
            </w:pPr>
            <w:r>
              <w:rPr>
                <w:rFonts w:hint="eastAsia" w:ascii="仿宋" w:hAnsi="仿宋" w:eastAsia="仿宋" w:cs="仿宋"/>
                <w:color w:val="auto"/>
                <w:sz w:val="24"/>
                <w:szCs w:val="24"/>
              </w:rPr>
              <w:t>安保人员持有有效从业资格证书，人员配备数量充足，年龄结构达到合同要求，日出勤率保持在总人数的85%以上。</w:t>
            </w:r>
          </w:p>
        </w:tc>
        <w:tc>
          <w:tcPr>
            <w:tcW w:w="0" w:type="auto"/>
            <w:noWrap w:val="0"/>
            <w:vAlign w:val="center"/>
          </w:tcPr>
          <w:p w14:paraId="7432D09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0" w:type="auto"/>
            <w:noWrap w:val="0"/>
            <w:vAlign w:val="center"/>
          </w:tcPr>
          <w:p w14:paraId="45ED591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一项不达标扣2分</w:t>
            </w:r>
          </w:p>
        </w:tc>
        <w:tc>
          <w:tcPr>
            <w:tcW w:w="0" w:type="auto"/>
            <w:noWrap w:val="0"/>
            <w:vAlign w:val="center"/>
          </w:tcPr>
          <w:p w14:paraId="21B7F9B4">
            <w:pPr>
              <w:jc w:val="center"/>
              <w:rPr>
                <w:rFonts w:hint="eastAsia" w:ascii="仿宋" w:hAnsi="仿宋" w:eastAsia="仿宋" w:cs="仿宋"/>
                <w:color w:val="auto"/>
                <w:sz w:val="24"/>
                <w:szCs w:val="24"/>
              </w:rPr>
            </w:pPr>
          </w:p>
        </w:tc>
        <w:tc>
          <w:tcPr>
            <w:tcW w:w="0" w:type="auto"/>
            <w:noWrap w:val="0"/>
            <w:vAlign w:val="center"/>
          </w:tcPr>
          <w:p w14:paraId="25B07432">
            <w:pPr>
              <w:jc w:val="center"/>
              <w:rPr>
                <w:rFonts w:hint="eastAsia" w:ascii="仿宋" w:hAnsi="仿宋" w:eastAsia="仿宋" w:cs="仿宋"/>
                <w:color w:val="auto"/>
                <w:sz w:val="24"/>
                <w:szCs w:val="24"/>
              </w:rPr>
            </w:pPr>
          </w:p>
        </w:tc>
      </w:tr>
      <w:tr w14:paraId="3A7B5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0" w:type="auto"/>
            <w:noWrap w:val="0"/>
            <w:vAlign w:val="center"/>
          </w:tcPr>
          <w:p w14:paraId="7640A4B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0" w:type="auto"/>
            <w:noWrap w:val="0"/>
            <w:vAlign w:val="center"/>
          </w:tcPr>
          <w:p w14:paraId="389F86E5">
            <w:pPr>
              <w:jc w:val="both"/>
              <w:rPr>
                <w:rFonts w:hint="eastAsia" w:ascii="仿宋" w:hAnsi="仿宋" w:eastAsia="仿宋" w:cs="仿宋"/>
                <w:color w:val="auto"/>
                <w:sz w:val="24"/>
                <w:szCs w:val="24"/>
              </w:rPr>
            </w:pPr>
            <w:r>
              <w:rPr>
                <w:rFonts w:hint="eastAsia" w:ascii="仿宋" w:hAnsi="仿宋" w:eastAsia="仿宋" w:cs="仿宋"/>
                <w:color w:val="auto"/>
                <w:sz w:val="24"/>
                <w:szCs w:val="24"/>
              </w:rPr>
              <w:t>安保人员身体健康，形象好、气质佳，无残疾、无基础或精神疾病、无违法犯罪前科。着装整洁统一，仪态端庄，语言文明，警械警具佩戴规范齐全，师生无投诉</w:t>
            </w:r>
          </w:p>
        </w:tc>
        <w:tc>
          <w:tcPr>
            <w:tcW w:w="0" w:type="auto"/>
            <w:noWrap w:val="0"/>
            <w:vAlign w:val="center"/>
          </w:tcPr>
          <w:p w14:paraId="2AAE8A0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0" w:type="auto"/>
            <w:noWrap w:val="0"/>
            <w:vAlign w:val="center"/>
          </w:tcPr>
          <w:p w14:paraId="0B78914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一项不达标扣 1分</w:t>
            </w:r>
          </w:p>
        </w:tc>
        <w:tc>
          <w:tcPr>
            <w:tcW w:w="0" w:type="auto"/>
            <w:noWrap w:val="0"/>
            <w:vAlign w:val="center"/>
          </w:tcPr>
          <w:p w14:paraId="5C6FEF69">
            <w:pPr>
              <w:jc w:val="center"/>
              <w:rPr>
                <w:rFonts w:hint="eastAsia" w:ascii="仿宋" w:hAnsi="仿宋" w:eastAsia="仿宋" w:cs="仿宋"/>
                <w:color w:val="auto"/>
                <w:sz w:val="24"/>
                <w:szCs w:val="24"/>
              </w:rPr>
            </w:pPr>
          </w:p>
        </w:tc>
        <w:tc>
          <w:tcPr>
            <w:tcW w:w="0" w:type="auto"/>
            <w:noWrap w:val="0"/>
            <w:vAlign w:val="center"/>
          </w:tcPr>
          <w:p w14:paraId="63C2AD18">
            <w:pPr>
              <w:jc w:val="center"/>
              <w:rPr>
                <w:rFonts w:hint="eastAsia" w:ascii="仿宋" w:hAnsi="仿宋" w:eastAsia="仿宋" w:cs="仿宋"/>
                <w:color w:val="auto"/>
                <w:sz w:val="24"/>
                <w:szCs w:val="24"/>
              </w:rPr>
            </w:pPr>
          </w:p>
        </w:tc>
      </w:tr>
      <w:tr w14:paraId="52C72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0" w:type="auto"/>
            <w:noWrap w:val="0"/>
            <w:vAlign w:val="center"/>
          </w:tcPr>
          <w:p w14:paraId="53F8DDB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0" w:type="auto"/>
            <w:noWrap w:val="0"/>
            <w:vAlign w:val="center"/>
          </w:tcPr>
          <w:p w14:paraId="1ACF35C1">
            <w:pPr>
              <w:jc w:val="both"/>
              <w:rPr>
                <w:rFonts w:hint="eastAsia" w:ascii="仿宋" w:hAnsi="仿宋" w:eastAsia="仿宋" w:cs="仿宋"/>
                <w:color w:val="auto"/>
                <w:sz w:val="24"/>
                <w:szCs w:val="24"/>
              </w:rPr>
            </w:pPr>
            <w:r>
              <w:rPr>
                <w:rFonts w:hint="eastAsia" w:ascii="仿宋" w:hAnsi="仿宋" w:eastAsia="仿宋" w:cs="仿宋"/>
                <w:color w:val="auto"/>
                <w:sz w:val="24"/>
                <w:szCs w:val="24"/>
              </w:rPr>
              <w:t>监控室24小时有人值班值守，能及时接听师生涉及治安、应急、求助电话。无脱岗、无人接听电话或突发事件处置不及时的现象</w:t>
            </w:r>
          </w:p>
        </w:tc>
        <w:tc>
          <w:tcPr>
            <w:tcW w:w="0" w:type="auto"/>
            <w:noWrap w:val="0"/>
            <w:vAlign w:val="center"/>
          </w:tcPr>
          <w:p w14:paraId="0665AF0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0" w:type="auto"/>
            <w:noWrap w:val="0"/>
            <w:vAlign w:val="center"/>
          </w:tcPr>
          <w:p w14:paraId="3669A18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发现一起扣2分</w:t>
            </w:r>
          </w:p>
        </w:tc>
        <w:tc>
          <w:tcPr>
            <w:tcW w:w="0" w:type="auto"/>
            <w:noWrap w:val="0"/>
            <w:vAlign w:val="center"/>
          </w:tcPr>
          <w:p w14:paraId="69A83147">
            <w:pPr>
              <w:jc w:val="center"/>
              <w:rPr>
                <w:rFonts w:hint="eastAsia" w:ascii="仿宋" w:hAnsi="仿宋" w:eastAsia="仿宋" w:cs="仿宋"/>
                <w:color w:val="auto"/>
                <w:sz w:val="24"/>
                <w:szCs w:val="24"/>
              </w:rPr>
            </w:pPr>
          </w:p>
        </w:tc>
        <w:tc>
          <w:tcPr>
            <w:tcW w:w="0" w:type="auto"/>
            <w:noWrap w:val="0"/>
            <w:vAlign w:val="center"/>
          </w:tcPr>
          <w:p w14:paraId="4DBDCDF5">
            <w:pPr>
              <w:jc w:val="center"/>
              <w:rPr>
                <w:rFonts w:hint="eastAsia" w:ascii="仿宋" w:hAnsi="仿宋" w:eastAsia="仿宋" w:cs="仿宋"/>
                <w:color w:val="auto"/>
                <w:sz w:val="24"/>
                <w:szCs w:val="24"/>
              </w:rPr>
            </w:pPr>
          </w:p>
        </w:tc>
      </w:tr>
      <w:tr w14:paraId="1A48D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0" w:type="auto"/>
            <w:noWrap w:val="0"/>
            <w:vAlign w:val="center"/>
          </w:tcPr>
          <w:p w14:paraId="55674DE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0" w:type="auto"/>
            <w:noWrap w:val="0"/>
            <w:vAlign w:val="center"/>
          </w:tcPr>
          <w:p w14:paraId="00020B76">
            <w:pPr>
              <w:jc w:val="both"/>
              <w:rPr>
                <w:rFonts w:hint="eastAsia" w:ascii="仿宋" w:hAnsi="仿宋" w:eastAsia="仿宋" w:cs="仿宋"/>
                <w:color w:val="auto"/>
                <w:sz w:val="24"/>
                <w:szCs w:val="24"/>
              </w:rPr>
            </w:pPr>
            <w:r>
              <w:rPr>
                <w:rFonts w:hint="eastAsia" w:ascii="仿宋" w:hAnsi="仿宋" w:eastAsia="仿宋" w:cs="仿宋"/>
                <w:color w:val="auto"/>
                <w:sz w:val="24"/>
                <w:szCs w:val="24"/>
              </w:rPr>
              <w:t>校园交通秩序井然，大门周边、校园内无机动车和非机动车乱停乱放现象。</w:t>
            </w:r>
          </w:p>
        </w:tc>
        <w:tc>
          <w:tcPr>
            <w:tcW w:w="0" w:type="auto"/>
            <w:noWrap w:val="0"/>
            <w:vAlign w:val="center"/>
          </w:tcPr>
          <w:p w14:paraId="109610B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0" w:type="auto"/>
            <w:noWrap w:val="0"/>
            <w:vAlign w:val="center"/>
          </w:tcPr>
          <w:p w14:paraId="3F275C9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发现一起扣1分</w:t>
            </w:r>
          </w:p>
        </w:tc>
        <w:tc>
          <w:tcPr>
            <w:tcW w:w="0" w:type="auto"/>
            <w:noWrap w:val="0"/>
            <w:vAlign w:val="center"/>
          </w:tcPr>
          <w:p w14:paraId="1A58920B">
            <w:pPr>
              <w:jc w:val="center"/>
              <w:rPr>
                <w:rFonts w:hint="eastAsia" w:ascii="仿宋" w:hAnsi="仿宋" w:eastAsia="仿宋" w:cs="仿宋"/>
                <w:color w:val="auto"/>
                <w:sz w:val="24"/>
                <w:szCs w:val="24"/>
              </w:rPr>
            </w:pPr>
          </w:p>
        </w:tc>
        <w:tc>
          <w:tcPr>
            <w:tcW w:w="0" w:type="auto"/>
            <w:noWrap w:val="0"/>
            <w:vAlign w:val="center"/>
          </w:tcPr>
          <w:p w14:paraId="46C17DEA">
            <w:pPr>
              <w:jc w:val="center"/>
              <w:rPr>
                <w:rFonts w:hint="eastAsia" w:ascii="仿宋" w:hAnsi="仿宋" w:eastAsia="仿宋" w:cs="仿宋"/>
                <w:color w:val="auto"/>
                <w:sz w:val="24"/>
                <w:szCs w:val="24"/>
              </w:rPr>
            </w:pPr>
          </w:p>
        </w:tc>
      </w:tr>
      <w:tr w14:paraId="4CB0B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0" w:type="auto"/>
            <w:noWrap w:val="0"/>
            <w:vAlign w:val="center"/>
          </w:tcPr>
          <w:p w14:paraId="500BCBA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0" w:type="auto"/>
            <w:noWrap w:val="0"/>
            <w:vAlign w:val="center"/>
          </w:tcPr>
          <w:p w14:paraId="0BF2717F">
            <w:pPr>
              <w:jc w:val="both"/>
              <w:rPr>
                <w:rFonts w:hint="eastAsia" w:ascii="仿宋" w:hAnsi="仿宋" w:eastAsia="仿宋" w:cs="仿宋"/>
                <w:color w:val="auto"/>
                <w:sz w:val="24"/>
                <w:szCs w:val="24"/>
              </w:rPr>
            </w:pPr>
            <w:r>
              <w:rPr>
                <w:rFonts w:hint="eastAsia" w:ascii="仿宋" w:hAnsi="仿宋" w:eastAsia="仿宋" w:cs="仿宋"/>
                <w:color w:val="auto"/>
                <w:sz w:val="24"/>
                <w:szCs w:val="24"/>
              </w:rPr>
              <w:t>大型活动期间，校园车辆停放有序，现场秩序井然。</w:t>
            </w:r>
          </w:p>
        </w:tc>
        <w:tc>
          <w:tcPr>
            <w:tcW w:w="0" w:type="auto"/>
            <w:noWrap w:val="0"/>
            <w:vAlign w:val="center"/>
          </w:tcPr>
          <w:p w14:paraId="345B509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0" w:type="auto"/>
            <w:noWrap w:val="0"/>
            <w:vAlign w:val="center"/>
          </w:tcPr>
          <w:p w14:paraId="34C6C5E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一项不达标扣1分</w:t>
            </w:r>
          </w:p>
        </w:tc>
        <w:tc>
          <w:tcPr>
            <w:tcW w:w="0" w:type="auto"/>
            <w:noWrap w:val="0"/>
            <w:vAlign w:val="center"/>
          </w:tcPr>
          <w:p w14:paraId="18B95669">
            <w:pPr>
              <w:jc w:val="center"/>
              <w:rPr>
                <w:rFonts w:hint="eastAsia" w:ascii="仿宋" w:hAnsi="仿宋" w:eastAsia="仿宋" w:cs="仿宋"/>
                <w:color w:val="auto"/>
                <w:sz w:val="24"/>
                <w:szCs w:val="24"/>
              </w:rPr>
            </w:pPr>
          </w:p>
        </w:tc>
        <w:tc>
          <w:tcPr>
            <w:tcW w:w="0" w:type="auto"/>
            <w:noWrap w:val="0"/>
            <w:vAlign w:val="center"/>
          </w:tcPr>
          <w:p w14:paraId="3E219BA3">
            <w:pPr>
              <w:jc w:val="center"/>
              <w:rPr>
                <w:rFonts w:hint="eastAsia" w:ascii="仿宋" w:hAnsi="仿宋" w:eastAsia="仿宋" w:cs="仿宋"/>
                <w:color w:val="auto"/>
                <w:sz w:val="24"/>
                <w:szCs w:val="24"/>
              </w:rPr>
            </w:pPr>
          </w:p>
        </w:tc>
      </w:tr>
      <w:tr w14:paraId="699E7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jc w:val="center"/>
        </w:trPr>
        <w:tc>
          <w:tcPr>
            <w:tcW w:w="0" w:type="auto"/>
            <w:noWrap w:val="0"/>
            <w:vAlign w:val="center"/>
          </w:tcPr>
          <w:p w14:paraId="7B12D05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0" w:type="auto"/>
            <w:noWrap w:val="0"/>
            <w:vAlign w:val="center"/>
          </w:tcPr>
          <w:p w14:paraId="2C4B30B4">
            <w:pPr>
              <w:jc w:val="both"/>
              <w:rPr>
                <w:rFonts w:hint="eastAsia" w:ascii="仿宋" w:hAnsi="仿宋" w:eastAsia="仿宋" w:cs="仿宋"/>
                <w:color w:val="auto"/>
                <w:sz w:val="24"/>
                <w:szCs w:val="24"/>
              </w:rPr>
            </w:pPr>
            <w:r>
              <w:rPr>
                <w:rFonts w:hint="eastAsia" w:ascii="仿宋" w:hAnsi="仿宋" w:eastAsia="仿宋" w:cs="仿宋"/>
                <w:color w:val="auto"/>
                <w:sz w:val="24"/>
                <w:szCs w:val="24"/>
              </w:rPr>
              <w:t>校园防疫设备、校园监控系统、车辆管理系统、一键式报警柱、报警电话、巡逻车等安防设施设备保养得当，齐全完好，能正常使用。</w:t>
            </w:r>
          </w:p>
        </w:tc>
        <w:tc>
          <w:tcPr>
            <w:tcW w:w="0" w:type="auto"/>
            <w:noWrap w:val="0"/>
            <w:vAlign w:val="center"/>
          </w:tcPr>
          <w:p w14:paraId="75C65DB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0" w:type="auto"/>
            <w:noWrap w:val="0"/>
            <w:vAlign w:val="center"/>
          </w:tcPr>
          <w:p w14:paraId="2F6634A0">
            <w:pPr>
              <w:jc w:val="center"/>
              <w:rPr>
                <w:rFonts w:hint="eastAsia" w:ascii="仿宋" w:hAnsi="仿宋" w:eastAsia="仿宋" w:cs="仿宋"/>
                <w:color w:val="auto"/>
                <w:sz w:val="24"/>
                <w:szCs w:val="24"/>
              </w:rPr>
            </w:pPr>
          </w:p>
        </w:tc>
        <w:tc>
          <w:tcPr>
            <w:tcW w:w="0" w:type="auto"/>
            <w:noWrap w:val="0"/>
            <w:vAlign w:val="center"/>
          </w:tcPr>
          <w:p w14:paraId="12438B8A">
            <w:pPr>
              <w:jc w:val="center"/>
              <w:rPr>
                <w:rFonts w:hint="eastAsia" w:ascii="仿宋" w:hAnsi="仿宋" w:eastAsia="仿宋" w:cs="仿宋"/>
                <w:color w:val="auto"/>
                <w:sz w:val="24"/>
                <w:szCs w:val="24"/>
              </w:rPr>
            </w:pPr>
          </w:p>
        </w:tc>
        <w:tc>
          <w:tcPr>
            <w:tcW w:w="0" w:type="auto"/>
            <w:noWrap w:val="0"/>
            <w:vAlign w:val="center"/>
          </w:tcPr>
          <w:p w14:paraId="447BCAF4">
            <w:pPr>
              <w:jc w:val="center"/>
              <w:rPr>
                <w:rFonts w:hint="eastAsia" w:ascii="仿宋" w:hAnsi="仿宋" w:eastAsia="仿宋" w:cs="仿宋"/>
                <w:color w:val="auto"/>
                <w:sz w:val="24"/>
                <w:szCs w:val="24"/>
              </w:rPr>
            </w:pPr>
          </w:p>
        </w:tc>
      </w:tr>
      <w:tr w14:paraId="4775D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jc w:val="center"/>
        </w:trPr>
        <w:tc>
          <w:tcPr>
            <w:tcW w:w="0" w:type="auto"/>
            <w:noWrap w:val="0"/>
            <w:vAlign w:val="center"/>
          </w:tcPr>
          <w:p w14:paraId="4CEAA24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0" w:type="auto"/>
            <w:noWrap w:val="0"/>
            <w:vAlign w:val="center"/>
          </w:tcPr>
          <w:p w14:paraId="341F6D3B">
            <w:pPr>
              <w:jc w:val="both"/>
              <w:rPr>
                <w:rFonts w:hint="eastAsia" w:ascii="仿宋" w:hAnsi="仿宋" w:eastAsia="仿宋" w:cs="仿宋"/>
                <w:color w:val="auto"/>
                <w:sz w:val="24"/>
                <w:szCs w:val="24"/>
              </w:rPr>
            </w:pPr>
            <w:r>
              <w:rPr>
                <w:rFonts w:hint="eastAsia" w:ascii="仿宋" w:hAnsi="仿宋" w:eastAsia="仿宋" w:cs="仿宋"/>
                <w:color w:val="auto"/>
                <w:sz w:val="24"/>
                <w:szCs w:val="24"/>
              </w:rPr>
              <w:t>所辖办公室、宿舍卫生干净整洁，物品摆放整齐。无乱拉乱接电线，违规使用大功率电器、存放易燃易爆品等现象。</w:t>
            </w:r>
          </w:p>
        </w:tc>
        <w:tc>
          <w:tcPr>
            <w:tcW w:w="0" w:type="auto"/>
            <w:noWrap w:val="0"/>
            <w:vAlign w:val="center"/>
          </w:tcPr>
          <w:p w14:paraId="449E153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0" w:type="auto"/>
            <w:noWrap w:val="0"/>
            <w:vAlign w:val="center"/>
          </w:tcPr>
          <w:p w14:paraId="38BAEB7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发现一起扣1分</w:t>
            </w:r>
          </w:p>
        </w:tc>
        <w:tc>
          <w:tcPr>
            <w:tcW w:w="0" w:type="auto"/>
            <w:noWrap w:val="0"/>
            <w:vAlign w:val="center"/>
          </w:tcPr>
          <w:p w14:paraId="15CE1837">
            <w:pPr>
              <w:jc w:val="center"/>
              <w:rPr>
                <w:rFonts w:hint="eastAsia" w:ascii="仿宋" w:hAnsi="仿宋" w:eastAsia="仿宋" w:cs="仿宋"/>
                <w:color w:val="auto"/>
                <w:sz w:val="24"/>
                <w:szCs w:val="24"/>
              </w:rPr>
            </w:pPr>
          </w:p>
        </w:tc>
        <w:tc>
          <w:tcPr>
            <w:tcW w:w="0" w:type="auto"/>
            <w:noWrap w:val="0"/>
            <w:vAlign w:val="center"/>
          </w:tcPr>
          <w:p w14:paraId="668AE324">
            <w:pPr>
              <w:jc w:val="center"/>
              <w:rPr>
                <w:rFonts w:hint="eastAsia" w:ascii="仿宋" w:hAnsi="仿宋" w:eastAsia="仿宋" w:cs="仿宋"/>
                <w:color w:val="auto"/>
                <w:sz w:val="24"/>
                <w:szCs w:val="24"/>
              </w:rPr>
            </w:pPr>
          </w:p>
        </w:tc>
      </w:tr>
      <w:tr w14:paraId="415A3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jc w:val="center"/>
        </w:trPr>
        <w:tc>
          <w:tcPr>
            <w:tcW w:w="0" w:type="auto"/>
            <w:noWrap w:val="0"/>
            <w:vAlign w:val="center"/>
          </w:tcPr>
          <w:p w14:paraId="07365C0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0" w:type="auto"/>
            <w:noWrap w:val="0"/>
            <w:vAlign w:val="center"/>
          </w:tcPr>
          <w:p w14:paraId="5704D9D4">
            <w:pPr>
              <w:jc w:val="both"/>
              <w:rPr>
                <w:rFonts w:hint="eastAsia" w:ascii="仿宋" w:hAnsi="仿宋" w:eastAsia="仿宋" w:cs="仿宋"/>
                <w:color w:val="auto"/>
                <w:sz w:val="24"/>
                <w:szCs w:val="24"/>
              </w:rPr>
            </w:pPr>
            <w:r>
              <w:rPr>
                <w:rFonts w:hint="eastAsia" w:ascii="仿宋" w:hAnsi="仿宋" w:eastAsia="仿宋" w:cs="仿宋"/>
                <w:color w:val="auto"/>
                <w:sz w:val="24"/>
                <w:szCs w:val="24"/>
              </w:rPr>
              <w:t>对涉及校园安全、火灾隐患、重大事(案)件苗头动向或潜在的风险能及时排除，并在第一时间报告处室和学院。无迟报、漏报、隐瞒不报现象。</w:t>
            </w:r>
          </w:p>
        </w:tc>
        <w:tc>
          <w:tcPr>
            <w:tcW w:w="0" w:type="auto"/>
            <w:noWrap w:val="0"/>
            <w:vAlign w:val="center"/>
          </w:tcPr>
          <w:p w14:paraId="5C0C6C4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0" w:type="auto"/>
            <w:noWrap w:val="0"/>
            <w:vAlign w:val="center"/>
          </w:tcPr>
          <w:p w14:paraId="7E611A4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发现一起扣2分</w:t>
            </w:r>
          </w:p>
        </w:tc>
        <w:tc>
          <w:tcPr>
            <w:tcW w:w="0" w:type="auto"/>
            <w:noWrap w:val="0"/>
            <w:vAlign w:val="center"/>
          </w:tcPr>
          <w:p w14:paraId="7A450A68">
            <w:pPr>
              <w:jc w:val="center"/>
              <w:rPr>
                <w:rFonts w:hint="eastAsia" w:ascii="仿宋" w:hAnsi="仿宋" w:eastAsia="仿宋" w:cs="仿宋"/>
                <w:color w:val="auto"/>
                <w:sz w:val="24"/>
                <w:szCs w:val="24"/>
              </w:rPr>
            </w:pPr>
          </w:p>
        </w:tc>
        <w:tc>
          <w:tcPr>
            <w:tcW w:w="0" w:type="auto"/>
            <w:noWrap w:val="0"/>
            <w:vAlign w:val="center"/>
          </w:tcPr>
          <w:p w14:paraId="722E7064">
            <w:pPr>
              <w:jc w:val="center"/>
              <w:rPr>
                <w:rFonts w:hint="eastAsia" w:ascii="仿宋" w:hAnsi="仿宋" w:eastAsia="仿宋" w:cs="仿宋"/>
                <w:color w:val="auto"/>
                <w:sz w:val="24"/>
                <w:szCs w:val="24"/>
              </w:rPr>
            </w:pPr>
          </w:p>
        </w:tc>
      </w:tr>
      <w:tr w14:paraId="2E0B7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jc w:val="center"/>
        </w:trPr>
        <w:tc>
          <w:tcPr>
            <w:tcW w:w="0" w:type="auto"/>
            <w:gridSpan w:val="2"/>
            <w:noWrap w:val="0"/>
            <w:vAlign w:val="center"/>
          </w:tcPr>
          <w:p w14:paraId="35546FC7">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总分</w:t>
            </w:r>
          </w:p>
        </w:tc>
        <w:tc>
          <w:tcPr>
            <w:tcW w:w="0" w:type="auto"/>
            <w:gridSpan w:val="2"/>
            <w:noWrap w:val="0"/>
            <w:vAlign w:val="center"/>
          </w:tcPr>
          <w:p w14:paraId="2DC4449D">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100</w:t>
            </w:r>
          </w:p>
        </w:tc>
        <w:tc>
          <w:tcPr>
            <w:tcW w:w="0" w:type="auto"/>
            <w:noWrap w:val="0"/>
            <w:vAlign w:val="center"/>
          </w:tcPr>
          <w:p w14:paraId="33FA83E1">
            <w:pPr>
              <w:jc w:val="center"/>
              <w:rPr>
                <w:rFonts w:hint="eastAsia" w:ascii="仿宋" w:hAnsi="仿宋" w:eastAsia="仿宋" w:cs="仿宋"/>
                <w:color w:val="auto"/>
                <w:sz w:val="24"/>
                <w:szCs w:val="24"/>
              </w:rPr>
            </w:pPr>
          </w:p>
        </w:tc>
        <w:tc>
          <w:tcPr>
            <w:tcW w:w="0" w:type="auto"/>
            <w:noWrap w:val="0"/>
            <w:vAlign w:val="center"/>
          </w:tcPr>
          <w:p w14:paraId="6DEFC4E0">
            <w:pPr>
              <w:jc w:val="center"/>
              <w:rPr>
                <w:rFonts w:hint="eastAsia" w:ascii="仿宋" w:hAnsi="仿宋" w:eastAsia="仿宋" w:cs="仿宋"/>
                <w:color w:val="auto"/>
                <w:sz w:val="24"/>
                <w:szCs w:val="24"/>
              </w:rPr>
            </w:pPr>
          </w:p>
        </w:tc>
      </w:tr>
      <w:tr w14:paraId="423CE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jc w:val="center"/>
        </w:trPr>
        <w:tc>
          <w:tcPr>
            <w:tcW w:w="0" w:type="auto"/>
            <w:gridSpan w:val="6"/>
            <w:noWrap w:val="0"/>
            <w:vAlign w:val="center"/>
          </w:tcPr>
          <w:p w14:paraId="462C4B01">
            <w:pPr>
              <w:jc w:val="both"/>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注：考核得分90分(含)以上为优秀；80分(含)至89分为良好；70分(含)至79分为合格；69分(含)以下为不合格</w:t>
            </w:r>
          </w:p>
        </w:tc>
      </w:tr>
    </w:tbl>
    <w:p w14:paraId="238F1EFA">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r>
        <w:rPr>
          <w:rFonts w:hint="eastAsia" w:ascii="仿宋" w:hAnsi="仿宋" w:eastAsia="仿宋" w:cs="仿宋"/>
          <w:color w:val="auto"/>
          <w:spacing w:val="7"/>
          <w:sz w:val="24"/>
          <w:szCs w:val="24"/>
          <w:lang w:eastAsia="zh-CN"/>
        </w:rPr>
        <w:t>成交人</w:t>
      </w:r>
      <w:r>
        <w:rPr>
          <w:rFonts w:ascii="仿宋" w:hAnsi="仿宋" w:eastAsia="仿宋" w:cs="仿宋"/>
          <w:color w:val="auto"/>
          <w:spacing w:val="7"/>
          <w:sz w:val="24"/>
          <w:szCs w:val="24"/>
        </w:rPr>
        <w:t>负责人签字确认：</w:t>
      </w:r>
      <w:r>
        <w:rPr>
          <w:rFonts w:ascii="仿宋" w:hAnsi="仿宋" w:eastAsia="仿宋" w:cs="仿宋"/>
          <w:color w:val="auto"/>
          <w:spacing w:val="3"/>
          <w:sz w:val="24"/>
          <w:szCs w:val="24"/>
        </w:rPr>
        <w:t xml:space="preserve">                            </w:t>
      </w:r>
      <w:r>
        <w:rPr>
          <w:rFonts w:ascii="仿宋" w:hAnsi="仿宋" w:eastAsia="仿宋" w:cs="仿宋"/>
          <w:color w:val="auto"/>
          <w:spacing w:val="7"/>
          <w:position w:val="1"/>
          <w:sz w:val="24"/>
          <w:szCs w:val="24"/>
        </w:rPr>
        <w:t>考核组签字确认：</w:t>
      </w:r>
    </w:p>
    <w:p w14:paraId="7BCBBE3C">
      <w:pPr>
        <w:numPr>
          <w:ilvl w:val="0"/>
          <w:numId w:val="0"/>
        </w:numPr>
        <w:spacing w:line="500" w:lineRule="exact"/>
        <w:jc w:val="both"/>
        <w:outlineLvl w:val="9"/>
        <w:rPr>
          <w:rFonts w:hint="default" w:ascii="华文仿宋" w:hAnsi="华文仿宋" w:cs="华文仿宋"/>
          <w:b w:val="0"/>
          <w:bCs w:val="0"/>
          <w:color w:val="000000"/>
          <w:sz w:val="28"/>
          <w:szCs w:val="28"/>
          <w:lang w:val="en-US" w:eastAsia="zh-CN"/>
        </w:rPr>
      </w:pPr>
    </w:p>
    <w:p w14:paraId="081C4675">
      <w:pPr>
        <w:pStyle w:val="2"/>
        <w:keepNext/>
        <w:keepLines/>
        <w:pageBreakBefore/>
        <w:widowControl/>
        <w:kinsoku/>
        <w:wordWrap/>
        <w:overflowPunct/>
        <w:topLinePunct w:val="0"/>
        <w:autoSpaceDE/>
        <w:autoSpaceDN/>
        <w:bidi w:val="0"/>
        <w:adjustRightInd/>
        <w:snapToGrid/>
        <w:jc w:val="center"/>
        <w:textAlignment w:val="auto"/>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1"/>
        <w:rPr>
          <w:color w:val="000000"/>
        </w:rPr>
      </w:pPr>
    </w:p>
    <w:p w14:paraId="00B4211B">
      <w:pPr>
        <w:pStyle w:val="31"/>
        <w:rPr>
          <w:color w:val="000000"/>
        </w:rPr>
      </w:pPr>
    </w:p>
    <w:p w14:paraId="406E5026">
      <w:pPr>
        <w:pStyle w:val="31"/>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1"/>
        <w:rPr>
          <w:color w:val="000000"/>
          <w:sz w:val="20"/>
        </w:rPr>
      </w:pPr>
    </w:p>
    <w:p w14:paraId="44F47F5A">
      <w:pPr>
        <w:pStyle w:val="28"/>
        <w:spacing w:line="240" w:lineRule="auto"/>
        <w:ind w:firstLine="253" w:firstLineChars="70"/>
        <w:jc w:val="center"/>
        <w:rPr>
          <w:rFonts w:ascii="宋体" w:hAnsi="宋体" w:eastAsia="宋体"/>
          <w:color w:val="000000"/>
          <w:sz w:val="36"/>
          <w:szCs w:val="36"/>
        </w:rPr>
      </w:pPr>
    </w:p>
    <w:p w14:paraId="37259556">
      <w:pPr>
        <w:pStyle w:val="28"/>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8"/>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10248"/>
      <w:bookmarkStart w:id="145" w:name="_Toc24786"/>
      <w:bookmarkStart w:id="146" w:name="_Toc26349"/>
      <w:bookmarkStart w:id="147" w:name="_Toc23235"/>
      <w:bookmarkStart w:id="148" w:name="_Toc257"/>
      <w:bookmarkStart w:id="149" w:name="_Toc20830"/>
      <w:bookmarkStart w:id="150" w:name="_Toc26293"/>
      <w:bookmarkStart w:id="151" w:name="_Toc6132"/>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28"/>
        <w:spacing w:line="240" w:lineRule="auto"/>
        <w:ind w:firstLine="310" w:firstLineChars="70"/>
        <w:jc w:val="center"/>
        <w:rPr>
          <w:rFonts w:ascii="华文仿宋" w:hAnsi="华文仿宋" w:cs="华文仿宋"/>
          <w:color w:val="000000"/>
          <w:sz w:val="44"/>
          <w:szCs w:val="44"/>
        </w:rPr>
      </w:pPr>
    </w:p>
    <w:p w14:paraId="33B01BD2">
      <w:pPr>
        <w:pStyle w:val="28"/>
        <w:spacing w:line="240" w:lineRule="auto"/>
        <w:ind w:firstLine="253" w:firstLineChars="70"/>
        <w:jc w:val="center"/>
        <w:rPr>
          <w:rFonts w:ascii="华文仿宋" w:hAnsi="华文仿宋" w:cs="华文仿宋"/>
          <w:color w:val="000000"/>
          <w:sz w:val="36"/>
          <w:szCs w:val="36"/>
        </w:rPr>
      </w:pPr>
    </w:p>
    <w:p w14:paraId="698198C2">
      <w:pPr>
        <w:pStyle w:val="28"/>
        <w:spacing w:line="240" w:lineRule="auto"/>
        <w:ind w:firstLine="0" w:firstLineChars="0"/>
        <w:jc w:val="center"/>
        <w:rPr>
          <w:rFonts w:ascii="华文仿宋" w:hAnsi="华文仿宋" w:cs="华文仿宋"/>
          <w:color w:val="000000"/>
          <w:kern w:val="0"/>
          <w:sz w:val="96"/>
          <w:szCs w:val="96"/>
        </w:rPr>
      </w:pPr>
      <w:bookmarkStart w:id="152" w:name="_Toc26378"/>
      <w:bookmarkStart w:id="153" w:name="_Toc76"/>
      <w:bookmarkStart w:id="154" w:name="_Toc17700"/>
      <w:bookmarkStart w:id="155" w:name="_Toc20481"/>
      <w:bookmarkStart w:id="156" w:name="_Toc8257"/>
      <w:bookmarkStart w:id="157" w:name="_Toc13950"/>
      <w:bookmarkStart w:id="158" w:name="_Toc19569"/>
      <w:bookmarkStart w:id="159" w:name="_Toc16362"/>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28"/>
        <w:spacing w:line="240" w:lineRule="auto"/>
        <w:ind w:firstLine="0" w:firstLineChars="0"/>
        <w:jc w:val="center"/>
        <w:rPr>
          <w:rFonts w:ascii="华文仿宋" w:hAnsi="华文仿宋" w:cs="华文仿宋"/>
          <w:color w:val="000000"/>
          <w:sz w:val="36"/>
          <w:szCs w:val="36"/>
        </w:rPr>
      </w:pPr>
    </w:p>
    <w:p w14:paraId="26A6CD33">
      <w:pPr>
        <w:pStyle w:val="28"/>
        <w:spacing w:line="240" w:lineRule="auto"/>
        <w:ind w:firstLine="0" w:firstLineChars="0"/>
        <w:jc w:val="center"/>
        <w:rPr>
          <w:rFonts w:ascii="华文仿宋" w:hAnsi="华文仿宋" w:cs="华文仿宋"/>
          <w:color w:val="000000"/>
          <w:sz w:val="36"/>
          <w:szCs w:val="36"/>
        </w:rPr>
      </w:pPr>
    </w:p>
    <w:p w14:paraId="29B3B128">
      <w:pPr>
        <w:pStyle w:val="28"/>
        <w:spacing w:line="240" w:lineRule="auto"/>
        <w:ind w:firstLine="0" w:firstLineChars="0"/>
        <w:jc w:val="center"/>
        <w:rPr>
          <w:rFonts w:ascii="华文仿宋" w:hAnsi="华文仿宋" w:cs="华文仿宋"/>
          <w:color w:val="000000"/>
          <w:sz w:val="36"/>
          <w:szCs w:val="36"/>
        </w:rPr>
      </w:pPr>
    </w:p>
    <w:p w14:paraId="4DABFD41">
      <w:pPr>
        <w:pStyle w:val="28"/>
        <w:spacing w:line="240" w:lineRule="auto"/>
        <w:ind w:firstLine="0" w:firstLineChars="0"/>
        <w:jc w:val="center"/>
        <w:rPr>
          <w:rFonts w:ascii="华文仿宋" w:hAnsi="华文仿宋" w:cs="华文仿宋"/>
          <w:color w:val="000000"/>
          <w:sz w:val="36"/>
          <w:szCs w:val="36"/>
        </w:rPr>
      </w:pPr>
    </w:p>
    <w:p w14:paraId="77F7F5F4">
      <w:pPr>
        <w:pStyle w:val="28"/>
        <w:spacing w:line="240" w:lineRule="auto"/>
        <w:ind w:firstLine="0" w:firstLineChars="0"/>
        <w:jc w:val="center"/>
        <w:rPr>
          <w:rFonts w:ascii="华文仿宋" w:hAnsi="华文仿宋" w:cs="华文仿宋"/>
          <w:color w:val="000000"/>
          <w:sz w:val="36"/>
        </w:rPr>
      </w:pPr>
    </w:p>
    <w:p w14:paraId="5B5C0DD1">
      <w:pPr>
        <w:pStyle w:val="28"/>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3171"/>
      <w:bookmarkStart w:id="161" w:name="_Toc15354"/>
      <w:bookmarkStart w:id="162" w:name="_Toc2030"/>
      <w:bookmarkStart w:id="163" w:name="_Toc22280"/>
      <w:bookmarkStart w:id="164" w:name="_Toc21212"/>
      <w:bookmarkStart w:id="165" w:name="_Toc24486"/>
      <w:bookmarkStart w:id="166" w:name="_Toc12627"/>
      <w:bookmarkStart w:id="167" w:name="_Toc24457"/>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28"/>
        <w:spacing w:line="240" w:lineRule="auto"/>
        <w:ind w:firstLine="1452" w:firstLineChars="400"/>
        <w:rPr>
          <w:rFonts w:hint="default" w:ascii="仿宋" w:hAnsi="仿宋" w:eastAsia="仿宋" w:cs="仿宋"/>
          <w:color w:val="000000"/>
          <w:sz w:val="36"/>
          <w:szCs w:val="36"/>
          <w:u w:val="single"/>
        </w:rPr>
      </w:pPr>
      <w:bookmarkStart w:id="168" w:name="_Toc4485"/>
      <w:bookmarkStart w:id="169" w:name="_Toc346"/>
      <w:bookmarkStart w:id="170" w:name="_Toc13586"/>
      <w:bookmarkStart w:id="171" w:name="_Toc10738"/>
      <w:bookmarkStart w:id="172" w:name="_Toc12638"/>
      <w:bookmarkStart w:id="173" w:name="_Toc6740"/>
      <w:bookmarkStart w:id="174" w:name="_Toc27644"/>
      <w:bookmarkStart w:id="175" w:name="_Toc3140"/>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28"/>
        <w:spacing w:line="240" w:lineRule="auto"/>
        <w:ind w:firstLine="1452" w:firstLineChars="400"/>
        <w:rPr>
          <w:rFonts w:ascii="仿宋" w:hAnsi="仿宋" w:eastAsia="仿宋" w:cs="仿宋"/>
          <w:color w:val="000000"/>
          <w:sz w:val="36"/>
        </w:rPr>
      </w:pPr>
      <w:bookmarkStart w:id="176" w:name="_Toc7640"/>
      <w:bookmarkStart w:id="177" w:name="_Toc22519"/>
      <w:bookmarkStart w:id="178" w:name="_Toc1120"/>
      <w:bookmarkStart w:id="179" w:name="_Toc15987"/>
      <w:bookmarkStart w:id="180" w:name="_Toc29966"/>
      <w:bookmarkStart w:id="181" w:name="_Toc11267"/>
      <w:bookmarkStart w:id="182" w:name="_Toc21054"/>
      <w:bookmarkStart w:id="183" w:name="_Toc5428"/>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28"/>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5243"/>
      <w:bookmarkStart w:id="185" w:name="_Toc24294"/>
      <w:bookmarkStart w:id="186" w:name="_Toc15429"/>
      <w:bookmarkStart w:id="187" w:name="_Toc21702"/>
      <w:bookmarkStart w:id="188" w:name="_Toc26250"/>
      <w:bookmarkStart w:id="189" w:name="_Toc880"/>
      <w:bookmarkStart w:id="190" w:name="_Toc2899"/>
      <w:bookmarkStart w:id="191" w:name="_Toc7734"/>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28"/>
        <w:spacing w:line="240" w:lineRule="auto"/>
        <w:ind w:firstLine="1452" w:firstLineChars="400"/>
        <w:jc w:val="left"/>
        <w:rPr>
          <w:rFonts w:ascii="仿宋" w:hAnsi="仿宋" w:eastAsia="仿宋" w:cs="仿宋"/>
          <w:color w:val="000000"/>
          <w:sz w:val="36"/>
          <w:szCs w:val="36"/>
          <w:u w:val="single"/>
        </w:rPr>
      </w:pPr>
    </w:p>
    <w:p w14:paraId="71FFB00B">
      <w:pPr>
        <w:pStyle w:val="32"/>
        <w:ind w:firstLine="888"/>
        <w:outlineLvl w:val="9"/>
        <w:rPr>
          <w:rFonts w:ascii="Calibri Light" w:hAnsi="Calibri Light"/>
          <w:color w:val="000000"/>
          <w:sz w:val="36"/>
          <w:szCs w:val="36"/>
        </w:rPr>
      </w:pPr>
      <w:bookmarkStart w:id="192" w:name="_Toc22476_WPSOffice_Level1"/>
      <w:bookmarkStart w:id="193" w:name="_Toc3838"/>
      <w:bookmarkStart w:id="194" w:name="_Toc21571_WPSOffice_Level1"/>
      <w:bookmarkStart w:id="195" w:name="_Toc24906"/>
      <w:bookmarkStart w:id="196" w:name="_Toc10193"/>
      <w:bookmarkStart w:id="197" w:name="_Toc2071_WPSOffice_Level1"/>
      <w:bookmarkStart w:id="198" w:name="_Toc31082_WPSOffice_Level1"/>
      <w:bookmarkStart w:id="199" w:name="_Toc23450"/>
      <w:bookmarkStart w:id="200" w:name="_Toc11156"/>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19993_WPSOffice_Level1"/>
      <w:bookmarkStart w:id="203" w:name="_Toc25537_WPSOffice_Level1"/>
      <w:bookmarkStart w:id="204" w:name="_Toc8294_WPSOffice_Level1"/>
      <w:bookmarkStart w:id="205" w:name="_Toc26192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9993_WPSOffice_Level2"/>
      <w:bookmarkStart w:id="207" w:name="_Toc31082_WPSOffice_Level2"/>
      <w:bookmarkStart w:id="208" w:name="_Toc14464_WPSOffice_Level2"/>
      <w:bookmarkStart w:id="209" w:name="_Toc25969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10078_WPSOffice_Level2"/>
      <w:bookmarkStart w:id="211" w:name="_Toc27026_WPSOffice_Level2"/>
      <w:bookmarkStart w:id="212" w:name="_Toc25537_WPSOffice_Level2"/>
      <w:bookmarkStart w:id="213" w:name="_Toc5830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5795_WPSOffice_Level2"/>
      <w:bookmarkStart w:id="216" w:name="_Toc7348_WPSOffice_Level2"/>
      <w:bookmarkStart w:id="217"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1168_WPSOffice_Level2"/>
      <w:bookmarkStart w:id="219" w:name="_Toc8116_WPSOffice_Level2"/>
      <w:bookmarkStart w:id="220" w:name="_Toc9021_WPSOffice_Level2"/>
      <w:bookmarkStart w:id="221"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7170_WPSOffice_Level2"/>
      <w:bookmarkStart w:id="223" w:name="_Toc3525_WPSOffice_Level2"/>
      <w:bookmarkStart w:id="224" w:name="_Toc29414_WPSOffice_Level2"/>
      <w:bookmarkStart w:id="225" w:name="_Toc1163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20504_WPSOffice_Level2"/>
      <w:bookmarkStart w:id="227" w:name="_Toc1782_WPSOffice_Level2"/>
      <w:bookmarkStart w:id="228" w:name="_Toc31457_WPSOffice_Level2"/>
      <w:bookmarkStart w:id="229" w:name="_Toc18811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28279_WPSOffice_Level2"/>
      <w:bookmarkStart w:id="231" w:name="_Toc17428_WPSOffice_Level2"/>
      <w:bookmarkStart w:id="232" w:name="_Toc19486_WPSOffice_Level2"/>
      <w:bookmarkStart w:id="233"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2808_WPSOffice_Level1"/>
      <w:bookmarkStart w:id="235" w:name="_Toc21905_WPSOffice_Level1"/>
      <w:bookmarkStart w:id="236" w:name="_Toc27464_WPSOffice_Level1"/>
      <w:bookmarkStart w:id="237" w:name="_Toc23092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7544_WPSOffice_Level2"/>
      <w:bookmarkStart w:id="240" w:name="_Toc980_WPSOffice_Level2"/>
      <w:bookmarkStart w:id="241" w:name="_Toc8316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87_WPSOffice_Level2"/>
      <w:bookmarkStart w:id="243" w:name="_Toc10127_WPSOffice_Level2"/>
      <w:bookmarkStart w:id="244" w:name="_Toc15474_WPSOffice_Level2"/>
      <w:bookmarkStart w:id="245" w:name="_Toc2999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4"/>
        </w:numPr>
        <w:tabs>
          <w:tab w:val="right" w:leader="hyphen" w:pos="8504"/>
        </w:tabs>
        <w:spacing w:line="500" w:lineRule="exact"/>
        <w:ind w:left="1981" w:leftChars="500" w:right="849" w:rightChars="300" w:hanging="566" w:hangingChars="200"/>
        <w:rPr>
          <w:color w:val="000000"/>
        </w:rPr>
      </w:pPr>
      <w:bookmarkStart w:id="246" w:name="_Toc13401_WPSOffice_Level2"/>
      <w:bookmarkStart w:id="247" w:name="_Toc15492_WPSOffice_Level2"/>
      <w:bookmarkStart w:id="248" w:name="_Toc22913_WPSOffice_Level2"/>
      <w:bookmarkStart w:id="249" w:name="_Toc28542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13654"/>
      <w:bookmarkStart w:id="251" w:name="_Toc31057"/>
      <w:bookmarkStart w:id="252" w:name="_Toc1807"/>
      <w:r>
        <w:rPr>
          <w:rStyle w:val="33"/>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4"/>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4"/>
        <w:spacing w:line="500" w:lineRule="atLeast"/>
        <w:ind w:firstLine="607"/>
        <w:jc w:val="center"/>
        <w:outlineLvl w:val="9"/>
        <w:rPr>
          <w:rFonts w:cs="Times New Roman"/>
          <w:color w:val="000000"/>
          <w:szCs w:val="30"/>
        </w:rPr>
      </w:pPr>
      <w:bookmarkStart w:id="253" w:name="_Toc15591"/>
      <w:bookmarkStart w:id="254" w:name="_Toc18044"/>
      <w:bookmarkStart w:id="255" w:name="_Toc19326"/>
      <w:bookmarkStart w:id="256" w:name="_Toc29822"/>
      <w:bookmarkStart w:id="257" w:name="_Toc12408"/>
      <w:bookmarkStart w:id="258" w:name="_Toc13312"/>
      <w:bookmarkStart w:id="259" w:name="_Toc9004"/>
      <w:bookmarkStart w:id="260" w:name="_Toc17482"/>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20"/>
        <w:ind w:firstLine="0" w:firstLineChars="0"/>
        <w:rPr>
          <w:rFonts w:ascii="宋体" w:hAnsi="宋体" w:eastAsia="宋体" w:cs="宋体"/>
          <w:color w:val="000000"/>
          <w:sz w:val="21"/>
          <w:szCs w:val="21"/>
        </w:rPr>
      </w:pPr>
    </w:p>
    <w:p w14:paraId="4AC14BF5">
      <w:pPr>
        <w:pStyle w:val="32"/>
        <w:ind w:firstLine="0" w:firstLineChars="0"/>
        <w:rPr>
          <w:rFonts w:hint="eastAsia" w:ascii="黑体" w:hAnsi="黑体" w:eastAsia="黑体"/>
          <w:b w:val="0"/>
          <w:color w:val="000000"/>
        </w:rPr>
      </w:pPr>
      <w:bookmarkStart w:id="261" w:name="_Toc28770"/>
      <w:bookmarkStart w:id="262" w:name="_Toc16881"/>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2"/>
        <w:ind w:firstLine="0" w:firstLineChars="0"/>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2"/>
        <w:ind w:firstLine="609"/>
        <w:jc w:val="both"/>
        <w:outlineLvl w:val="2"/>
        <w:rPr>
          <w:rFonts w:ascii="仿宋" w:hAnsi="仿宋" w:eastAsia="仿宋" w:cs="仿宋"/>
          <w:bCs w:val="0"/>
          <w:color w:val="000000"/>
        </w:rPr>
      </w:pPr>
      <w:bookmarkStart w:id="264" w:name="_Toc19788"/>
      <w:bookmarkStart w:id="265" w:name="_Toc19195"/>
      <w:bookmarkStart w:id="266" w:name="_Toc14262"/>
      <w:bookmarkStart w:id="267" w:name="_Toc2230"/>
      <w:r>
        <w:rPr>
          <w:rFonts w:hint="eastAsia" w:ascii="仿宋" w:hAnsi="仿宋" w:eastAsia="仿宋" w:cs="仿宋"/>
          <w:bCs w:val="0"/>
          <w:color w:val="000000"/>
        </w:rPr>
        <w:t>一、响应函格式</w:t>
      </w:r>
      <w:bookmarkEnd w:id="264"/>
      <w:bookmarkEnd w:id="265"/>
      <w:bookmarkEnd w:id="266"/>
      <w:bookmarkEnd w:id="267"/>
    </w:p>
    <w:p w14:paraId="58D43A13">
      <w:pPr>
        <w:pStyle w:val="28"/>
        <w:ind w:firstLine="0" w:firstLineChars="0"/>
        <w:jc w:val="center"/>
        <w:rPr>
          <w:rFonts w:ascii="黑体" w:hAnsi="黑体" w:eastAsia="黑体" w:cs="黑体"/>
          <w:color w:val="000000"/>
          <w:sz w:val="32"/>
          <w:szCs w:val="32"/>
        </w:rPr>
      </w:pPr>
      <w:bookmarkStart w:id="268" w:name="_Toc22777"/>
      <w:bookmarkStart w:id="269" w:name="_Toc10617"/>
      <w:bookmarkStart w:id="270" w:name="_Toc23334"/>
      <w:r>
        <w:rPr>
          <w:rFonts w:hint="eastAsia" w:ascii="黑体" w:hAnsi="黑体" w:eastAsia="黑体" w:cs="黑体"/>
          <w:color w:val="000000"/>
          <w:sz w:val="32"/>
          <w:szCs w:val="32"/>
        </w:rPr>
        <w:t>响应函</w:t>
      </w:r>
      <w:bookmarkEnd w:id="268"/>
      <w:bookmarkEnd w:id="269"/>
      <w:bookmarkEnd w:id="270"/>
    </w:p>
    <w:p w14:paraId="282EA6BA">
      <w:pPr>
        <w:pStyle w:val="28"/>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8"/>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8"/>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8"/>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8"/>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8"/>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8"/>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8"/>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8"/>
        <w:spacing w:line="500" w:lineRule="exact"/>
        <w:ind w:firstLine="567"/>
        <w:rPr>
          <w:rFonts w:ascii="华文仿宋" w:hAnsi="华文仿宋" w:cs="华文仿宋"/>
          <w:color w:val="000000"/>
        </w:rPr>
      </w:pPr>
    </w:p>
    <w:p w14:paraId="209525BA">
      <w:pPr>
        <w:pStyle w:val="28"/>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8"/>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8"/>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8"/>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8"/>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8"/>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8"/>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8"/>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8"/>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8"/>
        <w:ind w:firstLine="0" w:firstLineChars="0"/>
        <w:rPr>
          <w:rFonts w:ascii="华文仿宋" w:hAnsi="华文仿宋" w:cs="华文仿宋"/>
          <w:color w:val="000000"/>
          <w:sz w:val="36"/>
        </w:rPr>
      </w:pPr>
    </w:p>
    <w:p w14:paraId="4C6D3F6B">
      <w:pPr>
        <w:pStyle w:val="28"/>
        <w:ind w:firstLine="0" w:firstLineChars="0"/>
        <w:rPr>
          <w:color w:val="000000"/>
          <w:sz w:val="36"/>
        </w:rPr>
      </w:pPr>
    </w:p>
    <w:p w14:paraId="70C7C9DE">
      <w:pPr>
        <w:pStyle w:val="28"/>
        <w:ind w:firstLine="0" w:firstLineChars="0"/>
        <w:rPr>
          <w:color w:val="000000"/>
          <w:sz w:val="24"/>
          <w:szCs w:val="24"/>
        </w:rPr>
      </w:pPr>
    </w:p>
    <w:p w14:paraId="1EE38841">
      <w:pPr>
        <w:pStyle w:val="28"/>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8"/>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2"/>
        <w:ind w:firstLine="609"/>
        <w:jc w:val="both"/>
        <w:outlineLvl w:val="9"/>
        <w:rPr>
          <w:rFonts w:ascii="仿宋" w:hAnsi="仿宋" w:eastAsia="仿宋" w:cs="仿宋"/>
          <w:bCs w:val="0"/>
          <w:color w:val="000000"/>
        </w:rPr>
      </w:pPr>
      <w:bookmarkStart w:id="271" w:name="_Toc24876"/>
      <w:bookmarkStart w:id="272" w:name="_Toc23660"/>
      <w:bookmarkStart w:id="273" w:name="_Toc6921"/>
    </w:p>
    <w:p w14:paraId="1AF40D03">
      <w:pPr>
        <w:pStyle w:val="32"/>
        <w:ind w:firstLine="609"/>
        <w:jc w:val="both"/>
        <w:outlineLvl w:val="9"/>
        <w:rPr>
          <w:rFonts w:ascii="仿宋" w:hAnsi="仿宋" w:eastAsia="仿宋" w:cs="仿宋"/>
          <w:bCs w:val="0"/>
          <w:color w:val="000000"/>
        </w:rPr>
      </w:pPr>
    </w:p>
    <w:p w14:paraId="12E6B8AB">
      <w:pPr>
        <w:pStyle w:val="32"/>
        <w:ind w:firstLine="609"/>
        <w:jc w:val="both"/>
        <w:outlineLvl w:val="9"/>
        <w:rPr>
          <w:rFonts w:ascii="仿宋" w:hAnsi="仿宋" w:eastAsia="仿宋" w:cs="仿宋"/>
          <w:bCs w:val="0"/>
          <w:color w:val="000000"/>
        </w:rPr>
      </w:pPr>
    </w:p>
    <w:p w14:paraId="65D75D7C">
      <w:pPr>
        <w:pStyle w:val="32"/>
        <w:ind w:firstLine="609"/>
        <w:jc w:val="both"/>
        <w:outlineLvl w:val="9"/>
        <w:rPr>
          <w:rFonts w:ascii="仿宋" w:hAnsi="仿宋" w:eastAsia="仿宋" w:cs="仿宋"/>
          <w:bCs w:val="0"/>
          <w:color w:val="000000"/>
        </w:rPr>
      </w:pPr>
    </w:p>
    <w:p w14:paraId="33FAB430">
      <w:pPr>
        <w:pStyle w:val="32"/>
        <w:ind w:firstLine="609"/>
        <w:jc w:val="both"/>
        <w:outlineLvl w:val="9"/>
        <w:rPr>
          <w:rFonts w:ascii="仿宋" w:hAnsi="仿宋" w:eastAsia="仿宋" w:cs="仿宋"/>
          <w:bCs w:val="0"/>
          <w:color w:val="000000"/>
        </w:rPr>
      </w:pPr>
    </w:p>
    <w:p w14:paraId="7E6641E9">
      <w:pPr>
        <w:pStyle w:val="32"/>
        <w:ind w:firstLine="609"/>
        <w:jc w:val="both"/>
        <w:outlineLvl w:val="9"/>
        <w:rPr>
          <w:rFonts w:ascii="仿宋" w:hAnsi="仿宋" w:eastAsia="仿宋" w:cs="仿宋"/>
          <w:bCs w:val="0"/>
          <w:color w:val="000000"/>
        </w:rPr>
      </w:pPr>
    </w:p>
    <w:p w14:paraId="32D911F3">
      <w:pPr>
        <w:pStyle w:val="32"/>
        <w:ind w:firstLine="609"/>
        <w:jc w:val="both"/>
        <w:outlineLvl w:val="9"/>
        <w:rPr>
          <w:rFonts w:ascii="仿宋" w:hAnsi="仿宋" w:eastAsia="仿宋" w:cs="仿宋"/>
          <w:bCs w:val="0"/>
          <w:color w:val="000000"/>
        </w:rPr>
      </w:pPr>
    </w:p>
    <w:p w14:paraId="0306B5D9">
      <w:pPr>
        <w:pStyle w:val="32"/>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2"/>
        <w:numPr>
          <w:ilvl w:val="0"/>
          <w:numId w:val="5"/>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2"/>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2"/>
              <w:widowControl w:val="0"/>
              <w:spacing w:line="240" w:lineRule="auto"/>
              <w:ind w:firstLine="0" w:firstLineChars="0"/>
              <w:rPr>
                <w:rFonts w:ascii="仿宋" w:hAnsi="仿宋" w:eastAsia="仿宋" w:cs="仿宋"/>
                <w:b w:val="0"/>
                <w:bCs w:val="0"/>
                <w:color w:val="000000"/>
                <w:kern w:val="0"/>
                <w:sz w:val="24"/>
                <w:szCs w:val="24"/>
              </w:rPr>
            </w:pPr>
            <w:bookmarkStart w:id="275" w:name="_Toc16202"/>
            <w:bookmarkStart w:id="276" w:name="_Toc28616"/>
            <w:bookmarkStart w:id="277" w:name="_Toc16359"/>
            <w:bookmarkStart w:id="278" w:name="_Toc32559"/>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2"/>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29236"/>
            <w:bookmarkStart w:id="280" w:name="_Toc4371"/>
            <w:bookmarkStart w:id="281" w:name="_Toc26417"/>
            <w:bookmarkStart w:id="282" w:name="_Toc5340"/>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2"/>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2"/>
              <w:widowControl w:val="0"/>
              <w:spacing w:line="240" w:lineRule="auto"/>
              <w:ind w:firstLine="0" w:firstLineChars="0"/>
              <w:rPr>
                <w:rFonts w:ascii="仿宋" w:hAnsi="仿宋" w:eastAsia="仿宋" w:cs="仿宋"/>
                <w:bCs w:val="0"/>
                <w:color w:val="000000"/>
                <w:sz w:val="24"/>
                <w:szCs w:val="24"/>
              </w:rPr>
            </w:pPr>
            <w:bookmarkStart w:id="283" w:name="_Toc9206"/>
            <w:bookmarkStart w:id="284" w:name="_Toc18908"/>
            <w:bookmarkStart w:id="285" w:name="_Toc14670"/>
            <w:bookmarkStart w:id="286" w:name="_Toc24317"/>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2"/>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2"/>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2"/>
        <w:ind w:firstLine="609"/>
        <w:jc w:val="both"/>
        <w:outlineLvl w:val="2"/>
        <w:rPr>
          <w:rFonts w:ascii="仿宋" w:hAnsi="仿宋" w:eastAsia="仿宋" w:cs="仿宋"/>
          <w:bCs w:val="0"/>
          <w:color w:val="000000"/>
        </w:rPr>
      </w:pPr>
      <w:bookmarkStart w:id="287" w:name="_Toc19377"/>
      <w:bookmarkStart w:id="288" w:name="_Toc27738"/>
      <w:bookmarkStart w:id="289" w:name="_Toc31382"/>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5"/>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2"/>
        <w:ind w:firstLine="0" w:firstLineChars="0"/>
        <w:rPr>
          <w:rFonts w:ascii="黑体" w:hAnsi="黑体" w:eastAsia="黑体"/>
          <w:b w:val="0"/>
          <w:color w:val="000000"/>
        </w:rPr>
      </w:pPr>
      <w:r>
        <w:rPr>
          <w:rFonts w:ascii="黑体" w:hAnsi="黑体" w:eastAsia="黑体"/>
          <w:b w:val="0"/>
          <w:color w:val="000000"/>
        </w:rPr>
        <w:br w:type="page"/>
      </w:r>
      <w:bookmarkStart w:id="291" w:name="_Toc525"/>
      <w:bookmarkStart w:id="292" w:name="_Toc15586"/>
      <w:bookmarkStart w:id="293" w:name="_Toc11295"/>
      <w:bookmarkStart w:id="294" w:name="_Toc18795"/>
      <w:bookmarkStart w:id="295" w:name="_Toc12899"/>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2"/>
        <w:ind w:firstLine="609"/>
        <w:jc w:val="both"/>
        <w:outlineLvl w:val="2"/>
        <w:rPr>
          <w:rFonts w:ascii="仿宋" w:hAnsi="仿宋" w:eastAsia="仿宋" w:cs="仿宋"/>
          <w:bCs w:val="0"/>
          <w:color w:val="000000"/>
        </w:rPr>
      </w:pPr>
      <w:bookmarkStart w:id="296" w:name="_Toc24887"/>
      <w:bookmarkStart w:id="297" w:name="_Toc9337_WPSOffice_Level2"/>
      <w:bookmarkStart w:id="298" w:name="_Toc7989"/>
      <w:bookmarkStart w:id="299" w:name="_Toc9079"/>
      <w:bookmarkStart w:id="300" w:name="_Toc11555"/>
      <w:bookmarkStart w:id="301" w:name="_Toc28702"/>
      <w:bookmarkStart w:id="302" w:name="_Toc29975_WPSOffice_Level2"/>
      <w:bookmarkStart w:id="303" w:name="_Toc7732"/>
      <w:bookmarkStart w:id="304" w:name="_Toc17062_WPSOffice_Level2"/>
      <w:bookmarkStart w:id="305" w:name="_Toc15660_WPSOffice_Level2"/>
      <w:bookmarkStart w:id="306" w:name="_Toc17621"/>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2"/>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726"/>
        <w:gridCol w:w="1691"/>
        <w:gridCol w:w="2542"/>
        <w:gridCol w:w="1972"/>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6"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2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69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42"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72"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6" w:type="dxa"/>
            <w:vAlign w:val="center"/>
          </w:tcPr>
          <w:p w14:paraId="714439F4">
            <w:pPr>
              <w:widowControl w:val="0"/>
              <w:spacing w:line="440" w:lineRule="exact"/>
              <w:jc w:val="center"/>
              <w:rPr>
                <w:rFonts w:ascii="仿宋" w:hAnsi="仿宋" w:eastAsia="仿宋" w:cs="仿宋"/>
                <w:color w:val="000000"/>
                <w:sz w:val="24"/>
                <w:szCs w:val="24"/>
              </w:rPr>
            </w:pPr>
          </w:p>
        </w:tc>
        <w:tc>
          <w:tcPr>
            <w:tcW w:w="1726" w:type="dxa"/>
            <w:vAlign w:val="center"/>
          </w:tcPr>
          <w:p w14:paraId="3E49B678">
            <w:pPr>
              <w:widowControl w:val="0"/>
              <w:spacing w:line="440" w:lineRule="exact"/>
              <w:jc w:val="center"/>
              <w:rPr>
                <w:rFonts w:ascii="仿宋" w:hAnsi="仿宋" w:eastAsia="仿宋" w:cs="仿宋"/>
                <w:color w:val="000000"/>
                <w:sz w:val="24"/>
                <w:szCs w:val="24"/>
              </w:rPr>
            </w:pPr>
          </w:p>
        </w:tc>
        <w:tc>
          <w:tcPr>
            <w:tcW w:w="1691" w:type="dxa"/>
            <w:vAlign w:val="center"/>
          </w:tcPr>
          <w:p w14:paraId="65A9940E">
            <w:pPr>
              <w:widowControl w:val="0"/>
              <w:spacing w:line="440" w:lineRule="exact"/>
              <w:jc w:val="center"/>
              <w:rPr>
                <w:rFonts w:ascii="仿宋" w:hAnsi="仿宋" w:eastAsia="仿宋" w:cs="仿宋"/>
                <w:color w:val="000000"/>
                <w:sz w:val="24"/>
                <w:szCs w:val="24"/>
              </w:rPr>
            </w:pPr>
          </w:p>
        </w:tc>
        <w:tc>
          <w:tcPr>
            <w:tcW w:w="2542" w:type="dxa"/>
            <w:vAlign w:val="center"/>
          </w:tcPr>
          <w:p w14:paraId="4BFB165C">
            <w:pPr>
              <w:widowControl w:val="0"/>
              <w:spacing w:line="440" w:lineRule="exact"/>
              <w:jc w:val="center"/>
              <w:rPr>
                <w:rFonts w:ascii="仿宋" w:hAnsi="仿宋" w:eastAsia="仿宋" w:cs="仿宋"/>
                <w:color w:val="000000"/>
                <w:sz w:val="24"/>
                <w:szCs w:val="24"/>
              </w:rPr>
            </w:pPr>
          </w:p>
        </w:tc>
        <w:tc>
          <w:tcPr>
            <w:tcW w:w="1972"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806"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26" w:type="dxa"/>
            <w:vAlign w:val="center"/>
          </w:tcPr>
          <w:p w14:paraId="4FBEE8CB">
            <w:pPr>
              <w:widowControl w:val="0"/>
              <w:spacing w:line="440" w:lineRule="exact"/>
              <w:jc w:val="center"/>
              <w:rPr>
                <w:rFonts w:ascii="仿宋" w:hAnsi="仿宋" w:eastAsia="仿宋" w:cs="仿宋"/>
                <w:color w:val="000000"/>
                <w:sz w:val="24"/>
                <w:szCs w:val="24"/>
              </w:rPr>
            </w:pPr>
          </w:p>
        </w:tc>
        <w:tc>
          <w:tcPr>
            <w:tcW w:w="1691" w:type="dxa"/>
            <w:vAlign w:val="center"/>
          </w:tcPr>
          <w:p w14:paraId="579CBCEC">
            <w:pPr>
              <w:widowControl w:val="0"/>
              <w:spacing w:line="440" w:lineRule="exact"/>
              <w:jc w:val="center"/>
              <w:rPr>
                <w:rFonts w:ascii="仿宋" w:hAnsi="仿宋" w:eastAsia="仿宋" w:cs="仿宋"/>
                <w:color w:val="000000"/>
                <w:sz w:val="24"/>
                <w:szCs w:val="24"/>
              </w:rPr>
            </w:pPr>
          </w:p>
        </w:tc>
        <w:tc>
          <w:tcPr>
            <w:tcW w:w="2542" w:type="dxa"/>
            <w:vAlign w:val="center"/>
          </w:tcPr>
          <w:p w14:paraId="3FD16933">
            <w:pPr>
              <w:widowControl w:val="0"/>
              <w:spacing w:line="440" w:lineRule="exact"/>
              <w:jc w:val="center"/>
              <w:rPr>
                <w:rFonts w:ascii="仿宋" w:hAnsi="仿宋" w:eastAsia="仿宋" w:cs="仿宋"/>
                <w:color w:val="000000"/>
                <w:sz w:val="24"/>
                <w:szCs w:val="24"/>
              </w:rPr>
            </w:pPr>
          </w:p>
        </w:tc>
        <w:tc>
          <w:tcPr>
            <w:tcW w:w="1972"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737"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auto"/>
          <w:sz w:val="24"/>
        </w:rPr>
        <w:t>需提供完整业绩合同</w:t>
      </w:r>
      <w:r>
        <w:rPr>
          <w:rFonts w:hint="eastAsia" w:ascii="仿宋" w:hAnsi="仿宋" w:eastAsia="仿宋" w:cs="仿宋"/>
          <w:color w:val="auto"/>
          <w:sz w:val="24"/>
          <w:lang w:eastAsia="zh-CN"/>
        </w:rPr>
        <w:t>及对应发票</w:t>
      </w:r>
      <w:r>
        <w:rPr>
          <w:rFonts w:hint="eastAsia" w:ascii="仿宋" w:hAnsi="仿宋" w:eastAsia="仿宋" w:cs="仿宋"/>
          <w:color w:val="auto"/>
          <w:sz w:val="24"/>
        </w:rPr>
        <w:t>复印件</w:t>
      </w:r>
      <w:r>
        <w:rPr>
          <w:rFonts w:hint="eastAsia" w:ascii="仿宋" w:hAnsi="仿宋" w:eastAsia="仿宋" w:cs="仿宋"/>
          <w:color w:val="auto"/>
          <w:sz w:val="24"/>
          <w:lang w:eastAsia="zh-CN"/>
        </w:rPr>
        <w:t>（发票可提供服务期内任意一张），并加盖供应商公章，以上两种证明材料同时提供方可得分，否则</w:t>
      </w:r>
      <w:r>
        <w:rPr>
          <w:rFonts w:hint="eastAsia" w:ascii="仿宋" w:hAnsi="仿宋" w:eastAsia="仿宋" w:cs="仿宋"/>
          <w:color w:val="auto"/>
          <w:sz w:val="24"/>
        </w:rPr>
        <w:t>不得分</w:t>
      </w:r>
      <w:r>
        <w:rPr>
          <w:rFonts w:hint="eastAsia" w:ascii="仿宋" w:hAnsi="仿宋" w:eastAsia="仿宋" w:cs="仿宋"/>
          <w:color w:val="000000"/>
          <w:sz w:val="24"/>
          <w:szCs w:val="24"/>
          <w:highlight w:val="none"/>
        </w:rPr>
        <w:t>。</w:t>
      </w:r>
    </w:p>
    <w:p w14:paraId="47E86B8D">
      <w:pPr>
        <w:keepNext w:val="0"/>
        <w:keepLines w:val="0"/>
        <w:pageBreakBefore w:val="0"/>
        <w:widowControl/>
        <w:tabs>
          <w:tab w:val="right" w:pos="9070"/>
        </w:tabs>
        <w:kinsoku/>
        <w:wordWrap/>
        <w:overflowPunct/>
        <w:topLinePunct w:val="0"/>
        <w:autoSpaceDE/>
        <w:autoSpaceDN/>
        <w:bidi w:val="0"/>
        <w:adjustRightInd/>
        <w:snapToGrid w:val="0"/>
        <w:spacing w:line="440" w:lineRule="exact"/>
        <w:ind w:left="566" w:leftChars="200"/>
        <w:textAlignment w:val="auto"/>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keepNext w:val="0"/>
        <w:keepLines w:val="0"/>
        <w:pageBreakBefore w:val="0"/>
        <w:widowControl/>
        <w:tabs>
          <w:tab w:val="right" w:pos="9070"/>
        </w:tabs>
        <w:kinsoku/>
        <w:wordWrap/>
        <w:overflowPunct/>
        <w:topLinePunct w:val="0"/>
        <w:autoSpaceDE/>
        <w:autoSpaceDN/>
        <w:bidi w:val="0"/>
        <w:adjustRightInd/>
        <w:spacing w:line="440" w:lineRule="exact"/>
        <w:ind w:firstLine="566" w:firstLineChars="200"/>
        <w:textAlignment w:val="auto"/>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keepNext w:val="0"/>
        <w:keepLines w:val="0"/>
        <w:pageBreakBefore w:val="0"/>
        <w:widowControl/>
        <w:tabs>
          <w:tab w:val="right" w:pos="9070"/>
        </w:tabs>
        <w:kinsoku/>
        <w:wordWrap/>
        <w:overflowPunct/>
        <w:topLinePunct w:val="0"/>
        <w:autoSpaceDE/>
        <w:autoSpaceDN/>
        <w:bidi w:val="0"/>
        <w:adjustRightInd/>
        <w:spacing w:line="440" w:lineRule="exact"/>
        <w:ind w:firstLine="566" w:firstLineChars="200"/>
        <w:textAlignment w:val="auto"/>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keepNext w:val="0"/>
        <w:keepLines w:val="0"/>
        <w:pageBreakBefore w:val="0"/>
        <w:widowControl/>
        <w:tabs>
          <w:tab w:val="right" w:pos="9070"/>
        </w:tabs>
        <w:kinsoku/>
        <w:wordWrap/>
        <w:overflowPunct/>
        <w:topLinePunct w:val="0"/>
        <w:autoSpaceDE/>
        <w:autoSpaceDN/>
        <w:bidi w:val="0"/>
        <w:adjustRightInd/>
        <w:spacing w:line="440" w:lineRule="exact"/>
        <w:ind w:firstLine="566" w:firstLineChars="200"/>
        <w:textAlignment w:val="auto"/>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961"/>
        <w:gridCol w:w="1250"/>
        <w:gridCol w:w="24"/>
        <w:gridCol w:w="1352"/>
        <w:gridCol w:w="16"/>
        <w:gridCol w:w="7"/>
        <w:gridCol w:w="1568"/>
        <w:gridCol w:w="1726"/>
        <w:gridCol w:w="42"/>
        <w:gridCol w:w="1051"/>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880"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1"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5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76"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91"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26"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3"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1" w:type="dxa"/>
            <w:tcBorders>
              <w:left w:val="single" w:color="auto" w:sz="6" w:space="0"/>
            </w:tcBorders>
            <w:vAlign w:val="center"/>
          </w:tcPr>
          <w:p w14:paraId="68DC3640">
            <w:pPr>
              <w:rPr>
                <w:rFonts w:ascii="仿宋" w:hAnsi="仿宋" w:eastAsia="仿宋" w:cs="仿宋"/>
                <w:color w:val="000000"/>
                <w:sz w:val="24"/>
                <w:szCs w:val="24"/>
              </w:rPr>
            </w:pPr>
          </w:p>
        </w:tc>
        <w:tc>
          <w:tcPr>
            <w:tcW w:w="1250" w:type="dxa"/>
            <w:vAlign w:val="center"/>
          </w:tcPr>
          <w:p w14:paraId="7AAA17D2">
            <w:pPr>
              <w:rPr>
                <w:rFonts w:ascii="仿宋" w:hAnsi="仿宋" w:eastAsia="仿宋" w:cs="仿宋"/>
                <w:color w:val="000000"/>
                <w:sz w:val="24"/>
                <w:szCs w:val="24"/>
              </w:rPr>
            </w:pPr>
          </w:p>
        </w:tc>
        <w:tc>
          <w:tcPr>
            <w:tcW w:w="1376" w:type="dxa"/>
            <w:gridSpan w:val="2"/>
            <w:vAlign w:val="center"/>
          </w:tcPr>
          <w:p w14:paraId="2222E8D0">
            <w:pPr>
              <w:rPr>
                <w:rFonts w:ascii="仿宋" w:hAnsi="仿宋" w:eastAsia="仿宋" w:cs="仿宋"/>
                <w:color w:val="000000"/>
                <w:sz w:val="24"/>
                <w:szCs w:val="24"/>
              </w:rPr>
            </w:pPr>
          </w:p>
        </w:tc>
        <w:tc>
          <w:tcPr>
            <w:tcW w:w="1591" w:type="dxa"/>
            <w:gridSpan w:val="3"/>
            <w:vAlign w:val="center"/>
          </w:tcPr>
          <w:p w14:paraId="1D04E1E1">
            <w:pPr>
              <w:rPr>
                <w:rFonts w:ascii="仿宋" w:hAnsi="仿宋" w:eastAsia="仿宋" w:cs="仿宋"/>
                <w:color w:val="000000"/>
                <w:sz w:val="24"/>
                <w:szCs w:val="24"/>
              </w:rPr>
            </w:pPr>
          </w:p>
        </w:tc>
        <w:tc>
          <w:tcPr>
            <w:tcW w:w="1726" w:type="dxa"/>
            <w:tcBorders>
              <w:right w:val="single" w:color="auto" w:sz="2" w:space="0"/>
            </w:tcBorders>
            <w:vAlign w:val="center"/>
          </w:tcPr>
          <w:p w14:paraId="3AEACC29">
            <w:pPr>
              <w:rPr>
                <w:rFonts w:ascii="仿宋" w:hAnsi="仿宋" w:eastAsia="仿宋" w:cs="仿宋"/>
                <w:color w:val="000000"/>
                <w:sz w:val="24"/>
                <w:szCs w:val="24"/>
              </w:rPr>
            </w:pPr>
          </w:p>
        </w:tc>
        <w:tc>
          <w:tcPr>
            <w:tcW w:w="1093"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1" w:type="dxa"/>
            <w:tcBorders>
              <w:left w:val="single" w:color="auto" w:sz="6" w:space="0"/>
            </w:tcBorders>
            <w:vAlign w:val="center"/>
          </w:tcPr>
          <w:p w14:paraId="1563AF4D">
            <w:pPr>
              <w:rPr>
                <w:rFonts w:ascii="仿宋" w:hAnsi="仿宋" w:eastAsia="仿宋" w:cs="仿宋"/>
                <w:color w:val="000000"/>
                <w:sz w:val="24"/>
                <w:szCs w:val="24"/>
              </w:rPr>
            </w:pPr>
          </w:p>
        </w:tc>
        <w:tc>
          <w:tcPr>
            <w:tcW w:w="1250" w:type="dxa"/>
            <w:vAlign w:val="center"/>
          </w:tcPr>
          <w:p w14:paraId="5EB2FE43">
            <w:pPr>
              <w:rPr>
                <w:rFonts w:ascii="仿宋" w:hAnsi="仿宋" w:eastAsia="仿宋" w:cs="仿宋"/>
                <w:color w:val="000000"/>
                <w:sz w:val="24"/>
                <w:szCs w:val="24"/>
              </w:rPr>
            </w:pPr>
          </w:p>
        </w:tc>
        <w:tc>
          <w:tcPr>
            <w:tcW w:w="1376" w:type="dxa"/>
            <w:gridSpan w:val="2"/>
            <w:vAlign w:val="center"/>
          </w:tcPr>
          <w:p w14:paraId="01A1A9C8">
            <w:pPr>
              <w:rPr>
                <w:rFonts w:ascii="仿宋" w:hAnsi="仿宋" w:eastAsia="仿宋" w:cs="仿宋"/>
                <w:color w:val="000000"/>
                <w:sz w:val="24"/>
                <w:szCs w:val="24"/>
              </w:rPr>
            </w:pPr>
          </w:p>
        </w:tc>
        <w:tc>
          <w:tcPr>
            <w:tcW w:w="1591" w:type="dxa"/>
            <w:gridSpan w:val="3"/>
            <w:vAlign w:val="center"/>
          </w:tcPr>
          <w:p w14:paraId="3D1C9352">
            <w:pPr>
              <w:rPr>
                <w:rFonts w:ascii="仿宋" w:hAnsi="仿宋" w:eastAsia="仿宋" w:cs="仿宋"/>
                <w:color w:val="000000"/>
                <w:sz w:val="24"/>
                <w:szCs w:val="24"/>
              </w:rPr>
            </w:pPr>
          </w:p>
        </w:tc>
        <w:tc>
          <w:tcPr>
            <w:tcW w:w="1726" w:type="dxa"/>
            <w:tcBorders>
              <w:right w:val="single" w:color="auto" w:sz="2" w:space="0"/>
            </w:tcBorders>
            <w:vAlign w:val="center"/>
          </w:tcPr>
          <w:p w14:paraId="3380C4F3">
            <w:pPr>
              <w:rPr>
                <w:rFonts w:ascii="仿宋" w:hAnsi="仿宋" w:eastAsia="仿宋" w:cs="仿宋"/>
                <w:color w:val="000000"/>
                <w:sz w:val="24"/>
                <w:szCs w:val="24"/>
              </w:rPr>
            </w:pPr>
          </w:p>
        </w:tc>
        <w:tc>
          <w:tcPr>
            <w:tcW w:w="1093"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1" w:type="dxa"/>
            <w:tcBorders>
              <w:left w:val="single" w:color="auto" w:sz="6" w:space="0"/>
            </w:tcBorders>
            <w:vAlign w:val="center"/>
          </w:tcPr>
          <w:p w14:paraId="6072B424">
            <w:pPr>
              <w:rPr>
                <w:rFonts w:ascii="仿宋" w:hAnsi="仿宋" w:eastAsia="仿宋" w:cs="仿宋"/>
                <w:color w:val="000000"/>
                <w:sz w:val="24"/>
                <w:szCs w:val="24"/>
              </w:rPr>
            </w:pPr>
          </w:p>
        </w:tc>
        <w:tc>
          <w:tcPr>
            <w:tcW w:w="1250" w:type="dxa"/>
            <w:vAlign w:val="center"/>
          </w:tcPr>
          <w:p w14:paraId="36E02D79">
            <w:pPr>
              <w:rPr>
                <w:rFonts w:ascii="仿宋" w:hAnsi="仿宋" w:eastAsia="仿宋" w:cs="仿宋"/>
                <w:color w:val="000000"/>
                <w:sz w:val="24"/>
                <w:szCs w:val="24"/>
              </w:rPr>
            </w:pPr>
          </w:p>
        </w:tc>
        <w:tc>
          <w:tcPr>
            <w:tcW w:w="1376" w:type="dxa"/>
            <w:gridSpan w:val="2"/>
            <w:vAlign w:val="center"/>
          </w:tcPr>
          <w:p w14:paraId="59DBA56A">
            <w:pPr>
              <w:rPr>
                <w:rFonts w:ascii="仿宋" w:hAnsi="仿宋" w:eastAsia="仿宋" w:cs="仿宋"/>
                <w:color w:val="000000"/>
                <w:sz w:val="24"/>
                <w:szCs w:val="24"/>
              </w:rPr>
            </w:pPr>
          </w:p>
        </w:tc>
        <w:tc>
          <w:tcPr>
            <w:tcW w:w="1591" w:type="dxa"/>
            <w:gridSpan w:val="3"/>
            <w:vAlign w:val="center"/>
          </w:tcPr>
          <w:p w14:paraId="62F8F60C">
            <w:pPr>
              <w:rPr>
                <w:rFonts w:ascii="仿宋" w:hAnsi="仿宋" w:eastAsia="仿宋" w:cs="仿宋"/>
                <w:color w:val="000000"/>
                <w:sz w:val="24"/>
                <w:szCs w:val="24"/>
              </w:rPr>
            </w:pPr>
          </w:p>
        </w:tc>
        <w:tc>
          <w:tcPr>
            <w:tcW w:w="1726" w:type="dxa"/>
            <w:tcBorders>
              <w:right w:val="single" w:color="auto" w:sz="2" w:space="0"/>
            </w:tcBorders>
            <w:vAlign w:val="center"/>
          </w:tcPr>
          <w:p w14:paraId="59515329">
            <w:pPr>
              <w:rPr>
                <w:rFonts w:ascii="仿宋" w:hAnsi="仿宋" w:eastAsia="仿宋" w:cs="仿宋"/>
                <w:color w:val="000000"/>
                <w:sz w:val="24"/>
                <w:szCs w:val="24"/>
              </w:rPr>
            </w:pPr>
          </w:p>
        </w:tc>
        <w:tc>
          <w:tcPr>
            <w:tcW w:w="1093"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880"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1"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5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392"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75"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68"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51"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1" w:type="dxa"/>
            <w:tcBorders>
              <w:left w:val="single" w:color="auto" w:sz="6" w:space="0"/>
            </w:tcBorders>
            <w:vAlign w:val="center"/>
          </w:tcPr>
          <w:p w14:paraId="7EA71054">
            <w:pPr>
              <w:rPr>
                <w:rFonts w:ascii="仿宋" w:hAnsi="仿宋" w:eastAsia="仿宋" w:cs="仿宋"/>
                <w:color w:val="000000"/>
                <w:sz w:val="24"/>
                <w:szCs w:val="24"/>
              </w:rPr>
            </w:pPr>
          </w:p>
        </w:tc>
        <w:tc>
          <w:tcPr>
            <w:tcW w:w="1250" w:type="dxa"/>
            <w:vAlign w:val="center"/>
          </w:tcPr>
          <w:p w14:paraId="55C4ED7B">
            <w:pPr>
              <w:rPr>
                <w:rFonts w:ascii="仿宋" w:hAnsi="仿宋" w:eastAsia="仿宋" w:cs="仿宋"/>
                <w:color w:val="000000"/>
                <w:sz w:val="24"/>
                <w:szCs w:val="24"/>
              </w:rPr>
            </w:pPr>
          </w:p>
        </w:tc>
        <w:tc>
          <w:tcPr>
            <w:tcW w:w="1392" w:type="dxa"/>
            <w:gridSpan w:val="3"/>
            <w:vAlign w:val="center"/>
          </w:tcPr>
          <w:p w14:paraId="7D3488AB">
            <w:pPr>
              <w:rPr>
                <w:rFonts w:ascii="仿宋" w:hAnsi="仿宋" w:eastAsia="仿宋" w:cs="仿宋"/>
                <w:color w:val="000000"/>
                <w:sz w:val="24"/>
                <w:szCs w:val="24"/>
              </w:rPr>
            </w:pPr>
          </w:p>
        </w:tc>
        <w:tc>
          <w:tcPr>
            <w:tcW w:w="1575" w:type="dxa"/>
            <w:gridSpan w:val="2"/>
            <w:vAlign w:val="center"/>
          </w:tcPr>
          <w:p w14:paraId="2C29CA64">
            <w:pPr>
              <w:rPr>
                <w:rFonts w:ascii="仿宋" w:hAnsi="仿宋" w:eastAsia="仿宋" w:cs="仿宋"/>
                <w:color w:val="000000"/>
                <w:sz w:val="24"/>
                <w:szCs w:val="24"/>
              </w:rPr>
            </w:pPr>
          </w:p>
        </w:tc>
        <w:tc>
          <w:tcPr>
            <w:tcW w:w="1768" w:type="dxa"/>
            <w:gridSpan w:val="2"/>
            <w:vAlign w:val="center"/>
          </w:tcPr>
          <w:p w14:paraId="52FF641C">
            <w:pPr>
              <w:rPr>
                <w:rFonts w:ascii="仿宋" w:hAnsi="仿宋" w:eastAsia="仿宋" w:cs="仿宋"/>
                <w:color w:val="000000"/>
                <w:sz w:val="24"/>
                <w:szCs w:val="24"/>
              </w:rPr>
            </w:pPr>
          </w:p>
        </w:tc>
        <w:tc>
          <w:tcPr>
            <w:tcW w:w="1051"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1" w:type="dxa"/>
            <w:tcBorders>
              <w:left w:val="single" w:color="auto" w:sz="6" w:space="0"/>
            </w:tcBorders>
            <w:vAlign w:val="center"/>
          </w:tcPr>
          <w:p w14:paraId="3594A22E">
            <w:pPr>
              <w:rPr>
                <w:rFonts w:ascii="仿宋" w:hAnsi="仿宋" w:eastAsia="仿宋" w:cs="仿宋"/>
                <w:color w:val="000000"/>
                <w:sz w:val="24"/>
                <w:szCs w:val="24"/>
              </w:rPr>
            </w:pPr>
          </w:p>
        </w:tc>
        <w:tc>
          <w:tcPr>
            <w:tcW w:w="1250" w:type="dxa"/>
            <w:vAlign w:val="center"/>
          </w:tcPr>
          <w:p w14:paraId="7795BE4E">
            <w:pPr>
              <w:rPr>
                <w:rFonts w:ascii="仿宋" w:hAnsi="仿宋" w:eastAsia="仿宋" w:cs="仿宋"/>
                <w:color w:val="000000"/>
                <w:sz w:val="24"/>
                <w:szCs w:val="24"/>
              </w:rPr>
            </w:pPr>
          </w:p>
        </w:tc>
        <w:tc>
          <w:tcPr>
            <w:tcW w:w="1392" w:type="dxa"/>
            <w:gridSpan w:val="3"/>
            <w:vAlign w:val="center"/>
          </w:tcPr>
          <w:p w14:paraId="3CA40067">
            <w:pPr>
              <w:rPr>
                <w:rFonts w:ascii="仿宋" w:hAnsi="仿宋" w:eastAsia="仿宋" w:cs="仿宋"/>
                <w:color w:val="000000"/>
                <w:sz w:val="24"/>
                <w:szCs w:val="24"/>
              </w:rPr>
            </w:pPr>
          </w:p>
        </w:tc>
        <w:tc>
          <w:tcPr>
            <w:tcW w:w="1575" w:type="dxa"/>
            <w:gridSpan w:val="2"/>
            <w:vAlign w:val="center"/>
          </w:tcPr>
          <w:p w14:paraId="2683B27D">
            <w:pPr>
              <w:rPr>
                <w:rFonts w:ascii="仿宋" w:hAnsi="仿宋" w:eastAsia="仿宋" w:cs="仿宋"/>
                <w:color w:val="000000"/>
                <w:sz w:val="24"/>
                <w:szCs w:val="24"/>
              </w:rPr>
            </w:pPr>
          </w:p>
        </w:tc>
        <w:tc>
          <w:tcPr>
            <w:tcW w:w="1768" w:type="dxa"/>
            <w:gridSpan w:val="2"/>
            <w:vAlign w:val="center"/>
          </w:tcPr>
          <w:p w14:paraId="74FCDFB6">
            <w:pPr>
              <w:rPr>
                <w:rFonts w:ascii="仿宋" w:hAnsi="仿宋" w:eastAsia="仿宋" w:cs="仿宋"/>
                <w:color w:val="000000"/>
                <w:sz w:val="24"/>
                <w:szCs w:val="24"/>
              </w:rPr>
            </w:pPr>
          </w:p>
        </w:tc>
        <w:tc>
          <w:tcPr>
            <w:tcW w:w="1051"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1" w:type="dxa"/>
            <w:tcBorders>
              <w:left w:val="single" w:color="auto" w:sz="6" w:space="0"/>
            </w:tcBorders>
            <w:vAlign w:val="center"/>
          </w:tcPr>
          <w:p w14:paraId="079EA8AE">
            <w:pPr>
              <w:rPr>
                <w:rFonts w:ascii="仿宋" w:hAnsi="仿宋" w:eastAsia="仿宋" w:cs="仿宋"/>
                <w:color w:val="000000"/>
                <w:sz w:val="24"/>
                <w:szCs w:val="24"/>
              </w:rPr>
            </w:pPr>
          </w:p>
        </w:tc>
        <w:tc>
          <w:tcPr>
            <w:tcW w:w="1250" w:type="dxa"/>
            <w:vAlign w:val="center"/>
          </w:tcPr>
          <w:p w14:paraId="6F22256A">
            <w:pPr>
              <w:rPr>
                <w:rFonts w:ascii="仿宋" w:hAnsi="仿宋" w:eastAsia="仿宋" w:cs="仿宋"/>
                <w:color w:val="000000"/>
                <w:sz w:val="24"/>
                <w:szCs w:val="24"/>
              </w:rPr>
            </w:pPr>
          </w:p>
        </w:tc>
        <w:tc>
          <w:tcPr>
            <w:tcW w:w="1392" w:type="dxa"/>
            <w:gridSpan w:val="3"/>
            <w:vAlign w:val="center"/>
          </w:tcPr>
          <w:p w14:paraId="3925C45F">
            <w:pPr>
              <w:rPr>
                <w:rFonts w:ascii="仿宋" w:hAnsi="仿宋" w:eastAsia="仿宋" w:cs="仿宋"/>
                <w:color w:val="000000"/>
                <w:sz w:val="24"/>
                <w:szCs w:val="24"/>
              </w:rPr>
            </w:pPr>
          </w:p>
        </w:tc>
        <w:tc>
          <w:tcPr>
            <w:tcW w:w="1575" w:type="dxa"/>
            <w:gridSpan w:val="2"/>
            <w:vAlign w:val="center"/>
          </w:tcPr>
          <w:p w14:paraId="157629CD">
            <w:pPr>
              <w:rPr>
                <w:rFonts w:ascii="仿宋" w:hAnsi="仿宋" w:eastAsia="仿宋" w:cs="仿宋"/>
                <w:color w:val="000000"/>
                <w:sz w:val="24"/>
                <w:szCs w:val="24"/>
              </w:rPr>
            </w:pPr>
          </w:p>
        </w:tc>
        <w:tc>
          <w:tcPr>
            <w:tcW w:w="1768" w:type="dxa"/>
            <w:gridSpan w:val="2"/>
            <w:vAlign w:val="center"/>
          </w:tcPr>
          <w:p w14:paraId="69CC7161">
            <w:pPr>
              <w:rPr>
                <w:rFonts w:ascii="仿宋" w:hAnsi="仿宋" w:eastAsia="仿宋" w:cs="仿宋"/>
                <w:color w:val="000000"/>
                <w:sz w:val="24"/>
                <w:szCs w:val="24"/>
              </w:rPr>
            </w:pPr>
          </w:p>
        </w:tc>
        <w:tc>
          <w:tcPr>
            <w:tcW w:w="1051"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80"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1"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7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75"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68"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68"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51"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1" w:type="dxa"/>
            <w:tcBorders>
              <w:left w:val="single" w:color="auto" w:sz="6" w:space="0"/>
            </w:tcBorders>
            <w:vAlign w:val="center"/>
          </w:tcPr>
          <w:p w14:paraId="5977E0E5">
            <w:pPr>
              <w:rPr>
                <w:rFonts w:ascii="仿宋" w:hAnsi="仿宋" w:eastAsia="仿宋" w:cs="仿宋"/>
                <w:color w:val="000000"/>
                <w:sz w:val="24"/>
                <w:szCs w:val="24"/>
              </w:rPr>
            </w:pPr>
          </w:p>
        </w:tc>
        <w:tc>
          <w:tcPr>
            <w:tcW w:w="127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75"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68" w:type="dxa"/>
            <w:vAlign w:val="center"/>
          </w:tcPr>
          <w:p w14:paraId="3CBE5823">
            <w:pPr>
              <w:rPr>
                <w:rFonts w:ascii="仿宋" w:hAnsi="仿宋" w:eastAsia="仿宋" w:cs="仿宋"/>
                <w:color w:val="000000"/>
                <w:sz w:val="24"/>
                <w:szCs w:val="24"/>
              </w:rPr>
            </w:pPr>
          </w:p>
        </w:tc>
        <w:tc>
          <w:tcPr>
            <w:tcW w:w="1768" w:type="dxa"/>
            <w:gridSpan w:val="2"/>
            <w:vAlign w:val="center"/>
          </w:tcPr>
          <w:p w14:paraId="29A4C64E">
            <w:pPr>
              <w:rPr>
                <w:rFonts w:ascii="仿宋" w:hAnsi="仿宋" w:eastAsia="仿宋" w:cs="仿宋"/>
                <w:color w:val="000000"/>
                <w:sz w:val="24"/>
                <w:szCs w:val="24"/>
              </w:rPr>
            </w:pPr>
          </w:p>
        </w:tc>
        <w:tc>
          <w:tcPr>
            <w:tcW w:w="1051"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1" w:type="dxa"/>
            <w:tcBorders>
              <w:left w:val="single" w:color="auto" w:sz="6" w:space="0"/>
            </w:tcBorders>
            <w:vAlign w:val="center"/>
          </w:tcPr>
          <w:p w14:paraId="28E9562A">
            <w:pPr>
              <w:rPr>
                <w:rFonts w:ascii="仿宋" w:hAnsi="仿宋" w:eastAsia="仿宋" w:cs="仿宋"/>
                <w:color w:val="000000"/>
                <w:sz w:val="24"/>
                <w:szCs w:val="24"/>
              </w:rPr>
            </w:pPr>
          </w:p>
        </w:tc>
        <w:tc>
          <w:tcPr>
            <w:tcW w:w="127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75"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68" w:type="dxa"/>
            <w:vAlign w:val="center"/>
          </w:tcPr>
          <w:p w14:paraId="0097413F">
            <w:pPr>
              <w:rPr>
                <w:rFonts w:ascii="仿宋" w:hAnsi="仿宋" w:eastAsia="仿宋" w:cs="仿宋"/>
                <w:color w:val="000000"/>
                <w:sz w:val="24"/>
                <w:szCs w:val="24"/>
              </w:rPr>
            </w:pPr>
          </w:p>
        </w:tc>
        <w:tc>
          <w:tcPr>
            <w:tcW w:w="1768" w:type="dxa"/>
            <w:gridSpan w:val="2"/>
            <w:vAlign w:val="center"/>
          </w:tcPr>
          <w:p w14:paraId="38274F71">
            <w:pPr>
              <w:rPr>
                <w:rFonts w:ascii="仿宋" w:hAnsi="仿宋" w:eastAsia="仿宋" w:cs="仿宋"/>
                <w:color w:val="000000"/>
                <w:sz w:val="24"/>
                <w:szCs w:val="24"/>
              </w:rPr>
            </w:pPr>
          </w:p>
        </w:tc>
        <w:tc>
          <w:tcPr>
            <w:tcW w:w="1051"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1" w:type="dxa"/>
            <w:tcBorders>
              <w:left w:val="single" w:color="auto" w:sz="6" w:space="0"/>
            </w:tcBorders>
            <w:vAlign w:val="center"/>
          </w:tcPr>
          <w:p w14:paraId="7EB13FFA">
            <w:pPr>
              <w:rPr>
                <w:rFonts w:ascii="仿宋" w:hAnsi="仿宋" w:eastAsia="仿宋" w:cs="仿宋"/>
                <w:color w:val="000000"/>
                <w:sz w:val="24"/>
                <w:szCs w:val="24"/>
              </w:rPr>
            </w:pPr>
          </w:p>
        </w:tc>
        <w:tc>
          <w:tcPr>
            <w:tcW w:w="127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75"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68" w:type="dxa"/>
            <w:vAlign w:val="center"/>
          </w:tcPr>
          <w:p w14:paraId="172E1B72">
            <w:pPr>
              <w:rPr>
                <w:rFonts w:ascii="仿宋" w:hAnsi="仿宋" w:eastAsia="仿宋" w:cs="仿宋"/>
                <w:color w:val="000000"/>
                <w:sz w:val="24"/>
                <w:szCs w:val="24"/>
              </w:rPr>
            </w:pPr>
          </w:p>
        </w:tc>
        <w:tc>
          <w:tcPr>
            <w:tcW w:w="1768" w:type="dxa"/>
            <w:gridSpan w:val="2"/>
            <w:vAlign w:val="center"/>
          </w:tcPr>
          <w:p w14:paraId="27C0B4B8">
            <w:pPr>
              <w:rPr>
                <w:rFonts w:ascii="仿宋" w:hAnsi="仿宋" w:eastAsia="仿宋" w:cs="仿宋"/>
                <w:color w:val="000000"/>
                <w:sz w:val="24"/>
                <w:szCs w:val="24"/>
              </w:rPr>
            </w:pPr>
          </w:p>
        </w:tc>
        <w:tc>
          <w:tcPr>
            <w:tcW w:w="1051"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3"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7997"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0F0AC55-D4F4-4304-BA3F-880727986E84}"/>
  </w:font>
  <w:font w:name="黑体">
    <w:panose1 w:val="02010609060101010101"/>
    <w:charset w:val="86"/>
    <w:family w:val="auto"/>
    <w:pitch w:val="default"/>
    <w:sig w:usb0="800002BF" w:usb1="38CF7CFA" w:usb2="00000016" w:usb3="00000000" w:csb0="00040001" w:csb1="00000000"/>
    <w:embedRegular r:id="rId2" w:fontKey="{CFF0EC03-7C10-43D0-8A27-8437D6150B3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7EC6FE07-E9F6-4746-8565-7CC6C600BD49}"/>
  </w:font>
  <w:font w:name="Calibri Light">
    <w:panose1 w:val="020F0302020204030204"/>
    <w:charset w:val="00"/>
    <w:family w:val="swiss"/>
    <w:pitch w:val="default"/>
    <w:sig w:usb0="E0002AFF" w:usb1="C000247B" w:usb2="00000009" w:usb3="00000000" w:csb0="200001FF" w:csb1="00000000"/>
    <w:embedRegular r:id="rId4" w:fontKey="{A88C7C63-3A2C-45C3-9178-9FA319037CBF}"/>
  </w:font>
  <w:font w:name="华文仿宋">
    <w:panose1 w:val="02010600040101010101"/>
    <w:charset w:val="86"/>
    <w:family w:val="auto"/>
    <w:pitch w:val="default"/>
    <w:sig w:usb0="00000287" w:usb1="080F0000" w:usb2="00000000" w:usb3="00000000" w:csb0="0004009F" w:csb1="DFD70000"/>
    <w:embedRegular r:id="rId5" w:fontKey="{8F5ED4EE-C1C3-4E0B-81B5-478644A81DAA}"/>
  </w:font>
  <w:font w:name="仿宋_GB2312">
    <w:panose1 w:val="02010609030101010101"/>
    <w:charset w:val="86"/>
    <w:family w:val="modern"/>
    <w:pitch w:val="default"/>
    <w:sig w:usb0="00000001" w:usb1="080E0000" w:usb2="00000000" w:usb3="00000000" w:csb0="00040000" w:csb1="00000000"/>
    <w:embedRegular r:id="rId6" w:fontKey="{C3CC266B-9589-46BE-9BDA-083F7876FF38}"/>
  </w:font>
  <w:font w:name="幼圆">
    <w:altName w:val="宋体"/>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7" w:fontKey="{D708F022-3649-46DB-A548-0D852655A215}"/>
  </w:font>
  <w:font w:name="华文中宋">
    <w:altName w:val="宋体"/>
    <w:panose1 w:val="02010600040101010101"/>
    <w:charset w:val="86"/>
    <w:family w:val="auto"/>
    <w:pitch w:val="default"/>
    <w:sig w:usb0="00000000" w:usb1="00000000" w:usb2="00000000" w:usb3="00000000" w:csb0="0004009F" w:csb1="DFD70000"/>
    <w:embedRegular r:id="rId8" w:fontKey="{7BE4276C-E9EC-43EF-BF1C-517D2292DAD7}"/>
  </w:font>
  <w:font w:name="宋体-18030">
    <w:altName w:val="SimSun-ExtB"/>
    <w:panose1 w:val="00000000000000000000"/>
    <w:charset w:val="86"/>
    <w:family w:val="modern"/>
    <w:pitch w:val="default"/>
    <w:sig w:usb0="00000000" w:usb1="00000000" w:usb2="000A005E" w:usb3="00000000" w:csb0="00040001" w:csb1="00000000"/>
    <w:embedRegular r:id="rId9" w:fontKey="{709A7FED-D3D6-4BE5-9D76-11241FA0F2D8}"/>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6F793">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posOffset>2458720</wp:posOffset>
              </wp:positionH>
              <wp:positionV relativeFrom="paragraph">
                <wp:posOffset>46990</wp:posOffset>
              </wp:positionV>
              <wp:extent cx="715645" cy="179070"/>
              <wp:effectExtent l="0" t="0" r="0" b="0"/>
              <wp:wrapNone/>
              <wp:docPr id="8" name="文本框 8"/>
              <wp:cNvGraphicFramePr/>
              <a:graphic xmlns:a="http://schemas.openxmlformats.org/drawingml/2006/main">
                <a:graphicData uri="http://schemas.microsoft.com/office/word/2010/wordprocessingShape">
                  <wps:wsp>
                    <wps:cNvSpPr txBox="1"/>
                    <wps:spPr>
                      <a:xfrm>
                        <a:off x="0" y="0"/>
                        <a:ext cx="715645" cy="179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3.6pt;margin-top:3.7pt;height:14.1pt;width:56.35pt;mso-position-horizontal-relative:margin;z-index:251663360;mso-width-relative:page;mso-height-relative:page;" filled="f" stroked="f" coordsize="21600,21600" o:gfxdata="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pHXdtgAAAAIAQAADwAAAAAAAAABACAAAAAiAAAAZHJzL2Rvd25y&#10;ZXYueG1sUEsBAhQAFAAAAAgAh07iQDK1h3I3AgAAYQQAAA4AAAAAAAAAAQAgAAAAJwEAAGRycy9l&#10;Mm9Eb2MueG1sUEsFBgAAAAAGAAYAWQEAANAFAAAAAA==&#10;">
              <v:fill on="f" focussize="0,0"/>
              <v:stroke on="f" weight="0.5pt"/>
              <v:imagedata o:title=""/>
              <o:lock v:ext="edit" aspectratio="f"/>
              <v:textbox inset="0mm,0mm,0mm,0mm">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4"/>
      <w:rPr>
        <w:rFonts w:hint="eastAsia"/>
        <w:b w:val="0"/>
        <w:bCs w:val="0"/>
        <w:color w:val="auto"/>
        <w:lang w:eastAsia="zh-CN"/>
      </w:rPr>
    </w:pPr>
    <w:r>
      <w:rPr>
        <w:rFonts w:hint="eastAsia"/>
        <w:b w:val="0"/>
        <w:bCs w:val="0"/>
        <w:color w:val="auto"/>
        <w:lang w:eastAsia="zh-CN"/>
      </w:rPr>
      <w:t>延安职业技术学院2026-2028年保安社会化管理服务项目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4"/>
    </w:pPr>
    <w:r>
      <w:rPr>
        <w:rFonts w:hint="default"/>
        <w:color w:val="000000"/>
      </w:rPr>
      <w:t xml:space="preserve">延安职业技术学院2026-2028年保安社会化管理服务项目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4"/>
      <w:tabs>
        <w:tab w:val="left" w:pos="368"/>
      </w:tabs>
      <w:jc w:val="center"/>
    </w:pPr>
    <w:r>
      <w:rPr>
        <w:rFonts w:hint="default"/>
        <w:color w:val="000000"/>
      </w:rPr>
      <w:t xml:space="preserve">延安职业技术学院2026-2028年保安社会化管理服务项目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05C9A07"/>
    <w:multiLevelType w:val="singleLevel"/>
    <w:tmpl w:val="205C9A07"/>
    <w:lvl w:ilvl="0" w:tentative="0">
      <w:start w:val="4"/>
      <w:numFmt w:val="chineseCounting"/>
      <w:suff w:val="nothing"/>
      <w:lvlText w:val="（%1）"/>
      <w:lvlJc w:val="left"/>
      <w:rPr>
        <w:rFonts w:hint="eastAsia"/>
      </w:rPr>
    </w:lvl>
  </w:abstractNum>
  <w:abstractNum w:abstractNumId="3">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4">
    <w:nsid w:val="700C5CB2"/>
    <w:multiLevelType w:val="singleLevel"/>
    <w:tmpl w:val="700C5CB2"/>
    <w:lvl w:ilvl="0" w:tentative="0">
      <w:start w:val="2"/>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24E35"/>
    <w:rsid w:val="00150EAD"/>
    <w:rsid w:val="00503069"/>
    <w:rsid w:val="005917D3"/>
    <w:rsid w:val="005A0D91"/>
    <w:rsid w:val="005C4D2E"/>
    <w:rsid w:val="006836D3"/>
    <w:rsid w:val="007C717F"/>
    <w:rsid w:val="007F58B7"/>
    <w:rsid w:val="00885B23"/>
    <w:rsid w:val="008C3E75"/>
    <w:rsid w:val="008C6C96"/>
    <w:rsid w:val="00920750"/>
    <w:rsid w:val="00A13B93"/>
    <w:rsid w:val="00A3470B"/>
    <w:rsid w:val="00FD6FFF"/>
    <w:rsid w:val="0106590A"/>
    <w:rsid w:val="0153724B"/>
    <w:rsid w:val="015C2B0C"/>
    <w:rsid w:val="017E6B98"/>
    <w:rsid w:val="01826A17"/>
    <w:rsid w:val="018B236D"/>
    <w:rsid w:val="018E1CDD"/>
    <w:rsid w:val="01995B0E"/>
    <w:rsid w:val="01A422D2"/>
    <w:rsid w:val="01B14C06"/>
    <w:rsid w:val="01C963F3"/>
    <w:rsid w:val="01E6443F"/>
    <w:rsid w:val="01EE19B6"/>
    <w:rsid w:val="020A0DA8"/>
    <w:rsid w:val="02183E82"/>
    <w:rsid w:val="02457A2C"/>
    <w:rsid w:val="0253245F"/>
    <w:rsid w:val="025A34EF"/>
    <w:rsid w:val="026B3007"/>
    <w:rsid w:val="029562D6"/>
    <w:rsid w:val="02B26E88"/>
    <w:rsid w:val="02CD1F13"/>
    <w:rsid w:val="02D13556"/>
    <w:rsid w:val="02D768EE"/>
    <w:rsid w:val="02E80AFB"/>
    <w:rsid w:val="02F6579D"/>
    <w:rsid w:val="03092820"/>
    <w:rsid w:val="03167531"/>
    <w:rsid w:val="032F5083"/>
    <w:rsid w:val="03351867"/>
    <w:rsid w:val="035829D1"/>
    <w:rsid w:val="038F2C12"/>
    <w:rsid w:val="038F3245"/>
    <w:rsid w:val="039B407E"/>
    <w:rsid w:val="03AE3AF3"/>
    <w:rsid w:val="03D42E2E"/>
    <w:rsid w:val="03FB660C"/>
    <w:rsid w:val="04115E30"/>
    <w:rsid w:val="041E4679"/>
    <w:rsid w:val="04212517"/>
    <w:rsid w:val="04552A50"/>
    <w:rsid w:val="045C7680"/>
    <w:rsid w:val="0482288A"/>
    <w:rsid w:val="04867C52"/>
    <w:rsid w:val="0490144A"/>
    <w:rsid w:val="04AD3DAA"/>
    <w:rsid w:val="04B663D0"/>
    <w:rsid w:val="04B74C29"/>
    <w:rsid w:val="04B90AB9"/>
    <w:rsid w:val="04C46E30"/>
    <w:rsid w:val="04CB048C"/>
    <w:rsid w:val="04ED064B"/>
    <w:rsid w:val="04FD0162"/>
    <w:rsid w:val="053C0609"/>
    <w:rsid w:val="05465EBB"/>
    <w:rsid w:val="055B7A87"/>
    <w:rsid w:val="05985572"/>
    <w:rsid w:val="059C797B"/>
    <w:rsid w:val="05B97C74"/>
    <w:rsid w:val="05CA26AE"/>
    <w:rsid w:val="05CC0260"/>
    <w:rsid w:val="05E11832"/>
    <w:rsid w:val="05FE23E4"/>
    <w:rsid w:val="0616597F"/>
    <w:rsid w:val="0620235A"/>
    <w:rsid w:val="06500E91"/>
    <w:rsid w:val="06571C6C"/>
    <w:rsid w:val="067E4BBE"/>
    <w:rsid w:val="067F52D3"/>
    <w:rsid w:val="069279F6"/>
    <w:rsid w:val="06952D48"/>
    <w:rsid w:val="06B55971"/>
    <w:rsid w:val="06FC4B75"/>
    <w:rsid w:val="07267E44"/>
    <w:rsid w:val="073C0184"/>
    <w:rsid w:val="074810B3"/>
    <w:rsid w:val="075C73C2"/>
    <w:rsid w:val="075F6A10"/>
    <w:rsid w:val="07660241"/>
    <w:rsid w:val="07CF1388"/>
    <w:rsid w:val="080715F7"/>
    <w:rsid w:val="08161C67"/>
    <w:rsid w:val="081859DF"/>
    <w:rsid w:val="0831355E"/>
    <w:rsid w:val="08406CE4"/>
    <w:rsid w:val="085D5AE7"/>
    <w:rsid w:val="08602EE2"/>
    <w:rsid w:val="086A3D60"/>
    <w:rsid w:val="089963F4"/>
    <w:rsid w:val="08A92ADB"/>
    <w:rsid w:val="08B01682"/>
    <w:rsid w:val="08D21E73"/>
    <w:rsid w:val="08E6531C"/>
    <w:rsid w:val="09000221"/>
    <w:rsid w:val="0906678C"/>
    <w:rsid w:val="090E293E"/>
    <w:rsid w:val="09207FBB"/>
    <w:rsid w:val="092600E8"/>
    <w:rsid w:val="092E0A33"/>
    <w:rsid w:val="093700E7"/>
    <w:rsid w:val="09420839"/>
    <w:rsid w:val="09424A0F"/>
    <w:rsid w:val="095429DE"/>
    <w:rsid w:val="0969226A"/>
    <w:rsid w:val="097A7FD3"/>
    <w:rsid w:val="098F7F12"/>
    <w:rsid w:val="09945156"/>
    <w:rsid w:val="09B41737"/>
    <w:rsid w:val="09F00295"/>
    <w:rsid w:val="0A2F247A"/>
    <w:rsid w:val="0A3208AE"/>
    <w:rsid w:val="0AA20035"/>
    <w:rsid w:val="0AAA2B3A"/>
    <w:rsid w:val="0AD927DA"/>
    <w:rsid w:val="0AFD2C6A"/>
    <w:rsid w:val="0B287EF2"/>
    <w:rsid w:val="0B2E1E80"/>
    <w:rsid w:val="0B6A3BEB"/>
    <w:rsid w:val="0B6E78D8"/>
    <w:rsid w:val="0B753148"/>
    <w:rsid w:val="0B7849E6"/>
    <w:rsid w:val="0B7A250D"/>
    <w:rsid w:val="0B8769D7"/>
    <w:rsid w:val="0B892750"/>
    <w:rsid w:val="0B931ED3"/>
    <w:rsid w:val="0B9A495D"/>
    <w:rsid w:val="0BAD401F"/>
    <w:rsid w:val="0BAF665A"/>
    <w:rsid w:val="0BB04180"/>
    <w:rsid w:val="0BBE6B6A"/>
    <w:rsid w:val="0BC5416A"/>
    <w:rsid w:val="0BCB0FBA"/>
    <w:rsid w:val="0BCB720C"/>
    <w:rsid w:val="0BE01DA1"/>
    <w:rsid w:val="0BFF569C"/>
    <w:rsid w:val="0C3A3E75"/>
    <w:rsid w:val="0C5B233E"/>
    <w:rsid w:val="0C7B17EF"/>
    <w:rsid w:val="0CB754DF"/>
    <w:rsid w:val="0CE265BB"/>
    <w:rsid w:val="0CF42CB0"/>
    <w:rsid w:val="0CFD33F5"/>
    <w:rsid w:val="0D26294C"/>
    <w:rsid w:val="0D4B6583"/>
    <w:rsid w:val="0D625B94"/>
    <w:rsid w:val="0D883087"/>
    <w:rsid w:val="0DCB34F3"/>
    <w:rsid w:val="0DD71E98"/>
    <w:rsid w:val="0DE00CB6"/>
    <w:rsid w:val="0DE73C50"/>
    <w:rsid w:val="0DE85E53"/>
    <w:rsid w:val="0DFB64F3"/>
    <w:rsid w:val="0DFC0475"/>
    <w:rsid w:val="0E0302A0"/>
    <w:rsid w:val="0E2F75DE"/>
    <w:rsid w:val="0E484619"/>
    <w:rsid w:val="0E9465F6"/>
    <w:rsid w:val="0E990EFC"/>
    <w:rsid w:val="0EA07F83"/>
    <w:rsid w:val="0EAC16E8"/>
    <w:rsid w:val="0EB65F51"/>
    <w:rsid w:val="0EC51CF1"/>
    <w:rsid w:val="0EE320D8"/>
    <w:rsid w:val="0F0767AD"/>
    <w:rsid w:val="0F380715"/>
    <w:rsid w:val="0F40581B"/>
    <w:rsid w:val="0F483D4E"/>
    <w:rsid w:val="0F5A4B1A"/>
    <w:rsid w:val="0F8C5352"/>
    <w:rsid w:val="0FB75ADD"/>
    <w:rsid w:val="0FCB7000"/>
    <w:rsid w:val="100D3BA5"/>
    <w:rsid w:val="10480E2B"/>
    <w:rsid w:val="104F55B9"/>
    <w:rsid w:val="105B6408"/>
    <w:rsid w:val="106A0DA2"/>
    <w:rsid w:val="109160DD"/>
    <w:rsid w:val="10B555D0"/>
    <w:rsid w:val="110411F6"/>
    <w:rsid w:val="1111746F"/>
    <w:rsid w:val="111D59F8"/>
    <w:rsid w:val="115A7068"/>
    <w:rsid w:val="11641C95"/>
    <w:rsid w:val="116457F1"/>
    <w:rsid w:val="117D2D56"/>
    <w:rsid w:val="11991213"/>
    <w:rsid w:val="11B92B3A"/>
    <w:rsid w:val="11C72224"/>
    <w:rsid w:val="11CB5870"/>
    <w:rsid w:val="12163D18"/>
    <w:rsid w:val="121E62E8"/>
    <w:rsid w:val="12266F4A"/>
    <w:rsid w:val="12291BED"/>
    <w:rsid w:val="12693030"/>
    <w:rsid w:val="1279351E"/>
    <w:rsid w:val="12A85BB1"/>
    <w:rsid w:val="12BA4725"/>
    <w:rsid w:val="12C31B2A"/>
    <w:rsid w:val="13113756"/>
    <w:rsid w:val="131B45D5"/>
    <w:rsid w:val="13483D9B"/>
    <w:rsid w:val="13485EDB"/>
    <w:rsid w:val="134A310C"/>
    <w:rsid w:val="13631E88"/>
    <w:rsid w:val="13830225"/>
    <w:rsid w:val="138844B0"/>
    <w:rsid w:val="13B87923"/>
    <w:rsid w:val="13C0517C"/>
    <w:rsid w:val="13C6192E"/>
    <w:rsid w:val="13C82EBD"/>
    <w:rsid w:val="13ED52C0"/>
    <w:rsid w:val="13F41F7E"/>
    <w:rsid w:val="13F56BD4"/>
    <w:rsid w:val="13F923DF"/>
    <w:rsid w:val="14014803"/>
    <w:rsid w:val="14072DAB"/>
    <w:rsid w:val="144E2788"/>
    <w:rsid w:val="145204CA"/>
    <w:rsid w:val="148625B0"/>
    <w:rsid w:val="149E54BE"/>
    <w:rsid w:val="14A423A8"/>
    <w:rsid w:val="14A75F77"/>
    <w:rsid w:val="14C30A80"/>
    <w:rsid w:val="14EA2EBE"/>
    <w:rsid w:val="14FE41AE"/>
    <w:rsid w:val="150115A9"/>
    <w:rsid w:val="154D47EE"/>
    <w:rsid w:val="155344FA"/>
    <w:rsid w:val="15535D43"/>
    <w:rsid w:val="15787B7C"/>
    <w:rsid w:val="15B4486D"/>
    <w:rsid w:val="15CA5B4B"/>
    <w:rsid w:val="15D867AD"/>
    <w:rsid w:val="15EC2259"/>
    <w:rsid w:val="161768F2"/>
    <w:rsid w:val="16297009"/>
    <w:rsid w:val="16331C36"/>
    <w:rsid w:val="16563FC8"/>
    <w:rsid w:val="166167A3"/>
    <w:rsid w:val="167364D6"/>
    <w:rsid w:val="1686445B"/>
    <w:rsid w:val="16CD3E38"/>
    <w:rsid w:val="16D74786"/>
    <w:rsid w:val="1743234C"/>
    <w:rsid w:val="175E666B"/>
    <w:rsid w:val="17640690"/>
    <w:rsid w:val="177469AA"/>
    <w:rsid w:val="177B15A9"/>
    <w:rsid w:val="17887D5F"/>
    <w:rsid w:val="17A22A5A"/>
    <w:rsid w:val="17D50129"/>
    <w:rsid w:val="18147845"/>
    <w:rsid w:val="18185636"/>
    <w:rsid w:val="182305D6"/>
    <w:rsid w:val="182932F0"/>
    <w:rsid w:val="185B4FDD"/>
    <w:rsid w:val="185F6D12"/>
    <w:rsid w:val="186C7681"/>
    <w:rsid w:val="189831C8"/>
    <w:rsid w:val="18C80D5B"/>
    <w:rsid w:val="18CE5C46"/>
    <w:rsid w:val="18D771F0"/>
    <w:rsid w:val="18DD40DB"/>
    <w:rsid w:val="18F558C8"/>
    <w:rsid w:val="190C006F"/>
    <w:rsid w:val="191044B0"/>
    <w:rsid w:val="19191C06"/>
    <w:rsid w:val="1934019F"/>
    <w:rsid w:val="194A4E3B"/>
    <w:rsid w:val="196A1E12"/>
    <w:rsid w:val="196F11D7"/>
    <w:rsid w:val="196F567B"/>
    <w:rsid w:val="19752927"/>
    <w:rsid w:val="198A7DBF"/>
    <w:rsid w:val="1997072D"/>
    <w:rsid w:val="19974BFE"/>
    <w:rsid w:val="19A05834"/>
    <w:rsid w:val="19A50AE7"/>
    <w:rsid w:val="19E80F89"/>
    <w:rsid w:val="19F210D5"/>
    <w:rsid w:val="19FD4AA7"/>
    <w:rsid w:val="1A197394"/>
    <w:rsid w:val="1A1B310D"/>
    <w:rsid w:val="1A4B2A44"/>
    <w:rsid w:val="1A6E76E0"/>
    <w:rsid w:val="1A7A42D7"/>
    <w:rsid w:val="1A845156"/>
    <w:rsid w:val="1A9133CF"/>
    <w:rsid w:val="1A952EBF"/>
    <w:rsid w:val="1A972B45"/>
    <w:rsid w:val="1AA13ABF"/>
    <w:rsid w:val="1AB9713F"/>
    <w:rsid w:val="1ABF7590"/>
    <w:rsid w:val="1AC55423"/>
    <w:rsid w:val="1AC6751C"/>
    <w:rsid w:val="1ADC289C"/>
    <w:rsid w:val="1AF220BF"/>
    <w:rsid w:val="1AF851FC"/>
    <w:rsid w:val="1B0F3646"/>
    <w:rsid w:val="1B1D686F"/>
    <w:rsid w:val="1B281F85"/>
    <w:rsid w:val="1B361E84"/>
    <w:rsid w:val="1B6805D3"/>
    <w:rsid w:val="1B854CE1"/>
    <w:rsid w:val="1B9D3974"/>
    <w:rsid w:val="1BBD18E9"/>
    <w:rsid w:val="1BD94078"/>
    <w:rsid w:val="1BF72592"/>
    <w:rsid w:val="1BF87BB9"/>
    <w:rsid w:val="1BFB3B62"/>
    <w:rsid w:val="1C0A51E7"/>
    <w:rsid w:val="1C24274C"/>
    <w:rsid w:val="1C273FEB"/>
    <w:rsid w:val="1C2F10F1"/>
    <w:rsid w:val="1C3A34E8"/>
    <w:rsid w:val="1C3D650C"/>
    <w:rsid w:val="1C533032"/>
    <w:rsid w:val="1C564667"/>
    <w:rsid w:val="1C5E5533"/>
    <w:rsid w:val="1C6E12C2"/>
    <w:rsid w:val="1C6E7E6B"/>
    <w:rsid w:val="1C7A30C4"/>
    <w:rsid w:val="1C8812E8"/>
    <w:rsid w:val="1CCC38A0"/>
    <w:rsid w:val="1CE35C57"/>
    <w:rsid w:val="1CFA325C"/>
    <w:rsid w:val="1D231C99"/>
    <w:rsid w:val="1D2616DA"/>
    <w:rsid w:val="1D305121"/>
    <w:rsid w:val="1D4665DA"/>
    <w:rsid w:val="1D70551D"/>
    <w:rsid w:val="1D7A37C6"/>
    <w:rsid w:val="1D954D97"/>
    <w:rsid w:val="1D994A74"/>
    <w:rsid w:val="1DE96F38"/>
    <w:rsid w:val="1DEA52D0"/>
    <w:rsid w:val="1DF148B0"/>
    <w:rsid w:val="1DF20628"/>
    <w:rsid w:val="1E2A7DC2"/>
    <w:rsid w:val="1E2E3FC6"/>
    <w:rsid w:val="1E326C77"/>
    <w:rsid w:val="1E45667C"/>
    <w:rsid w:val="1E6F3A27"/>
    <w:rsid w:val="1EA47B74"/>
    <w:rsid w:val="1EA641A8"/>
    <w:rsid w:val="1ED1023E"/>
    <w:rsid w:val="1EDF295B"/>
    <w:rsid w:val="1F3233D2"/>
    <w:rsid w:val="1F4727DA"/>
    <w:rsid w:val="1F511C17"/>
    <w:rsid w:val="1F5B337D"/>
    <w:rsid w:val="1F745799"/>
    <w:rsid w:val="1F797010"/>
    <w:rsid w:val="1F8C6655"/>
    <w:rsid w:val="1F971571"/>
    <w:rsid w:val="1FA3607E"/>
    <w:rsid w:val="1FD03DA6"/>
    <w:rsid w:val="1FDD264F"/>
    <w:rsid w:val="1FE90BAE"/>
    <w:rsid w:val="1FEC17D3"/>
    <w:rsid w:val="1FEF4E1F"/>
    <w:rsid w:val="20026C99"/>
    <w:rsid w:val="200603BB"/>
    <w:rsid w:val="20370574"/>
    <w:rsid w:val="203B62B7"/>
    <w:rsid w:val="20604F13"/>
    <w:rsid w:val="208512E0"/>
    <w:rsid w:val="208D63E6"/>
    <w:rsid w:val="2096173F"/>
    <w:rsid w:val="20A41DC5"/>
    <w:rsid w:val="20AA5D86"/>
    <w:rsid w:val="20E7303F"/>
    <w:rsid w:val="20F23661"/>
    <w:rsid w:val="21020B82"/>
    <w:rsid w:val="2159252D"/>
    <w:rsid w:val="21983295"/>
    <w:rsid w:val="219C0FD7"/>
    <w:rsid w:val="21A91D49"/>
    <w:rsid w:val="21B3498B"/>
    <w:rsid w:val="21B37336"/>
    <w:rsid w:val="21C423B0"/>
    <w:rsid w:val="21CB71C6"/>
    <w:rsid w:val="21D7362A"/>
    <w:rsid w:val="21E8421C"/>
    <w:rsid w:val="21E964A3"/>
    <w:rsid w:val="221E7C3E"/>
    <w:rsid w:val="22266AF2"/>
    <w:rsid w:val="22325497"/>
    <w:rsid w:val="2248284A"/>
    <w:rsid w:val="22941CAE"/>
    <w:rsid w:val="22944E50"/>
    <w:rsid w:val="22B3482A"/>
    <w:rsid w:val="22EA60CD"/>
    <w:rsid w:val="22F866E1"/>
    <w:rsid w:val="22FF181D"/>
    <w:rsid w:val="231449BC"/>
    <w:rsid w:val="2342170A"/>
    <w:rsid w:val="2351194D"/>
    <w:rsid w:val="235A3A47"/>
    <w:rsid w:val="235D02F2"/>
    <w:rsid w:val="236930C6"/>
    <w:rsid w:val="23757C0A"/>
    <w:rsid w:val="23952182"/>
    <w:rsid w:val="23B2156E"/>
    <w:rsid w:val="23C13D4C"/>
    <w:rsid w:val="23FB786F"/>
    <w:rsid w:val="2434162D"/>
    <w:rsid w:val="243A65CE"/>
    <w:rsid w:val="2443357E"/>
    <w:rsid w:val="244514B2"/>
    <w:rsid w:val="24455956"/>
    <w:rsid w:val="246700A8"/>
    <w:rsid w:val="246E33EC"/>
    <w:rsid w:val="24763D61"/>
    <w:rsid w:val="24D97E4C"/>
    <w:rsid w:val="24DE36B4"/>
    <w:rsid w:val="24E851E9"/>
    <w:rsid w:val="250A44A9"/>
    <w:rsid w:val="251F3B5B"/>
    <w:rsid w:val="254F72FB"/>
    <w:rsid w:val="25546F0C"/>
    <w:rsid w:val="25633D82"/>
    <w:rsid w:val="25804B6B"/>
    <w:rsid w:val="258B7E58"/>
    <w:rsid w:val="258C3110"/>
    <w:rsid w:val="259049AF"/>
    <w:rsid w:val="25987D07"/>
    <w:rsid w:val="25B974F6"/>
    <w:rsid w:val="25BF3B7E"/>
    <w:rsid w:val="25D845A8"/>
    <w:rsid w:val="261C34E9"/>
    <w:rsid w:val="26321976"/>
    <w:rsid w:val="264D2300"/>
    <w:rsid w:val="268564DD"/>
    <w:rsid w:val="26871FB3"/>
    <w:rsid w:val="26882E12"/>
    <w:rsid w:val="26B80661"/>
    <w:rsid w:val="26E03714"/>
    <w:rsid w:val="26E36D60"/>
    <w:rsid w:val="27190A70"/>
    <w:rsid w:val="272555CB"/>
    <w:rsid w:val="272D447F"/>
    <w:rsid w:val="277D3506"/>
    <w:rsid w:val="27A74232"/>
    <w:rsid w:val="27BC6787"/>
    <w:rsid w:val="27CA4388"/>
    <w:rsid w:val="28071805"/>
    <w:rsid w:val="280E605F"/>
    <w:rsid w:val="281A2F57"/>
    <w:rsid w:val="282E04AF"/>
    <w:rsid w:val="28371501"/>
    <w:rsid w:val="285717B4"/>
    <w:rsid w:val="285A2DEF"/>
    <w:rsid w:val="285B2042"/>
    <w:rsid w:val="285E6FE6"/>
    <w:rsid w:val="286C445A"/>
    <w:rsid w:val="287A7186"/>
    <w:rsid w:val="28905D7D"/>
    <w:rsid w:val="28B36B23"/>
    <w:rsid w:val="28C3509B"/>
    <w:rsid w:val="28C36E49"/>
    <w:rsid w:val="28D472A8"/>
    <w:rsid w:val="28E514B5"/>
    <w:rsid w:val="28F23FA6"/>
    <w:rsid w:val="28F6721F"/>
    <w:rsid w:val="29001E4B"/>
    <w:rsid w:val="29172C46"/>
    <w:rsid w:val="291C47A3"/>
    <w:rsid w:val="29307688"/>
    <w:rsid w:val="29310257"/>
    <w:rsid w:val="29411588"/>
    <w:rsid w:val="294A1318"/>
    <w:rsid w:val="298962E5"/>
    <w:rsid w:val="29B844D4"/>
    <w:rsid w:val="29B91531"/>
    <w:rsid w:val="29CB726B"/>
    <w:rsid w:val="29CC3486"/>
    <w:rsid w:val="29DA269C"/>
    <w:rsid w:val="29E4176D"/>
    <w:rsid w:val="29E7300B"/>
    <w:rsid w:val="29EE7EF6"/>
    <w:rsid w:val="29FB11D2"/>
    <w:rsid w:val="29FF0355"/>
    <w:rsid w:val="2A246AEB"/>
    <w:rsid w:val="2A2C0A1E"/>
    <w:rsid w:val="2A2E29E8"/>
    <w:rsid w:val="2A355B25"/>
    <w:rsid w:val="2A455541"/>
    <w:rsid w:val="2A473886"/>
    <w:rsid w:val="2A573CED"/>
    <w:rsid w:val="2A596061"/>
    <w:rsid w:val="2A7C3754"/>
    <w:rsid w:val="2A930A9D"/>
    <w:rsid w:val="2AAE24A7"/>
    <w:rsid w:val="2AAF1D7B"/>
    <w:rsid w:val="2ADE62B2"/>
    <w:rsid w:val="2B2D2CA0"/>
    <w:rsid w:val="2B6D12EE"/>
    <w:rsid w:val="2B7D7783"/>
    <w:rsid w:val="2B8A3B5C"/>
    <w:rsid w:val="2BB331A5"/>
    <w:rsid w:val="2BB44256"/>
    <w:rsid w:val="2BC60FC8"/>
    <w:rsid w:val="2BFD6B16"/>
    <w:rsid w:val="2C197C11"/>
    <w:rsid w:val="2C273B93"/>
    <w:rsid w:val="2C2B3B1E"/>
    <w:rsid w:val="2C464019"/>
    <w:rsid w:val="2C484235"/>
    <w:rsid w:val="2C526E62"/>
    <w:rsid w:val="2C9E3E55"/>
    <w:rsid w:val="2CB45044"/>
    <w:rsid w:val="2CBA2FBD"/>
    <w:rsid w:val="2CCE7FC5"/>
    <w:rsid w:val="2CD755B9"/>
    <w:rsid w:val="2CE90A48"/>
    <w:rsid w:val="2CF9552F"/>
    <w:rsid w:val="2CFD01DC"/>
    <w:rsid w:val="2D306A77"/>
    <w:rsid w:val="2D3227EF"/>
    <w:rsid w:val="2D3447B9"/>
    <w:rsid w:val="2D630BFB"/>
    <w:rsid w:val="2D940467"/>
    <w:rsid w:val="2D9D235F"/>
    <w:rsid w:val="2DBF5292"/>
    <w:rsid w:val="2DD85145"/>
    <w:rsid w:val="2DF45CF7"/>
    <w:rsid w:val="2E0942AF"/>
    <w:rsid w:val="2E0B6E95"/>
    <w:rsid w:val="2E100D83"/>
    <w:rsid w:val="2E250A7D"/>
    <w:rsid w:val="2E314855"/>
    <w:rsid w:val="2E352597"/>
    <w:rsid w:val="2E516A26"/>
    <w:rsid w:val="2E861045"/>
    <w:rsid w:val="2E87708A"/>
    <w:rsid w:val="2E9F03ED"/>
    <w:rsid w:val="2EA25C4E"/>
    <w:rsid w:val="2EF1054D"/>
    <w:rsid w:val="2EF7419D"/>
    <w:rsid w:val="2F083808"/>
    <w:rsid w:val="2F285C58"/>
    <w:rsid w:val="2F2D14C0"/>
    <w:rsid w:val="2F3C6DC2"/>
    <w:rsid w:val="2F44743E"/>
    <w:rsid w:val="2F472CFA"/>
    <w:rsid w:val="2F603644"/>
    <w:rsid w:val="2F686AD9"/>
    <w:rsid w:val="2F6F1AD9"/>
    <w:rsid w:val="2F8A246F"/>
    <w:rsid w:val="2F8B12A7"/>
    <w:rsid w:val="2F8C268B"/>
    <w:rsid w:val="2FD26B56"/>
    <w:rsid w:val="2FEE50F3"/>
    <w:rsid w:val="2FF16992"/>
    <w:rsid w:val="2FF26187"/>
    <w:rsid w:val="30110DE2"/>
    <w:rsid w:val="302503E9"/>
    <w:rsid w:val="3041203C"/>
    <w:rsid w:val="305D7B83"/>
    <w:rsid w:val="30915A7F"/>
    <w:rsid w:val="30925F54"/>
    <w:rsid w:val="30A9101A"/>
    <w:rsid w:val="30C32657"/>
    <w:rsid w:val="30D76637"/>
    <w:rsid w:val="30EC4205"/>
    <w:rsid w:val="30EF69E4"/>
    <w:rsid w:val="31107929"/>
    <w:rsid w:val="31132938"/>
    <w:rsid w:val="311606DB"/>
    <w:rsid w:val="312132A7"/>
    <w:rsid w:val="313A0BD1"/>
    <w:rsid w:val="31404725"/>
    <w:rsid w:val="31440D43"/>
    <w:rsid w:val="31552F50"/>
    <w:rsid w:val="31615451"/>
    <w:rsid w:val="316867E0"/>
    <w:rsid w:val="318555E4"/>
    <w:rsid w:val="31905D36"/>
    <w:rsid w:val="31926A3D"/>
    <w:rsid w:val="31AD68E8"/>
    <w:rsid w:val="31B5579D"/>
    <w:rsid w:val="31B92EF6"/>
    <w:rsid w:val="31E076C1"/>
    <w:rsid w:val="31EB07E1"/>
    <w:rsid w:val="32021C86"/>
    <w:rsid w:val="322767CF"/>
    <w:rsid w:val="324A2916"/>
    <w:rsid w:val="32632844"/>
    <w:rsid w:val="32A63A63"/>
    <w:rsid w:val="32CE4D68"/>
    <w:rsid w:val="32E04BAD"/>
    <w:rsid w:val="32FA4F54"/>
    <w:rsid w:val="330C5088"/>
    <w:rsid w:val="330D3A5D"/>
    <w:rsid w:val="33414383"/>
    <w:rsid w:val="33492641"/>
    <w:rsid w:val="336A2CE3"/>
    <w:rsid w:val="33784CD4"/>
    <w:rsid w:val="339935C8"/>
    <w:rsid w:val="33D2532E"/>
    <w:rsid w:val="33D47D4F"/>
    <w:rsid w:val="342B0848"/>
    <w:rsid w:val="344A6FB9"/>
    <w:rsid w:val="348953EB"/>
    <w:rsid w:val="34916002"/>
    <w:rsid w:val="349C4646"/>
    <w:rsid w:val="34AF2977"/>
    <w:rsid w:val="34B43C68"/>
    <w:rsid w:val="34E40B78"/>
    <w:rsid w:val="34FC4643"/>
    <w:rsid w:val="351D3D85"/>
    <w:rsid w:val="353648EE"/>
    <w:rsid w:val="354912F6"/>
    <w:rsid w:val="355A2DB4"/>
    <w:rsid w:val="355B6BD8"/>
    <w:rsid w:val="35672FFF"/>
    <w:rsid w:val="356A5862"/>
    <w:rsid w:val="3581411C"/>
    <w:rsid w:val="35867B7C"/>
    <w:rsid w:val="3599165E"/>
    <w:rsid w:val="359E1ADF"/>
    <w:rsid w:val="35E653C6"/>
    <w:rsid w:val="36392E40"/>
    <w:rsid w:val="363A3E94"/>
    <w:rsid w:val="363D5FAB"/>
    <w:rsid w:val="364745B3"/>
    <w:rsid w:val="365D6B2F"/>
    <w:rsid w:val="367B236C"/>
    <w:rsid w:val="368E6A63"/>
    <w:rsid w:val="3692250F"/>
    <w:rsid w:val="36B97711"/>
    <w:rsid w:val="36BD312A"/>
    <w:rsid w:val="36E0506A"/>
    <w:rsid w:val="36E21696"/>
    <w:rsid w:val="36E903C3"/>
    <w:rsid w:val="36F122E3"/>
    <w:rsid w:val="371D006C"/>
    <w:rsid w:val="371E68C5"/>
    <w:rsid w:val="374E0226"/>
    <w:rsid w:val="374E46CA"/>
    <w:rsid w:val="376C4B50"/>
    <w:rsid w:val="37936580"/>
    <w:rsid w:val="37963C65"/>
    <w:rsid w:val="37DC4F30"/>
    <w:rsid w:val="37DD0AAA"/>
    <w:rsid w:val="37ED7A3F"/>
    <w:rsid w:val="38455ACD"/>
    <w:rsid w:val="38466FF4"/>
    <w:rsid w:val="384E39BC"/>
    <w:rsid w:val="384E5558"/>
    <w:rsid w:val="3879473D"/>
    <w:rsid w:val="38827FB0"/>
    <w:rsid w:val="388B6AFB"/>
    <w:rsid w:val="38960E85"/>
    <w:rsid w:val="38A34BF8"/>
    <w:rsid w:val="38AF2F28"/>
    <w:rsid w:val="38BF587F"/>
    <w:rsid w:val="38DA51B2"/>
    <w:rsid w:val="38DD49D6"/>
    <w:rsid w:val="38E5105E"/>
    <w:rsid w:val="39205BF2"/>
    <w:rsid w:val="39344543"/>
    <w:rsid w:val="39785A2E"/>
    <w:rsid w:val="399C796E"/>
    <w:rsid w:val="39A17917"/>
    <w:rsid w:val="39DA2245"/>
    <w:rsid w:val="39E15381"/>
    <w:rsid w:val="3A147C15"/>
    <w:rsid w:val="3A2C2CB0"/>
    <w:rsid w:val="3A2D6818"/>
    <w:rsid w:val="3A3473AE"/>
    <w:rsid w:val="3A3B7187"/>
    <w:rsid w:val="3A40479E"/>
    <w:rsid w:val="3A4E0707"/>
    <w:rsid w:val="3A6B5356"/>
    <w:rsid w:val="3A743A5B"/>
    <w:rsid w:val="3A7754FB"/>
    <w:rsid w:val="3A861B09"/>
    <w:rsid w:val="3A8E6472"/>
    <w:rsid w:val="3A993FEF"/>
    <w:rsid w:val="3A9B73CB"/>
    <w:rsid w:val="3ABE667C"/>
    <w:rsid w:val="3ACB7183"/>
    <w:rsid w:val="3ACF5B21"/>
    <w:rsid w:val="3AD52E6E"/>
    <w:rsid w:val="3AE570F3"/>
    <w:rsid w:val="3B0E3CCE"/>
    <w:rsid w:val="3B163750"/>
    <w:rsid w:val="3B2C2F74"/>
    <w:rsid w:val="3B3E6803"/>
    <w:rsid w:val="3B3F2CA7"/>
    <w:rsid w:val="3B410244"/>
    <w:rsid w:val="3B581673"/>
    <w:rsid w:val="3B6E11E1"/>
    <w:rsid w:val="3B836E46"/>
    <w:rsid w:val="3B9A7EDD"/>
    <w:rsid w:val="3C110DE0"/>
    <w:rsid w:val="3C17152E"/>
    <w:rsid w:val="3C222894"/>
    <w:rsid w:val="3C371BD0"/>
    <w:rsid w:val="3C687483"/>
    <w:rsid w:val="3C962485"/>
    <w:rsid w:val="3C9F71B8"/>
    <w:rsid w:val="3CB13731"/>
    <w:rsid w:val="3CB13CE3"/>
    <w:rsid w:val="3CBF05CA"/>
    <w:rsid w:val="3CD13DD3"/>
    <w:rsid w:val="3CE31410"/>
    <w:rsid w:val="3CF16DC5"/>
    <w:rsid w:val="3CFA5BD5"/>
    <w:rsid w:val="3D1E2D4B"/>
    <w:rsid w:val="3D3407AF"/>
    <w:rsid w:val="3D420825"/>
    <w:rsid w:val="3D453E79"/>
    <w:rsid w:val="3D4B66A5"/>
    <w:rsid w:val="3D6055D1"/>
    <w:rsid w:val="3D6528F4"/>
    <w:rsid w:val="3D7A7FC6"/>
    <w:rsid w:val="3DD77D43"/>
    <w:rsid w:val="3DDA0A65"/>
    <w:rsid w:val="3DE05819"/>
    <w:rsid w:val="3E0C4997"/>
    <w:rsid w:val="3E0D4CB7"/>
    <w:rsid w:val="3E1000F5"/>
    <w:rsid w:val="3E1F291C"/>
    <w:rsid w:val="3E264AF2"/>
    <w:rsid w:val="3E4405D4"/>
    <w:rsid w:val="3E446284"/>
    <w:rsid w:val="3E614CE2"/>
    <w:rsid w:val="3E832EAB"/>
    <w:rsid w:val="3EAA16DD"/>
    <w:rsid w:val="3ECD2378"/>
    <w:rsid w:val="3ED44742"/>
    <w:rsid w:val="3EE74323"/>
    <w:rsid w:val="3EF94F1B"/>
    <w:rsid w:val="3F161F71"/>
    <w:rsid w:val="3F18759E"/>
    <w:rsid w:val="3F36616F"/>
    <w:rsid w:val="3F422D66"/>
    <w:rsid w:val="3F685210"/>
    <w:rsid w:val="3F7D3D9E"/>
    <w:rsid w:val="3F8051EC"/>
    <w:rsid w:val="3FE61DE6"/>
    <w:rsid w:val="3FFB6CA2"/>
    <w:rsid w:val="3FFC1167"/>
    <w:rsid w:val="400172BB"/>
    <w:rsid w:val="40273D0A"/>
    <w:rsid w:val="40784565"/>
    <w:rsid w:val="407E7DCE"/>
    <w:rsid w:val="408847A8"/>
    <w:rsid w:val="409A6144"/>
    <w:rsid w:val="40C17CBA"/>
    <w:rsid w:val="410302D3"/>
    <w:rsid w:val="41057DE0"/>
    <w:rsid w:val="41115446"/>
    <w:rsid w:val="41214F2E"/>
    <w:rsid w:val="413E755D"/>
    <w:rsid w:val="41695BD4"/>
    <w:rsid w:val="41881F15"/>
    <w:rsid w:val="41911D83"/>
    <w:rsid w:val="41B63597"/>
    <w:rsid w:val="41BB6E00"/>
    <w:rsid w:val="41C35C45"/>
    <w:rsid w:val="41E73751"/>
    <w:rsid w:val="41F262B9"/>
    <w:rsid w:val="42051E29"/>
    <w:rsid w:val="420B38E3"/>
    <w:rsid w:val="42440BA3"/>
    <w:rsid w:val="424B0183"/>
    <w:rsid w:val="424C7EC7"/>
    <w:rsid w:val="426B2108"/>
    <w:rsid w:val="427F607F"/>
    <w:rsid w:val="42813BA5"/>
    <w:rsid w:val="42837B1B"/>
    <w:rsid w:val="428A2D72"/>
    <w:rsid w:val="42935686"/>
    <w:rsid w:val="42CD0B98"/>
    <w:rsid w:val="42CF2B62"/>
    <w:rsid w:val="42D33CD5"/>
    <w:rsid w:val="42D77C69"/>
    <w:rsid w:val="42E47C90"/>
    <w:rsid w:val="42E87780"/>
    <w:rsid w:val="42FF2625"/>
    <w:rsid w:val="43156CC7"/>
    <w:rsid w:val="432D1637"/>
    <w:rsid w:val="434075BC"/>
    <w:rsid w:val="43454BD3"/>
    <w:rsid w:val="43515EAA"/>
    <w:rsid w:val="43591D9B"/>
    <w:rsid w:val="43615785"/>
    <w:rsid w:val="436A4639"/>
    <w:rsid w:val="43747266"/>
    <w:rsid w:val="43A4388B"/>
    <w:rsid w:val="43AF029E"/>
    <w:rsid w:val="43AF64F0"/>
    <w:rsid w:val="43BE3225"/>
    <w:rsid w:val="43C31F9B"/>
    <w:rsid w:val="43C35D74"/>
    <w:rsid w:val="43C875B2"/>
    <w:rsid w:val="43E0428D"/>
    <w:rsid w:val="43FD36FF"/>
    <w:rsid w:val="446A2417"/>
    <w:rsid w:val="447D75CD"/>
    <w:rsid w:val="4488746D"/>
    <w:rsid w:val="44B74F0C"/>
    <w:rsid w:val="44C241A2"/>
    <w:rsid w:val="44DF70AD"/>
    <w:rsid w:val="44E421C9"/>
    <w:rsid w:val="44F468B0"/>
    <w:rsid w:val="44FA6A22"/>
    <w:rsid w:val="45062140"/>
    <w:rsid w:val="45164BFA"/>
    <w:rsid w:val="4545710C"/>
    <w:rsid w:val="456377EE"/>
    <w:rsid w:val="456652D4"/>
    <w:rsid w:val="45684BA8"/>
    <w:rsid w:val="456D0411"/>
    <w:rsid w:val="4577128F"/>
    <w:rsid w:val="45783434"/>
    <w:rsid w:val="45A656D1"/>
    <w:rsid w:val="45C67123"/>
    <w:rsid w:val="45C94918"/>
    <w:rsid w:val="45D71243"/>
    <w:rsid w:val="45FF45A2"/>
    <w:rsid w:val="460D6DA0"/>
    <w:rsid w:val="46155FDB"/>
    <w:rsid w:val="461E572A"/>
    <w:rsid w:val="46601D24"/>
    <w:rsid w:val="46625A9C"/>
    <w:rsid w:val="466435C2"/>
    <w:rsid w:val="47022DDB"/>
    <w:rsid w:val="470703F1"/>
    <w:rsid w:val="470E79D1"/>
    <w:rsid w:val="475D3DA8"/>
    <w:rsid w:val="476E1305"/>
    <w:rsid w:val="478E45D4"/>
    <w:rsid w:val="479908E7"/>
    <w:rsid w:val="4799729B"/>
    <w:rsid w:val="47B12BF8"/>
    <w:rsid w:val="47BB30B2"/>
    <w:rsid w:val="47C85DD2"/>
    <w:rsid w:val="47D72A0D"/>
    <w:rsid w:val="47FF0499"/>
    <w:rsid w:val="486C49B0"/>
    <w:rsid w:val="486F44A0"/>
    <w:rsid w:val="4893018E"/>
    <w:rsid w:val="48AB372A"/>
    <w:rsid w:val="48EF52FC"/>
    <w:rsid w:val="48F830FD"/>
    <w:rsid w:val="48FD7CFE"/>
    <w:rsid w:val="49211C3E"/>
    <w:rsid w:val="492653E3"/>
    <w:rsid w:val="492A3415"/>
    <w:rsid w:val="49307A8A"/>
    <w:rsid w:val="493558F1"/>
    <w:rsid w:val="49386D6A"/>
    <w:rsid w:val="49553BA0"/>
    <w:rsid w:val="495A6EFE"/>
    <w:rsid w:val="496438D9"/>
    <w:rsid w:val="49A34401"/>
    <w:rsid w:val="49A62143"/>
    <w:rsid w:val="49A63EF1"/>
    <w:rsid w:val="49C23456"/>
    <w:rsid w:val="49D70AE6"/>
    <w:rsid w:val="49FB5243"/>
    <w:rsid w:val="4A035B0E"/>
    <w:rsid w:val="4A0A26D2"/>
    <w:rsid w:val="4A314F18"/>
    <w:rsid w:val="4A325785"/>
    <w:rsid w:val="4A3C0669"/>
    <w:rsid w:val="4A565917"/>
    <w:rsid w:val="4A594B32"/>
    <w:rsid w:val="4A5971B6"/>
    <w:rsid w:val="4A6A6D04"/>
    <w:rsid w:val="4A8F2BD7"/>
    <w:rsid w:val="4AC26B09"/>
    <w:rsid w:val="4ACC5BD9"/>
    <w:rsid w:val="4AD351BA"/>
    <w:rsid w:val="4ADE0EEB"/>
    <w:rsid w:val="4AF241A0"/>
    <w:rsid w:val="4B2B2900"/>
    <w:rsid w:val="4B3612A5"/>
    <w:rsid w:val="4B501DBF"/>
    <w:rsid w:val="4B582BCD"/>
    <w:rsid w:val="4B6B0F4E"/>
    <w:rsid w:val="4B7F0E9E"/>
    <w:rsid w:val="4BB328F5"/>
    <w:rsid w:val="4BE551A5"/>
    <w:rsid w:val="4C067917"/>
    <w:rsid w:val="4C115F9A"/>
    <w:rsid w:val="4C1B2975"/>
    <w:rsid w:val="4C46543A"/>
    <w:rsid w:val="4C6E2B99"/>
    <w:rsid w:val="4C8106FD"/>
    <w:rsid w:val="4C856040"/>
    <w:rsid w:val="4C88610C"/>
    <w:rsid w:val="4C8C5620"/>
    <w:rsid w:val="4C8E4F10"/>
    <w:rsid w:val="4CA3296A"/>
    <w:rsid w:val="4CB608EF"/>
    <w:rsid w:val="4CB701C3"/>
    <w:rsid w:val="4CC0176E"/>
    <w:rsid w:val="4CD07C03"/>
    <w:rsid w:val="4CDC3C81"/>
    <w:rsid w:val="4CE11854"/>
    <w:rsid w:val="4CFB09F8"/>
    <w:rsid w:val="4D0B2FD8"/>
    <w:rsid w:val="4D1D44CA"/>
    <w:rsid w:val="4D3637DE"/>
    <w:rsid w:val="4D5A571F"/>
    <w:rsid w:val="4D623393"/>
    <w:rsid w:val="4D704F42"/>
    <w:rsid w:val="4D9F3131"/>
    <w:rsid w:val="4DD92AE7"/>
    <w:rsid w:val="4DF7375A"/>
    <w:rsid w:val="4E127DA7"/>
    <w:rsid w:val="4E1C29D4"/>
    <w:rsid w:val="4E1F24C4"/>
    <w:rsid w:val="4E4D0DDF"/>
    <w:rsid w:val="4E5321ED"/>
    <w:rsid w:val="4E6016D6"/>
    <w:rsid w:val="4E6D76D3"/>
    <w:rsid w:val="4E816CDB"/>
    <w:rsid w:val="4E850579"/>
    <w:rsid w:val="4E8C5DAC"/>
    <w:rsid w:val="4E9B7D9D"/>
    <w:rsid w:val="4EBC50D5"/>
    <w:rsid w:val="4EBE7F2F"/>
    <w:rsid w:val="4EE554BC"/>
    <w:rsid w:val="4F18038A"/>
    <w:rsid w:val="4F22226C"/>
    <w:rsid w:val="4F262900"/>
    <w:rsid w:val="4F2C6C47"/>
    <w:rsid w:val="4F4777AB"/>
    <w:rsid w:val="4F4F4D7D"/>
    <w:rsid w:val="4F5551B4"/>
    <w:rsid w:val="4F587A3C"/>
    <w:rsid w:val="4F5B577E"/>
    <w:rsid w:val="4F5F701C"/>
    <w:rsid w:val="4F711F6A"/>
    <w:rsid w:val="4F7D3946"/>
    <w:rsid w:val="4F813C30"/>
    <w:rsid w:val="4FBA06F6"/>
    <w:rsid w:val="4FBA78D0"/>
    <w:rsid w:val="4FCB6460"/>
    <w:rsid w:val="4FCE5E25"/>
    <w:rsid w:val="4FD01CC8"/>
    <w:rsid w:val="500951DA"/>
    <w:rsid w:val="50265D8C"/>
    <w:rsid w:val="504D3319"/>
    <w:rsid w:val="509372E2"/>
    <w:rsid w:val="50A22688"/>
    <w:rsid w:val="50BB64D4"/>
    <w:rsid w:val="50F87FAC"/>
    <w:rsid w:val="510A2FB8"/>
    <w:rsid w:val="512E314A"/>
    <w:rsid w:val="51331174"/>
    <w:rsid w:val="51347683"/>
    <w:rsid w:val="518B234A"/>
    <w:rsid w:val="51C27D36"/>
    <w:rsid w:val="51CC5275"/>
    <w:rsid w:val="51D75590"/>
    <w:rsid w:val="51E97071"/>
    <w:rsid w:val="520F7138"/>
    <w:rsid w:val="5214298C"/>
    <w:rsid w:val="522C72C3"/>
    <w:rsid w:val="52304CA0"/>
    <w:rsid w:val="524A1938"/>
    <w:rsid w:val="525505B3"/>
    <w:rsid w:val="526C6007"/>
    <w:rsid w:val="527903F5"/>
    <w:rsid w:val="529E3F58"/>
    <w:rsid w:val="52B92EE7"/>
    <w:rsid w:val="52BE6184"/>
    <w:rsid w:val="52CA50F4"/>
    <w:rsid w:val="52CF270B"/>
    <w:rsid w:val="52E02222"/>
    <w:rsid w:val="53096DD1"/>
    <w:rsid w:val="531B5950"/>
    <w:rsid w:val="531E71EE"/>
    <w:rsid w:val="53654E1D"/>
    <w:rsid w:val="538151F6"/>
    <w:rsid w:val="5382777D"/>
    <w:rsid w:val="53886B25"/>
    <w:rsid w:val="53AA2830"/>
    <w:rsid w:val="53C32D17"/>
    <w:rsid w:val="53D02F06"/>
    <w:rsid w:val="53FA37B7"/>
    <w:rsid w:val="53FB3961"/>
    <w:rsid w:val="53FC02C8"/>
    <w:rsid w:val="5411012E"/>
    <w:rsid w:val="5419329E"/>
    <w:rsid w:val="54224ABC"/>
    <w:rsid w:val="542A2224"/>
    <w:rsid w:val="544C2E0C"/>
    <w:rsid w:val="544F3B03"/>
    <w:rsid w:val="545869BF"/>
    <w:rsid w:val="54616C3C"/>
    <w:rsid w:val="54617C92"/>
    <w:rsid w:val="54684BC5"/>
    <w:rsid w:val="548136DA"/>
    <w:rsid w:val="548337AD"/>
    <w:rsid w:val="54833FB9"/>
    <w:rsid w:val="548B3E72"/>
    <w:rsid w:val="549C486F"/>
    <w:rsid w:val="54CF07A0"/>
    <w:rsid w:val="54FD6B73"/>
    <w:rsid w:val="553A7E63"/>
    <w:rsid w:val="55614BA6"/>
    <w:rsid w:val="55EB160A"/>
    <w:rsid w:val="56091B70"/>
    <w:rsid w:val="5627460C"/>
    <w:rsid w:val="56286D65"/>
    <w:rsid w:val="564B20A8"/>
    <w:rsid w:val="564C5721"/>
    <w:rsid w:val="5653734D"/>
    <w:rsid w:val="565F400E"/>
    <w:rsid w:val="566B274A"/>
    <w:rsid w:val="567D0066"/>
    <w:rsid w:val="569F11EB"/>
    <w:rsid w:val="56A21888"/>
    <w:rsid w:val="56C34335"/>
    <w:rsid w:val="56EF3408"/>
    <w:rsid w:val="56FA587C"/>
    <w:rsid w:val="57016C0B"/>
    <w:rsid w:val="57276214"/>
    <w:rsid w:val="575A3F96"/>
    <w:rsid w:val="57672713"/>
    <w:rsid w:val="577613A7"/>
    <w:rsid w:val="577A36AD"/>
    <w:rsid w:val="577C0670"/>
    <w:rsid w:val="57A37CC2"/>
    <w:rsid w:val="57B16AC2"/>
    <w:rsid w:val="57B91294"/>
    <w:rsid w:val="57BD1AF6"/>
    <w:rsid w:val="57BF6720"/>
    <w:rsid w:val="57EC1669"/>
    <w:rsid w:val="57EE718F"/>
    <w:rsid w:val="57FB7462"/>
    <w:rsid w:val="582C5F09"/>
    <w:rsid w:val="585316E8"/>
    <w:rsid w:val="585D4315"/>
    <w:rsid w:val="586E207E"/>
    <w:rsid w:val="588C69A8"/>
    <w:rsid w:val="58AC2CC7"/>
    <w:rsid w:val="58AD0DF8"/>
    <w:rsid w:val="58BF0649"/>
    <w:rsid w:val="58DF1D46"/>
    <w:rsid w:val="58E660B8"/>
    <w:rsid w:val="590B0E06"/>
    <w:rsid w:val="591730EE"/>
    <w:rsid w:val="591A58A7"/>
    <w:rsid w:val="591C7D2C"/>
    <w:rsid w:val="593212FE"/>
    <w:rsid w:val="593530FD"/>
    <w:rsid w:val="59451AAD"/>
    <w:rsid w:val="5946546B"/>
    <w:rsid w:val="59555DCC"/>
    <w:rsid w:val="59815DE1"/>
    <w:rsid w:val="59840DC3"/>
    <w:rsid w:val="59877FFD"/>
    <w:rsid w:val="598F49A2"/>
    <w:rsid w:val="59C56616"/>
    <w:rsid w:val="5A037B4C"/>
    <w:rsid w:val="5A205E72"/>
    <w:rsid w:val="5A225816"/>
    <w:rsid w:val="5A492DA3"/>
    <w:rsid w:val="5A655C07"/>
    <w:rsid w:val="5A690D4F"/>
    <w:rsid w:val="5A7A2F5C"/>
    <w:rsid w:val="5A8B77DE"/>
    <w:rsid w:val="5A8E07B6"/>
    <w:rsid w:val="5ABC3575"/>
    <w:rsid w:val="5ACC228D"/>
    <w:rsid w:val="5ADB4098"/>
    <w:rsid w:val="5AE1122D"/>
    <w:rsid w:val="5AEB18DC"/>
    <w:rsid w:val="5B227EAF"/>
    <w:rsid w:val="5B264E92"/>
    <w:rsid w:val="5B3A093D"/>
    <w:rsid w:val="5B4672E2"/>
    <w:rsid w:val="5B501F0F"/>
    <w:rsid w:val="5B5D17D4"/>
    <w:rsid w:val="5B6800B4"/>
    <w:rsid w:val="5B6E25C5"/>
    <w:rsid w:val="5B7A35BA"/>
    <w:rsid w:val="5B834092"/>
    <w:rsid w:val="5BBC5C29"/>
    <w:rsid w:val="5BC50591"/>
    <w:rsid w:val="5C1650EC"/>
    <w:rsid w:val="5C307BDA"/>
    <w:rsid w:val="5C594DF3"/>
    <w:rsid w:val="5C9B540C"/>
    <w:rsid w:val="5CAE15E3"/>
    <w:rsid w:val="5CB62246"/>
    <w:rsid w:val="5CDA5F34"/>
    <w:rsid w:val="5CE21AED"/>
    <w:rsid w:val="5D1F1D64"/>
    <w:rsid w:val="5D3722DC"/>
    <w:rsid w:val="5D3C099D"/>
    <w:rsid w:val="5D570AB1"/>
    <w:rsid w:val="5D5800B9"/>
    <w:rsid w:val="5D59154F"/>
    <w:rsid w:val="5D5C75FF"/>
    <w:rsid w:val="5D600B2F"/>
    <w:rsid w:val="5D6D59AB"/>
    <w:rsid w:val="5D844640"/>
    <w:rsid w:val="5D9C143B"/>
    <w:rsid w:val="5DA86032"/>
    <w:rsid w:val="5DC10EA2"/>
    <w:rsid w:val="5DCB6083"/>
    <w:rsid w:val="5DD230AF"/>
    <w:rsid w:val="5DDE7158"/>
    <w:rsid w:val="5DE132F2"/>
    <w:rsid w:val="5DE54B90"/>
    <w:rsid w:val="5DF001EB"/>
    <w:rsid w:val="5DFE3EA4"/>
    <w:rsid w:val="5E055233"/>
    <w:rsid w:val="5E0D72B8"/>
    <w:rsid w:val="5E1C257C"/>
    <w:rsid w:val="5E452C17"/>
    <w:rsid w:val="5E4775F9"/>
    <w:rsid w:val="5E5C6BAC"/>
    <w:rsid w:val="5E6A778C"/>
    <w:rsid w:val="5E744166"/>
    <w:rsid w:val="5E767EDE"/>
    <w:rsid w:val="5E8F2D4E"/>
    <w:rsid w:val="5EB82C97"/>
    <w:rsid w:val="5EBE2D22"/>
    <w:rsid w:val="5EC94306"/>
    <w:rsid w:val="5EE57DEF"/>
    <w:rsid w:val="5F0C439F"/>
    <w:rsid w:val="5F245B8C"/>
    <w:rsid w:val="5F29040C"/>
    <w:rsid w:val="5F310A0D"/>
    <w:rsid w:val="5F3479DF"/>
    <w:rsid w:val="5F4010A7"/>
    <w:rsid w:val="5F585836"/>
    <w:rsid w:val="5F721AF0"/>
    <w:rsid w:val="5FAA23A3"/>
    <w:rsid w:val="5FD82C61"/>
    <w:rsid w:val="5FF4730D"/>
    <w:rsid w:val="5FFA1614"/>
    <w:rsid w:val="5FFE63DD"/>
    <w:rsid w:val="600E3E55"/>
    <w:rsid w:val="600F2399"/>
    <w:rsid w:val="601D5BCF"/>
    <w:rsid w:val="6041144F"/>
    <w:rsid w:val="60432042"/>
    <w:rsid w:val="60583D40"/>
    <w:rsid w:val="60681AA9"/>
    <w:rsid w:val="606C1599"/>
    <w:rsid w:val="6074044E"/>
    <w:rsid w:val="60786190"/>
    <w:rsid w:val="607E307A"/>
    <w:rsid w:val="60934D78"/>
    <w:rsid w:val="60A823BF"/>
    <w:rsid w:val="60A83445"/>
    <w:rsid w:val="60C6562D"/>
    <w:rsid w:val="60D82466"/>
    <w:rsid w:val="60DA0BF8"/>
    <w:rsid w:val="611D0AE5"/>
    <w:rsid w:val="61293C2F"/>
    <w:rsid w:val="612F2105"/>
    <w:rsid w:val="614E41B0"/>
    <w:rsid w:val="615F4C5A"/>
    <w:rsid w:val="61677FB2"/>
    <w:rsid w:val="616F002F"/>
    <w:rsid w:val="61730705"/>
    <w:rsid w:val="617F354E"/>
    <w:rsid w:val="61970898"/>
    <w:rsid w:val="619A462F"/>
    <w:rsid w:val="619A76DD"/>
    <w:rsid w:val="62022F83"/>
    <w:rsid w:val="62175534"/>
    <w:rsid w:val="621E4B15"/>
    <w:rsid w:val="623E6F65"/>
    <w:rsid w:val="6251332E"/>
    <w:rsid w:val="625C786C"/>
    <w:rsid w:val="62773F76"/>
    <w:rsid w:val="627E15CF"/>
    <w:rsid w:val="6283706E"/>
    <w:rsid w:val="628801E0"/>
    <w:rsid w:val="62884524"/>
    <w:rsid w:val="62B80AC5"/>
    <w:rsid w:val="62C97396"/>
    <w:rsid w:val="62CA07F9"/>
    <w:rsid w:val="62D804DD"/>
    <w:rsid w:val="62DE2463"/>
    <w:rsid w:val="63471E49"/>
    <w:rsid w:val="635A1B7D"/>
    <w:rsid w:val="637114CE"/>
    <w:rsid w:val="638B61DA"/>
    <w:rsid w:val="638E67FA"/>
    <w:rsid w:val="638E7A78"/>
    <w:rsid w:val="644A4DB3"/>
    <w:rsid w:val="645667E8"/>
    <w:rsid w:val="64866BD9"/>
    <w:rsid w:val="649D4417"/>
    <w:rsid w:val="64A37118"/>
    <w:rsid w:val="64C319A4"/>
    <w:rsid w:val="64D63485"/>
    <w:rsid w:val="654F4FE5"/>
    <w:rsid w:val="6578278E"/>
    <w:rsid w:val="65B00EE1"/>
    <w:rsid w:val="65B66FA0"/>
    <w:rsid w:val="65B975F2"/>
    <w:rsid w:val="65D57BE0"/>
    <w:rsid w:val="66212E26"/>
    <w:rsid w:val="662B15AE"/>
    <w:rsid w:val="662D4566"/>
    <w:rsid w:val="6632293D"/>
    <w:rsid w:val="66342B59"/>
    <w:rsid w:val="6635067F"/>
    <w:rsid w:val="663D0055"/>
    <w:rsid w:val="66521231"/>
    <w:rsid w:val="666902A6"/>
    <w:rsid w:val="66693888"/>
    <w:rsid w:val="666A0329"/>
    <w:rsid w:val="666D3AFB"/>
    <w:rsid w:val="66707909"/>
    <w:rsid w:val="66855163"/>
    <w:rsid w:val="669A1B16"/>
    <w:rsid w:val="66CB4B3F"/>
    <w:rsid w:val="66D67FB8"/>
    <w:rsid w:val="66E3632D"/>
    <w:rsid w:val="66F72064"/>
    <w:rsid w:val="675608AD"/>
    <w:rsid w:val="676A3084"/>
    <w:rsid w:val="676A4E9C"/>
    <w:rsid w:val="67725465"/>
    <w:rsid w:val="677A27ED"/>
    <w:rsid w:val="679A4C3E"/>
    <w:rsid w:val="67AA29A7"/>
    <w:rsid w:val="67C670CB"/>
    <w:rsid w:val="67FC3B0F"/>
    <w:rsid w:val="68093B71"/>
    <w:rsid w:val="683055A2"/>
    <w:rsid w:val="683105C0"/>
    <w:rsid w:val="6846007D"/>
    <w:rsid w:val="68466B73"/>
    <w:rsid w:val="6848469A"/>
    <w:rsid w:val="686A4F9A"/>
    <w:rsid w:val="68F22857"/>
    <w:rsid w:val="6901614A"/>
    <w:rsid w:val="69664A0F"/>
    <w:rsid w:val="69833F84"/>
    <w:rsid w:val="69841BF6"/>
    <w:rsid w:val="69A27DD9"/>
    <w:rsid w:val="69A74526"/>
    <w:rsid w:val="69C9180A"/>
    <w:rsid w:val="69D331BE"/>
    <w:rsid w:val="69EB1FDC"/>
    <w:rsid w:val="69FA3354"/>
    <w:rsid w:val="69FE4B1A"/>
    <w:rsid w:val="6A165180"/>
    <w:rsid w:val="6A1F767C"/>
    <w:rsid w:val="6A9516EC"/>
    <w:rsid w:val="6A9736B6"/>
    <w:rsid w:val="6AB42873"/>
    <w:rsid w:val="6AC326FD"/>
    <w:rsid w:val="6AC81AC2"/>
    <w:rsid w:val="6AD064F1"/>
    <w:rsid w:val="6B15282D"/>
    <w:rsid w:val="6B317667"/>
    <w:rsid w:val="6B5A6D4C"/>
    <w:rsid w:val="6B8A60F8"/>
    <w:rsid w:val="6B8A6D77"/>
    <w:rsid w:val="6BA8544F"/>
    <w:rsid w:val="6BAD2D8D"/>
    <w:rsid w:val="6BD56BBF"/>
    <w:rsid w:val="6BED613A"/>
    <w:rsid w:val="6C150D37"/>
    <w:rsid w:val="6C3D64DF"/>
    <w:rsid w:val="6C3E7464"/>
    <w:rsid w:val="6C452082"/>
    <w:rsid w:val="6C5506F2"/>
    <w:rsid w:val="6C5C0714"/>
    <w:rsid w:val="6C735A5D"/>
    <w:rsid w:val="6CA65E33"/>
    <w:rsid w:val="6CAD73D6"/>
    <w:rsid w:val="6CB73B9C"/>
    <w:rsid w:val="6CE93F71"/>
    <w:rsid w:val="6D166FC6"/>
    <w:rsid w:val="6D2A0812"/>
    <w:rsid w:val="6D34343E"/>
    <w:rsid w:val="6D443CCF"/>
    <w:rsid w:val="6D617FAC"/>
    <w:rsid w:val="6D7221B9"/>
    <w:rsid w:val="6D7D3037"/>
    <w:rsid w:val="6DAC0977"/>
    <w:rsid w:val="6DB36A59"/>
    <w:rsid w:val="6DB91B96"/>
    <w:rsid w:val="6DDD5884"/>
    <w:rsid w:val="6E076DA5"/>
    <w:rsid w:val="6E2830B5"/>
    <w:rsid w:val="6E3B1A16"/>
    <w:rsid w:val="6E3E2600"/>
    <w:rsid w:val="6E423939"/>
    <w:rsid w:val="6E427879"/>
    <w:rsid w:val="6E533D98"/>
    <w:rsid w:val="6E600263"/>
    <w:rsid w:val="6E7837FF"/>
    <w:rsid w:val="6E7A034A"/>
    <w:rsid w:val="6E7A30D3"/>
    <w:rsid w:val="6E85086A"/>
    <w:rsid w:val="6E9F59DB"/>
    <w:rsid w:val="6EB14DA4"/>
    <w:rsid w:val="6EB8009F"/>
    <w:rsid w:val="6EB81E4D"/>
    <w:rsid w:val="6EC651E8"/>
    <w:rsid w:val="6EDF73DA"/>
    <w:rsid w:val="6F086931"/>
    <w:rsid w:val="6F143527"/>
    <w:rsid w:val="6F3C482C"/>
    <w:rsid w:val="6F4F4560"/>
    <w:rsid w:val="6F5A4CB2"/>
    <w:rsid w:val="6F5E47A3"/>
    <w:rsid w:val="6F7E6BF3"/>
    <w:rsid w:val="6F831E19"/>
    <w:rsid w:val="6F891B0C"/>
    <w:rsid w:val="6FAC7C04"/>
    <w:rsid w:val="6FCA71E0"/>
    <w:rsid w:val="6FDE58E3"/>
    <w:rsid w:val="6FEE1FCA"/>
    <w:rsid w:val="6FEF189F"/>
    <w:rsid w:val="6FEF5D43"/>
    <w:rsid w:val="6FEF7AF1"/>
    <w:rsid w:val="6FFD40FB"/>
    <w:rsid w:val="700510C2"/>
    <w:rsid w:val="700C2451"/>
    <w:rsid w:val="70221C74"/>
    <w:rsid w:val="702A28D7"/>
    <w:rsid w:val="702B1782"/>
    <w:rsid w:val="7036127C"/>
    <w:rsid w:val="70460641"/>
    <w:rsid w:val="704A7F86"/>
    <w:rsid w:val="705645D9"/>
    <w:rsid w:val="70A628A5"/>
    <w:rsid w:val="70A95AA7"/>
    <w:rsid w:val="70B4218C"/>
    <w:rsid w:val="70C07837"/>
    <w:rsid w:val="70E46F2A"/>
    <w:rsid w:val="70E76A1A"/>
    <w:rsid w:val="710E21F8"/>
    <w:rsid w:val="71202F46"/>
    <w:rsid w:val="71436346"/>
    <w:rsid w:val="7162370E"/>
    <w:rsid w:val="71662034"/>
    <w:rsid w:val="71703B38"/>
    <w:rsid w:val="71924BD7"/>
    <w:rsid w:val="71C12C62"/>
    <w:rsid w:val="71D1496D"/>
    <w:rsid w:val="71D74828"/>
    <w:rsid w:val="721101F2"/>
    <w:rsid w:val="72127AC6"/>
    <w:rsid w:val="72440D47"/>
    <w:rsid w:val="7265409A"/>
    <w:rsid w:val="72850298"/>
    <w:rsid w:val="729F603C"/>
    <w:rsid w:val="72AC2792"/>
    <w:rsid w:val="72AE1098"/>
    <w:rsid w:val="72B1108D"/>
    <w:rsid w:val="72BA43E6"/>
    <w:rsid w:val="72F378F8"/>
    <w:rsid w:val="730B63E9"/>
    <w:rsid w:val="730C2A3D"/>
    <w:rsid w:val="731D4975"/>
    <w:rsid w:val="731F06ED"/>
    <w:rsid w:val="73261A7B"/>
    <w:rsid w:val="732955BF"/>
    <w:rsid w:val="73426189"/>
    <w:rsid w:val="73483566"/>
    <w:rsid w:val="73966C01"/>
    <w:rsid w:val="73A11102"/>
    <w:rsid w:val="73B021B6"/>
    <w:rsid w:val="73C2472B"/>
    <w:rsid w:val="73C60B68"/>
    <w:rsid w:val="73CD672F"/>
    <w:rsid w:val="73FD3E81"/>
    <w:rsid w:val="743106D8"/>
    <w:rsid w:val="74381A66"/>
    <w:rsid w:val="745E6304"/>
    <w:rsid w:val="747800B5"/>
    <w:rsid w:val="747F58E7"/>
    <w:rsid w:val="74890514"/>
    <w:rsid w:val="748F53FE"/>
    <w:rsid w:val="74921493"/>
    <w:rsid w:val="749D7B1B"/>
    <w:rsid w:val="749F57AF"/>
    <w:rsid w:val="74B14846"/>
    <w:rsid w:val="74C257D9"/>
    <w:rsid w:val="74F0120D"/>
    <w:rsid w:val="750D1F31"/>
    <w:rsid w:val="751678CE"/>
    <w:rsid w:val="75175143"/>
    <w:rsid w:val="751F5BF6"/>
    <w:rsid w:val="754932A6"/>
    <w:rsid w:val="755A3C5E"/>
    <w:rsid w:val="75703482"/>
    <w:rsid w:val="75C12DB9"/>
    <w:rsid w:val="75E63744"/>
    <w:rsid w:val="75FB0F9D"/>
    <w:rsid w:val="76085468"/>
    <w:rsid w:val="761171BF"/>
    <w:rsid w:val="76124539"/>
    <w:rsid w:val="76676633"/>
    <w:rsid w:val="768A0384"/>
    <w:rsid w:val="76A315AA"/>
    <w:rsid w:val="76B15B00"/>
    <w:rsid w:val="76BB697E"/>
    <w:rsid w:val="76E11E70"/>
    <w:rsid w:val="76E9529A"/>
    <w:rsid w:val="76FF686B"/>
    <w:rsid w:val="772207AC"/>
    <w:rsid w:val="77514BED"/>
    <w:rsid w:val="77585F7B"/>
    <w:rsid w:val="779D6084"/>
    <w:rsid w:val="77A17922"/>
    <w:rsid w:val="77A92327"/>
    <w:rsid w:val="77B75398"/>
    <w:rsid w:val="77C11D73"/>
    <w:rsid w:val="77CB0E43"/>
    <w:rsid w:val="77D62D81"/>
    <w:rsid w:val="77DE0B76"/>
    <w:rsid w:val="77F24622"/>
    <w:rsid w:val="77F9775E"/>
    <w:rsid w:val="780A196C"/>
    <w:rsid w:val="782D7408"/>
    <w:rsid w:val="78342545"/>
    <w:rsid w:val="785710BA"/>
    <w:rsid w:val="787B3118"/>
    <w:rsid w:val="78AC47D1"/>
    <w:rsid w:val="78AF5E4F"/>
    <w:rsid w:val="78B638A1"/>
    <w:rsid w:val="78B90B3C"/>
    <w:rsid w:val="78C22246"/>
    <w:rsid w:val="78E1046A"/>
    <w:rsid w:val="78F26496"/>
    <w:rsid w:val="79077C59"/>
    <w:rsid w:val="79184530"/>
    <w:rsid w:val="792870F3"/>
    <w:rsid w:val="792D3AAE"/>
    <w:rsid w:val="793A6280"/>
    <w:rsid w:val="794732B8"/>
    <w:rsid w:val="795B7FA5"/>
    <w:rsid w:val="795D3C37"/>
    <w:rsid w:val="79A93D47"/>
    <w:rsid w:val="79B24763"/>
    <w:rsid w:val="79B25E17"/>
    <w:rsid w:val="79B871A5"/>
    <w:rsid w:val="79B92E6D"/>
    <w:rsid w:val="7A1963AB"/>
    <w:rsid w:val="7A3902E6"/>
    <w:rsid w:val="7A435E4B"/>
    <w:rsid w:val="7A460C55"/>
    <w:rsid w:val="7A524009"/>
    <w:rsid w:val="7A996FD7"/>
    <w:rsid w:val="7AA634A2"/>
    <w:rsid w:val="7ABA3C6D"/>
    <w:rsid w:val="7ABD0F17"/>
    <w:rsid w:val="7ACD0A2E"/>
    <w:rsid w:val="7AD63D87"/>
    <w:rsid w:val="7AFF3BA5"/>
    <w:rsid w:val="7B120345"/>
    <w:rsid w:val="7B1F65CA"/>
    <w:rsid w:val="7B332F87"/>
    <w:rsid w:val="7B493A62"/>
    <w:rsid w:val="7B4E0D77"/>
    <w:rsid w:val="7B6E3FBF"/>
    <w:rsid w:val="7B6E5D6D"/>
    <w:rsid w:val="7B9D48A5"/>
    <w:rsid w:val="7BA56577"/>
    <w:rsid w:val="7BAD5E8E"/>
    <w:rsid w:val="7BB11EB4"/>
    <w:rsid w:val="7BB120FE"/>
    <w:rsid w:val="7BBD7B91"/>
    <w:rsid w:val="7BD77DB7"/>
    <w:rsid w:val="7BE20509"/>
    <w:rsid w:val="7BF9373B"/>
    <w:rsid w:val="7C064A88"/>
    <w:rsid w:val="7C07400A"/>
    <w:rsid w:val="7C0C3FBA"/>
    <w:rsid w:val="7C0D37D8"/>
    <w:rsid w:val="7C66113B"/>
    <w:rsid w:val="7C745605"/>
    <w:rsid w:val="7C8E36D7"/>
    <w:rsid w:val="7C9537CE"/>
    <w:rsid w:val="7C961804"/>
    <w:rsid w:val="7CB9570E"/>
    <w:rsid w:val="7CF14EA8"/>
    <w:rsid w:val="7D2708CA"/>
    <w:rsid w:val="7D2A6F6E"/>
    <w:rsid w:val="7D781125"/>
    <w:rsid w:val="7D9677FD"/>
    <w:rsid w:val="7DCC6ADE"/>
    <w:rsid w:val="7DCC7E3B"/>
    <w:rsid w:val="7DD00F61"/>
    <w:rsid w:val="7DD81BC4"/>
    <w:rsid w:val="7DFA5FDE"/>
    <w:rsid w:val="7E04739F"/>
    <w:rsid w:val="7E0B3D48"/>
    <w:rsid w:val="7E2458E7"/>
    <w:rsid w:val="7E6D00CA"/>
    <w:rsid w:val="7E8B787B"/>
    <w:rsid w:val="7E9F26E2"/>
    <w:rsid w:val="7EB025C7"/>
    <w:rsid w:val="7EB02B41"/>
    <w:rsid w:val="7EE76EDF"/>
    <w:rsid w:val="7EEF5417"/>
    <w:rsid w:val="7F030EC3"/>
    <w:rsid w:val="7F054C3B"/>
    <w:rsid w:val="7F2F7F0A"/>
    <w:rsid w:val="7F470F98"/>
    <w:rsid w:val="7F6531DB"/>
    <w:rsid w:val="7F8A5140"/>
    <w:rsid w:val="7F9A1968"/>
    <w:rsid w:val="7FE72592"/>
    <w:rsid w:val="7FE81CA9"/>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0"/>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3"/>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10"/>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1"/>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正文缩进1"/>
    <w:basedOn w:val="1"/>
    <w:autoRedefine/>
    <w:qFormat/>
    <w:uiPriority w:val="0"/>
    <w:pPr>
      <w:ind w:firstLine="420" w:firstLineChars="200"/>
    </w:pPr>
  </w:style>
  <w:style w:type="paragraph" w:customStyle="1" w:styleId="28">
    <w:name w:val="正文（缩进 2 字符）"/>
    <w:basedOn w:val="1"/>
    <w:autoRedefine/>
    <w:qFormat/>
    <w:uiPriority w:val="0"/>
    <w:pPr>
      <w:ind w:firstLine="200" w:firstLineChars="200"/>
    </w:pPr>
  </w:style>
  <w:style w:type="paragraph" w:customStyle="1" w:styleId="29">
    <w:name w:val="正文（缩进 4 字符）"/>
    <w:basedOn w:val="1"/>
    <w:autoRedefine/>
    <w:qFormat/>
    <w:uiPriority w:val="0"/>
    <w:pPr>
      <w:ind w:firstLine="1134" w:firstLineChars="400"/>
    </w:pPr>
  </w:style>
  <w:style w:type="character" w:customStyle="1" w:styleId="30">
    <w:name w:val="标题 1 Char1"/>
    <w:link w:val="2"/>
    <w:autoRedefine/>
    <w:qFormat/>
    <w:uiPriority w:val="9"/>
    <w:rPr>
      <w:rFonts w:eastAsia="黑体"/>
      <w:b/>
      <w:bCs/>
      <w:color w:val="000000"/>
      <w:kern w:val="44"/>
      <w:sz w:val="32"/>
      <w:szCs w:val="36"/>
    </w:rPr>
  </w:style>
  <w:style w:type="paragraph" w:customStyle="1" w:styleId="3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2">
    <w:name w:val="标题 2（投标文件）"/>
    <w:basedOn w:val="3"/>
    <w:autoRedefine/>
    <w:qFormat/>
    <w:uiPriority w:val="0"/>
    <w:pPr>
      <w:jc w:val="center"/>
    </w:pPr>
  </w:style>
  <w:style w:type="character" w:customStyle="1" w:styleId="33">
    <w:name w:val="标题 2 Char"/>
    <w:link w:val="3"/>
    <w:autoRedefine/>
    <w:qFormat/>
    <w:uiPriority w:val="9"/>
    <w:rPr>
      <w:rFonts w:ascii="Calibri" w:hAnsi="Calibri" w:cs="Calibri"/>
      <w:b/>
      <w:bCs/>
      <w:sz w:val="30"/>
      <w:szCs w:val="32"/>
    </w:rPr>
  </w:style>
  <w:style w:type="paragraph" w:customStyle="1" w:styleId="34">
    <w:name w:val="标题 3（投标文件）"/>
    <w:basedOn w:val="4"/>
    <w:autoRedefine/>
    <w:qFormat/>
    <w:uiPriority w:val="0"/>
    <w:pPr>
      <w:jc w:val="left"/>
    </w:pPr>
  </w:style>
  <w:style w:type="paragraph" w:customStyle="1" w:styleId="35">
    <w:name w:val="正文文本 31"/>
    <w:basedOn w:val="1"/>
    <w:autoRedefine/>
    <w:qFormat/>
    <w:uiPriority w:val="0"/>
    <w:rPr>
      <w:sz w:val="16"/>
      <w:szCs w:val="16"/>
    </w:rPr>
  </w:style>
  <w:style w:type="character" w:customStyle="1" w:styleId="36">
    <w:name w:val="NormalCharacter"/>
    <w:autoRedefine/>
    <w:qFormat/>
    <w:uiPriority w:val="0"/>
    <w:rPr>
      <w:kern w:val="2"/>
      <w:sz w:val="21"/>
      <w:szCs w:val="22"/>
      <w:lang w:val="en-US" w:eastAsia="zh-CN" w:bidi="ar-SA"/>
    </w:rPr>
  </w:style>
  <w:style w:type="character" w:customStyle="1" w:styleId="37">
    <w:name w:val="UserStyle_0"/>
    <w:autoRedefine/>
    <w:semiHidden/>
    <w:qFormat/>
    <w:uiPriority w:val="0"/>
  </w:style>
  <w:style w:type="paragraph" w:customStyle="1" w:styleId="38">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9">
    <w:name w:val="Table Normal"/>
    <w:autoRedefine/>
    <w:qFormat/>
    <w:uiPriority w:val="0"/>
    <w:tblPr>
      <w:tblCellMar>
        <w:top w:w="0" w:type="dxa"/>
        <w:left w:w="0" w:type="dxa"/>
        <w:bottom w:w="0" w:type="dxa"/>
        <w:right w:w="0" w:type="dxa"/>
      </w:tblCellMar>
    </w:tblPr>
  </w:style>
  <w:style w:type="character" w:customStyle="1" w:styleId="40">
    <w:name w:val="15"/>
    <w:basedOn w:val="24"/>
    <w:qFormat/>
    <w:uiPriority w:val="0"/>
    <w:rPr>
      <w:rFonts w:hint="eastAsia" w:ascii="宋体" w:hAnsi="宋体" w:eastAsia="宋体"/>
      <w:color w:val="000000"/>
      <w:sz w:val="22"/>
      <w:szCs w:val="22"/>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2">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1529</Words>
  <Characters>1640</Characters>
  <Lines>0</Lines>
  <Paragraphs>0</Paragraphs>
  <TotalTime>473</TotalTime>
  <ScaleCrop>false</ScaleCrop>
  <LinksUpToDate>false</LinksUpToDate>
  <CharactersWithSpaces>1712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祈如初</cp:lastModifiedBy>
  <cp:lastPrinted>2026-05-22T05:17:00Z</cp:lastPrinted>
  <dcterms:modified xsi:type="dcterms:W3CDTF">2026-08-27T01:38:40Z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A498641D71B04A93A1562E3507DE2CB6_13</vt:lpwstr>
  </property>
  <property fmtid="{D5CDD505-2E9C-101B-9397-08002B2CF9AE}" pid="4" name="KSOTemplateDocerSaveRecord">
    <vt:lpwstr>eyJoZGlkIjoiNmRmMDE3MjZkNzUzM2NhYTc5YjY5Y2Q5MjlhZTkyNGQiLCJ1c2VySWQiOiIxNzMyNTM1MjczIn0=</vt:lpwstr>
  </property>
</Properties>
</file>