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版本号：ZXGJ-ZB14-2026-02120260601001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陕西省森林草原防火综合监测项目可行性研究报告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ZXGJ-ZB14-2026-021</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陕西省森林草原防火综合监测项目可行性研究报告</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陕西省森林草原防火综合监测项目可行性研究报告</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为全面提升全省森林草原火灾风险的早期识别与精准防控能力，拟启动《陕西省森林草原防火综合监测项目可行性研究报告》编制工作，重点围绕监控覆盖、智能预警、应急联动等方面开展系统研究。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2、供应商备案：供应商须在“全国投资项目在线审批监管平台”工程咨询单位名录备案</w:t>
      </w:r>
    </w:p>
    <w:p>
      <w:pPr>
        <w:pStyle w:val="null3"/>
      </w:pPr>
      <w:r>
        <w:rPr>
          <w:rFonts w:ascii="仿宋_GB2312" w:hAnsi="仿宋_GB2312" w:cs="仿宋_GB2312" w:eastAsia="仿宋_GB2312"/>
        </w:rPr>
        <w:t>3、非联合体投标：本项目不接受联合体磋商。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029-61166095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成交供应商按照项目需求完成后，由甲方组织验收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为全面提升全省森林草原火灾风险的早期识别与精准防控能力，拟启动《陕西省森林草原防火综合监测项目可行性研究报告》编制工作，重点围绕监控覆盖、智能预警、应急联动等方面开展系统研究。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陕西省森林草原防火综合监测项目可行性研究报告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标的名称：陕西省森林草原防火综合监测项目可行性研究报告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jc w:val="both"/>
            </w:pPr>
            <w:r>
              <w:rPr>
                <w:rFonts w:ascii="仿宋_GB2312" w:hAnsi="仿宋_GB2312" w:cs="仿宋_GB2312" w:eastAsia="仿宋_GB2312"/>
                <w:sz w:val="20"/>
              </w:rPr>
              <w:t>我省是全国林业重点省份之一。全省林地面积</w:t>
            </w:r>
            <w:r>
              <w:rPr>
                <w:rFonts w:ascii="仿宋_GB2312" w:hAnsi="仿宋_GB2312" w:cs="仿宋_GB2312" w:eastAsia="仿宋_GB2312"/>
                <w:sz w:val="20"/>
              </w:rPr>
              <w:t>1236.79万公顷，天然林保护面积308.52万公顷，森林面积886.84万公顷，居全国第10位，森林覆盖率达43.06%，森林覆盖率和活立木总蓄积位列全国第11位，是全国森林防火重点省份。近年来，极端天气事件频发，尤其是2025年受高温极端气候影响，全省共发生森林火情千余起、森林火灾27起，其中多数由人为因素引发，森林草原防灭火形势异常严峻，面临诸多新挑战。</w:t>
            </w:r>
          </w:p>
          <w:p>
            <w:pPr>
              <w:pStyle w:val="null3"/>
              <w:jc w:val="both"/>
            </w:pPr>
            <w:r>
              <w:rPr>
                <w:rFonts w:ascii="仿宋_GB2312" w:hAnsi="仿宋_GB2312" w:cs="仿宋_GB2312" w:eastAsia="仿宋_GB2312"/>
                <w:sz w:val="20"/>
              </w:rPr>
              <w:t>拟增建的智能视频监控将重点覆盖火灾高危区域及易发频发区域。无人机配备自动机库，按规划航线定期巡航，弥补陡坡、深沟等固定监控盲区。前端图像实时回传后，系统通过深度融合</w:t>
            </w:r>
            <w:r>
              <w:rPr>
                <w:rFonts w:ascii="仿宋_GB2312" w:hAnsi="仿宋_GB2312" w:cs="仿宋_GB2312" w:eastAsia="仿宋_GB2312"/>
                <w:sz w:val="20"/>
              </w:rPr>
              <w:t>AI技术，自动识别烟雾与火点，实现秒级告警并精准定位，同步推送至省森防办和一线处置队伍，构建“发现—研判—派单—处置”的闭环机制，推动“科技减人、数据助人、智能管人”，支撑森林防火从“被动应对”向“主动预防”、从“经验治理”向“智慧治理”转型。</w:t>
            </w:r>
          </w:p>
          <w:p>
            <w:pPr>
              <w:pStyle w:val="null3"/>
              <w:jc w:val="both"/>
            </w:pPr>
            <w:r>
              <w:rPr>
                <w:rFonts w:ascii="仿宋_GB2312" w:hAnsi="仿宋_GB2312" w:cs="仿宋_GB2312" w:eastAsia="仿宋_GB2312"/>
                <w:sz w:val="20"/>
              </w:rPr>
              <w:t>二、服务内容</w:t>
            </w:r>
          </w:p>
          <w:p>
            <w:pPr>
              <w:pStyle w:val="null3"/>
              <w:jc w:val="both"/>
            </w:pPr>
            <w:r>
              <w:rPr>
                <w:rFonts w:ascii="仿宋_GB2312" w:hAnsi="仿宋_GB2312" w:cs="仿宋_GB2312" w:eastAsia="仿宋_GB2312"/>
                <w:sz w:val="20"/>
              </w:rPr>
              <w:t>为全面提升全省森林草原火灾风险的早期识别与精准防控能力，编制陕西省森林草原防火综合监测项目可研报告，该可研报告需重点围绕监控覆盖、智能预警、应急联动等方面开展系统研究。</w:t>
            </w:r>
          </w:p>
          <w:p>
            <w:pPr>
              <w:pStyle w:val="null3"/>
              <w:jc w:val="both"/>
            </w:pPr>
            <w:r>
              <w:rPr>
                <w:rFonts w:ascii="仿宋_GB2312" w:hAnsi="仿宋_GB2312" w:cs="仿宋_GB2312" w:eastAsia="仿宋_GB2312"/>
                <w:sz w:val="20"/>
              </w:rPr>
              <w:t>三、技术要求</w:t>
            </w:r>
          </w:p>
          <w:p>
            <w:pPr>
              <w:pStyle w:val="null3"/>
              <w:jc w:val="both"/>
            </w:pPr>
            <w:r>
              <w:rPr>
                <w:rFonts w:ascii="仿宋_GB2312" w:hAnsi="仿宋_GB2312" w:cs="仿宋_GB2312" w:eastAsia="仿宋_GB2312"/>
                <w:sz w:val="20"/>
              </w:rPr>
              <w:t>1.通过项目实施，顺应新形势下森林草原防火的实战要求，实现火情从“被动扑救”向“主动预警”的转变，有效降低火灾处置成本、减少灾害损失，全面提升森林草原防火的数字化、智能化管控水平。</w:t>
            </w:r>
          </w:p>
          <w:p>
            <w:pPr>
              <w:pStyle w:val="null3"/>
              <w:jc w:val="both"/>
            </w:pPr>
            <w:r>
              <w:rPr>
                <w:rFonts w:ascii="仿宋_GB2312" w:hAnsi="仿宋_GB2312" w:cs="仿宋_GB2312" w:eastAsia="仿宋_GB2312"/>
                <w:sz w:val="20"/>
              </w:rPr>
              <w:t>2.为后续工程的规划设计、施工作业及效果评估提供专业技术支撑。</w:t>
            </w:r>
          </w:p>
          <w:p>
            <w:pPr>
              <w:pStyle w:val="null3"/>
              <w:jc w:val="both"/>
            </w:pPr>
            <w:r>
              <w:rPr>
                <w:rFonts w:ascii="仿宋_GB2312" w:hAnsi="仿宋_GB2312" w:cs="仿宋_GB2312" w:eastAsia="仿宋_GB2312"/>
                <w:sz w:val="20"/>
              </w:rPr>
              <w:t>四、编制成果要求</w:t>
            </w:r>
          </w:p>
          <w:p>
            <w:pPr>
              <w:pStyle w:val="null3"/>
              <w:jc w:val="both"/>
            </w:pPr>
            <w:r>
              <w:rPr>
                <w:rFonts w:ascii="仿宋_GB2312" w:hAnsi="仿宋_GB2312" w:cs="仿宋_GB2312" w:eastAsia="仿宋_GB2312"/>
                <w:sz w:val="20"/>
              </w:rPr>
              <w:t>1.纸质版正式可研报告：5份；</w:t>
            </w:r>
          </w:p>
          <w:p>
            <w:pPr>
              <w:pStyle w:val="null3"/>
              <w:jc w:val="both"/>
            </w:pPr>
            <w:r>
              <w:rPr>
                <w:rFonts w:ascii="仿宋_GB2312" w:hAnsi="仿宋_GB2312" w:cs="仿宋_GB2312" w:eastAsia="仿宋_GB2312"/>
                <w:sz w:val="20"/>
              </w:rPr>
              <w:t>2.电子版报告（Word+PDF 格式）：全套可编辑文件 1 套；</w:t>
            </w:r>
          </w:p>
          <w:p>
            <w:pPr>
              <w:pStyle w:val="null3"/>
              <w:jc w:val="both"/>
            </w:pPr>
            <w:r>
              <w:rPr>
                <w:rFonts w:ascii="仿宋_GB2312" w:hAnsi="仿宋_GB2312" w:cs="仿宋_GB2312" w:eastAsia="仿宋_GB2312"/>
                <w:sz w:val="20"/>
              </w:rPr>
              <w:t>3.配套附表、附图、支撑材料等全套资料。</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1、服务期限：自合同签订之日起60日历天编制完成（并通过省发改委评审中心评审出具评审报告）。</w:t>
            </w:r>
          </w:p>
          <w:p>
            <w:pPr>
              <w:pStyle w:val="null3"/>
              <w:jc w:val="both"/>
            </w:pPr>
            <w:r>
              <w:rPr>
                <w:rFonts w:ascii="仿宋_GB2312" w:hAnsi="仿宋_GB2312" w:cs="仿宋_GB2312" w:eastAsia="仿宋_GB2312"/>
                <w:sz w:val="20"/>
              </w:rPr>
              <w:t>2、服务地点：采购人指定地点。</w:t>
            </w:r>
          </w:p>
          <w:p>
            <w:pPr>
              <w:pStyle w:val="null3"/>
              <w:jc w:val="both"/>
            </w:pPr>
            <w:r>
              <w:rPr>
                <w:rFonts w:ascii="仿宋_GB2312" w:hAnsi="仿宋_GB2312" w:cs="仿宋_GB2312" w:eastAsia="仿宋_GB2312"/>
                <w:sz w:val="20"/>
              </w:rPr>
              <w:t>4、付款方式：</w:t>
            </w:r>
          </w:p>
          <w:p>
            <w:pPr>
              <w:pStyle w:val="null3"/>
              <w:jc w:val="both"/>
            </w:pPr>
            <w:r>
              <w:rPr>
                <w:rFonts w:ascii="仿宋_GB2312" w:hAnsi="仿宋_GB2312" w:cs="仿宋_GB2312" w:eastAsia="仿宋_GB2312"/>
                <w:sz w:val="20"/>
              </w:rPr>
              <w:t>甲方分两期支付给乙方：</w:t>
            </w:r>
          </w:p>
          <w:p>
            <w:pPr>
              <w:pStyle w:val="null3"/>
              <w:jc w:val="both"/>
            </w:pPr>
            <w:r>
              <w:rPr>
                <w:rFonts w:ascii="仿宋_GB2312" w:hAnsi="仿宋_GB2312" w:cs="仿宋_GB2312" w:eastAsia="仿宋_GB2312"/>
                <w:sz w:val="20"/>
              </w:rPr>
              <w:t>第一期，合同签订后</w:t>
            </w:r>
            <w:r>
              <w:rPr>
                <w:rFonts w:ascii="仿宋_GB2312" w:hAnsi="仿宋_GB2312" w:cs="仿宋_GB2312" w:eastAsia="仿宋_GB2312"/>
                <w:sz w:val="20"/>
              </w:rPr>
              <w:t>30个工作日内，甲方向乙方支付合同总价款的60%</w:t>
            </w:r>
          </w:p>
          <w:p>
            <w:pPr>
              <w:pStyle w:val="null3"/>
              <w:jc w:val="both"/>
            </w:pPr>
            <w:r>
              <w:rPr>
                <w:rFonts w:ascii="仿宋_GB2312" w:hAnsi="仿宋_GB2312" w:cs="仿宋_GB2312" w:eastAsia="仿宋_GB2312"/>
                <w:sz w:val="20"/>
              </w:rPr>
              <w:t>第二期，乙方完成项目可研报告编制并通过甲方验收确认，且交付成果后</w:t>
            </w:r>
            <w:r>
              <w:rPr>
                <w:rFonts w:ascii="仿宋_GB2312" w:hAnsi="仿宋_GB2312" w:cs="仿宋_GB2312" w:eastAsia="仿宋_GB2312"/>
                <w:sz w:val="20"/>
              </w:rPr>
              <w:t>30个工作日内甲方向乙方支付合同总价款的40%。</w:t>
            </w:r>
          </w:p>
          <w:p>
            <w:pPr>
              <w:pStyle w:val="null3"/>
              <w:jc w:val="both"/>
            </w:pPr>
            <w:r>
              <w:rPr>
                <w:rFonts w:ascii="仿宋_GB2312" w:hAnsi="仿宋_GB2312" w:cs="仿宋_GB2312" w:eastAsia="仿宋_GB2312"/>
                <w:sz w:val="20"/>
              </w:rPr>
              <w:t>所有款项均以银行转账方式支付，每次甲方付款前乙方提供对应数额的税务发票。</w:t>
            </w:r>
          </w:p>
          <w:p>
            <w:pPr>
              <w:pStyle w:val="null3"/>
              <w:jc w:val="both"/>
            </w:pPr>
            <w:r>
              <w:rPr>
                <w:rFonts w:ascii="仿宋_GB2312" w:hAnsi="仿宋_GB2312" w:cs="仿宋_GB2312" w:eastAsia="仿宋_GB2312"/>
                <w:sz w:val="20"/>
              </w:rPr>
              <w:t>六、其他要求</w:t>
            </w:r>
          </w:p>
          <w:p>
            <w:pPr>
              <w:pStyle w:val="null3"/>
              <w:jc w:val="both"/>
            </w:pPr>
            <w:r>
              <w:rPr>
                <w:rFonts w:ascii="仿宋_GB2312" w:hAnsi="仿宋_GB2312" w:cs="仿宋_GB2312" w:eastAsia="仿宋_GB2312"/>
                <w:sz w:val="20"/>
              </w:rPr>
              <w:t>1、供应商应保证所提供的服务或其任何一部分均不会侵犯任何第三方的专利权、商标权或著作权。</w:t>
            </w:r>
          </w:p>
          <w:p>
            <w:pPr>
              <w:pStyle w:val="null3"/>
              <w:jc w:val="both"/>
            </w:pPr>
            <w:r>
              <w:rPr>
                <w:rFonts w:ascii="仿宋_GB2312" w:hAnsi="仿宋_GB2312" w:cs="仿宋_GB2312" w:eastAsia="仿宋_GB2312"/>
                <w:sz w:val="20"/>
              </w:rPr>
              <w:t>2、报价要求：（1）成交供应商在项目实施期间，若上级主管部门对本项目的完成时间、工作内容和技术要求有调整和变化的，供应商应无条件按照新要求执行，满足采购人和上级主管部门对本项目的部署与要求，所需一切费用包含在本次磋商报价中。（2）项目总报价应当包括完成本项目可能发生的各项费用的总和，为包干费用，如人工费、成果编制费、仪器设备使用费、资料费、项目成果评审费、差旅费、保险费、管理费、税金等一切费用的体现，采购文件未列明而供应商认为其他必需的费用也须列入报价内。采购人不再另行支付成交金额以外的其他任何费用。</w:t>
            </w:r>
          </w:p>
          <w:p>
            <w:pPr>
              <w:pStyle w:val="null3"/>
              <w:jc w:val="both"/>
            </w:pPr>
            <w:r>
              <w:rPr>
                <w:rFonts w:ascii="仿宋_GB2312" w:hAnsi="仿宋_GB2312" w:cs="仿宋_GB2312" w:eastAsia="仿宋_GB2312"/>
                <w:sz w:val="20"/>
              </w:rPr>
              <w:t>3、违约责任与解决争议的方法：（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自合同签订之日起60日历天编制完成（并通过省发改委评审中心评审出具评审报告）。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其他，乙方完成项目可研报告编制（通过省发改委评审中心评审出具评审报告）并通过甲方验收确认，且交付成果后，达到付款条件起30个工作日内，支付合同总金额的40.0%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提供纸质文件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西安市未央区西安经济技术开发区凤城十二路首创禧悦里25幢A座16层（纸质响应文件可顺丰邮寄，邮件发出时间应在递交电子响应文件截止时间之前，邮寄地址：西安市未央区西安经济技术开发区凤城十二路首创禧悦里25幢A座16层，联系人：同秀秀，联系电话：13379211324）。③若电子响应文件与纸质响应文件不一致的，以电子响应文件为准。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响应函》完成承诺并进行电子签章。（1）供应商的营业执照等证明文件，自然人的身份证明； (2) 法定代表人（单位负责人）参加磋商的，提供本人身份证复印件；法定代表人（单位负责人）授权他人参加磋商的，提供法定代表人（单位负责人）委托授权书并出示被授权代表的身份证复印件； （3）供应商2025年5月至今已缴纳任意一个月任意税种纳税凭证或税务机关开具的完税证明（个人所得税除外），依法免税的应提供相关文件证明；（4）供应商2025年5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供应商备案</w:t>
            </w:r>
          </w:p>
        </w:tc>
        <w:tc>
          <w:tcPr>
            <w:tcW w:type="dxa" w:w="3322"/>
          </w:tcPr>
          <w:p>
            <w:pPr>
              <w:pStyle w:val="null3"/>
            </w:pPr>
            <w:r>
              <w:rPr>
                <w:rFonts w:ascii="仿宋_GB2312" w:hAnsi="仿宋_GB2312" w:cs="仿宋_GB2312" w:eastAsia="仿宋_GB2312"/>
              </w:rPr>
              <w:t>供应商须在“全国投资项目在线审批监管平台”工程咨询单位名录备案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响应文件封面 标的清单 报价表 响应函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响应文件封面 标的清单 报价表 响应函 资格证明文件.docx 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响应文件封面 标的清单 报价表 响应函 资格证明文件.docx 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资格证明文件.docx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供应商针对森林草原防火现状、痛点（如监测盲区、响应时效）、建设目标的理解。 二、评审标准 1、完整性：完全掌握本项目实施的相关政策及背景，理解全面； 2、科学性：内容紧扣项目实际情况，逻辑完整、科学合理。 三、赋分依据 每完全满足一个评审标准得2.0分，每基本满足一个评审标准得1.0分，不满足或未提供不得分，满分4.0分。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供应商针对本项目可研编制制定整体服务方案。包括①服务目标、内容及标准②服务方法及策略③人员组织安排④配合验收方案。 二、评审标准 1、完整性：内容须全面，对评审内容中的各项要求描述详细； 2、可实施性：切合本项目实际情况，实施步骤清晰、合理； 3、针对性：能够紧扣项目实际情况，内容科学合理。 三、赋分依据 ①服务目标、内容及标准：每完全满足一个评审标准得2.0分，每基本满足一个评审标准得1.0分，不满足或未提供不得分，满分6分； ②服务方法及策略：每完全满足一个评审标准得2.0分，每基本满足一个评审标准得1.0分，不满足或未提供不得分，满分6分； ③人员组织安排：每完全满足一个评审标准得2.0分，每基本满足一个评审标准得1.0分，不满足或未提供不得分，满分6分； ④配合验收方案：每完全满足一个评审标准得2.0分，每基本满足一个评审标准得1.0分，不满足或未提供不得分，满分6分。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供应商针对本项目制作各阶段工作流程。包括①前期准备②报告编制③报告审核、修改与最终上报。 二、评审标准 1、完整性：内容须全面，对评审内容中的各项要求描述详细； 2、可实施性：切合本项目实际情况，实施步骤清晰、合理； 3、针对性：能够紧扣项目实际情况，内容科学合理。 三、赋分依据 ①前期准备：每完全满足一个评审标准得1分，每基本满足一个评审标准得0.5分，不满足或未提供不得分，满分3分； ②报告编制：每完全满足一个评审标准得1分，每基本满足一个评审标准得0.5分，不满足或未提供不得分，满分3分； ③报告审核、修改与最终上报：每完全满足一个评审标准得1分，每基本满足一个评审标准得0.5分，不满足或未提供不得分，满分3分。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供应商针对本项目报告编制进行重难点分析。包括①重难点分析 ②对应解决方案。 二、评审标准 1、完整性：内容须全面，对评审内容中的各项要求描述详细； 2、可实施性：切合本项目实际情况，实施步骤清晰、合理； 3、针对性：能够紧扣项目实际情况，内容科学合理。 三、赋分依据 ①重难点分析：每完全满足一个评审标准得1分，每基本满足一个评审标准得0.5分，不满足或未提供不得分，满分3分； ②对应解决方案：每完全满足一个评审标准得1分，每基本满足一个评审标准得0.5分，不满足或未提供不得分，满分3分。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供应商针对本项目制定进度保障方案。包括①编制进度安排及保障措施②突发情况的应急措施。 二、评审标准 1、完整性：内容须全面，对评审内容中的各项要求描述详细； 2、可实施性：切合本项目实际情况，实施步骤清晰、合理； 3、针对性：能够紧扣项目实际情况，内容科学合理。 三、赋分依据 ①编制进度安排及保障措施：每完全满足一个评审标准得1分，每基本满足一个评审标准得0.5分，不满足或未提供不得分，满分3分； ②突发情况的应急措施：每完全满足一个评审标准得1分，每基本满足一个评审标准得0.5分，不满足或未提供不得分，满分3分。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供应商针对本项目制定质量保障方案。包括①质量规划、目标②保障措施③未达到质量标准的改进措施。 二、评审标准 1、完整性：内容须全面，对评审内容中的各项要求描述详细； 2、可实施性：切合本项目实际情况，实施步骤清晰、合理； 3、针对性：能够紧扣项目实际情况，内容科学合理。 三、赋分依据 ①质量规划、目标：每完全满足一个评审标准得1分，每基本满足一个评审标准得0.5分，不满足或未提供不得分，满分3分； ②保障措施：每完全满足一个评审标准得1分，每基本满足一个评审标准得0.5分，不满足或未提供不得分，满分3分； ③未达到质量标准的改进措施：每完全满足一个评审标准得1分，每基本满足一个评审标准得0.5分，不满足或未提供不得分，满分3分。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一、评审内容供应商针对本项目获悉的采购人相关信息制定完整可行的保密措施，具备完善的内部保密制度。包括①制度建设②保密措施。 二、评审标准 1、完整性：内容须全面，对评审内容中的各项要求描述详细； 2、可实施性：切合本项目实际情况，实施步骤清晰、合理； 3、针对性：能够紧扣项目实际情况，内容科学合理。 三、赋分依据 ①制度建设：每完全满足一个评审标准得1分，每基本满足一个评审标准得0.5分，不满足或未提供不得分，满分3分； ②保密措施：每完全满足一个评审标准得1分，每基本满足一个评审标准得0.5分，不满足或未提供不得分，满分3分。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成果交付资料</w:t>
            </w:r>
          </w:p>
        </w:tc>
        <w:tc>
          <w:tcPr>
            <w:tcW w:type="dxa" w:w="2492"/>
          </w:tcPr>
          <w:p>
            <w:pPr>
              <w:pStyle w:val="null3"/>
            </w:pPr>
            <w:r>
              <w:rPr>
                <w:rFonts w:ascii="仿宋_GB2312" w:hAnsi="仿宋_GB2312" w:cs="仿宋_GB2312" w:eastAsia="仿宋_GB2312"/>
              </w:rPr>
              <w:t>一、评审内容 供应商提供针对本项目的成果交付资料应真实、有效，符合采购人要求。若未达到采购人标准，提供具体的改进措施。 二、评审标准 1、完整性：内容须全面，对评审内容中的各项要求描述详细； 2、可实施性：切合本项目实际情况，实施步骤清晰、合理； 3、针对性：能够紧扣项目实际情况，内容科学合理。 三、赋分依据 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项目配备人员①具有相关专业高级及以上职称1人得2.0分；②具备相关专业中级职称1人得1.0分。最高得10分。 （配备人员需提供身份证、学历证、本单位缴纳社保证明、职称证等相关证明材料，未提供或提供资料不完整的不得分。）注：供应商承诺，如若成交，服务团队人员不得随意更换。若因不可抗力因素，确需更换，要求至少提前7个工作日以书面形式通知采购人，并将拟更换的人员个人资料一并上报，经采购人审核同意后，方可更换。提供此承诺计1分，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 每提供上述一个承诺计1分，共2分。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供应商从2023年1月1日以来（以合同签订日期为准）类似项目业绩，每提供一个1个计2分，最高得10分。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基于专业判断，认为供应商报价过低，有可能影响产品质量或者不能诚信履约的其他情形。相关法律法规对供应商报价有规定的，从其规定。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服务市场价格水平、行业人工费用标准、国家有关部门指导行业协会发布的行业平均成本等情况，对报价合理性进行判断。 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有效供应商的最低报价（落实政府采购政策进行价格调整的，以调整后的价格计算）为基准价得10分，其他各供应商的报价得分按下列公式计算：（基准价/投标报价）×10％×100。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