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72D1F3">
      <w:pPr>
        <w:pStyle w:val="2"/>
        <w:keepNext/>
        <w:keepLines/>
        <w:pageBreakBefore w:val="0"/>
        <w:widowControl w:val="0"/>
        <w:kinsoku/>
        <w:wordWrap/>
        <w:overflowPunct/>
        <w:topLinePunct w:val="0"/>
        <w:autoSpaceDE/>
        <w:autoSpaceDN/>
        <w:bidi w:val="0"/>
        <w:adjustRightInd/>
        <w:snapToGrid/>
        <w:spacing w:before="0" w:after="0" w:line="579" w:lineRule="auto"/>
        <w:textAlignment w:val="auto"/>
        <w:rPr>
          <w:rFonts w:hint="eastAsia"/>
          <w:color w:val="000000" w:themeColor="text1"/>
          <w:sz w:val="30"/>
          <w:szCs w:val="30"/>
          <w:lang w:val="en-US" w:eastAsia="zh-CN"/>
          <w14:textFill>
            <w14:solidFill>
              <w14:schemeClr w14:val="tx1"/>
            </w14:solidFill>
          </w14:textFill>
        </w:rPr>
      </w:pPr>
      <w:r>
        <w:rPr>
          <w:rFonts w:hint="eastAsia"/>
          <w:color w:val="000000" w:themeColor="text1"/>
          <w:sz w:val="30"/>
          <w:szCs w:val="30"/>
          <w14:textFill>
            <w14:solidFill>
              <w14:schemeClr w14:val="tx1"/>
            </w14:solidFill>
          </w14:textFill>
        </w:rPr>
        <w:t>技术要</w:t>
      </w:r>
      <w:r>
        <w:rPr>
          <w:rFonts w:hint="eastAsia"/>
          <w:color w:val="000000" w:themeColor="text1"/>
          <w:sz w:val="30"/>
          <w:szCs w:val="30"/>
          <w:lang w:val="en-US" w:eastAsia="zh-CN"/>
          <w14:textFill>
            <w14:solidFill>
              <w14:schemeClr w14:val="tx1"/>
            </w14:solidFill>
          </w14:textFill>
        </w:rPr>
        <w:t>求</w:t>
      </w:r>
    </w:p>
    <w:p w14:paraId="59C4FE4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bookmarkStart w:id="0" w:name="_Toc180412084"/>
      <w:bookmarkStart w:id="1" w:name="_Toc193446428"/>
      <w:r>
        <w:rPr>
          <w:rFonts w:hint="eastAsia" w:asciiTheme="minorEastAsia" w:hAnsiTheme="minorEastAsia" w:eastAsiaTheme="minorEastAsia" w:cstheme="minorEastAsia"/>
          <w:b/>
          <w:bCs/>
          <w:sz w:val="24"/>
          <w:szCs w:val="24"/>
        </w:rPr>
        <w:t xml:space="preserve"> 平台建设要求</w:t>
      </w:r>
      <w:bookmarkEnd w:id="0"/>
    </w:p>
    <w:p w14:paraId="0A72DD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通过制定全城停车资源联网汇聚标准规范，搭建一体化城市停车平台，接入城市停车动静态数据，统一纳入管理，实现“全城一个停车场”。为停车主管单位，提供人、车、场、位、设备五维一体的资源统筹管理，实现城市停车数据互联共享、停车需求智能分析、停车资源智能调度、治理成效全程跟进，为政府完善城市停车政策、优化停车设施布局、改善停车乱象提供决策依据；在车主端，可在全城范围内找位、导航、停车等，实现一部手机停全城，为车主提供完善的线上服务，提升停车体验。</w:t>
      </w:r>
    </w:p>
    <w:bookmarkEnd w:id="1"/>
    <w:p w14:paraId="5CE9254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平台功能要求</w:t>
      </w:r>
    </w:p>
    <w:p w14:paraId="644DF8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城市停车监管应用属于静态交通系统的一部分，是以城市停车场数据为基础，以互联网、智能计算和大数据等新一代信息技术为支撑，构建城市级停车信息采集、处理、分析和管理为一体的易用、高效的智慧应用。面对“停车乱、交通堵、管理难”等停车问题，通过车场资源整合、实时停车数据采集、停车智能诱导、多维度的数据统计分析等多方面措施，帮助政府监管单位实现停车资源有效管理，并在停车资源优化配置、停车资源科学调度等方面为监管单位提供决策依据，结合丰富的场景化应用，提升停车资源供给能力，缓解停车压力。主要业务应用包括联网汇聚、资源管理、运行监管、公众服务、监管可视化等。</w:t>
      </w:r>
    </w:p>
    <w:p w14:paraId="54ED925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联网汇聚</w:t>
      </w:r>
    </w:p>
    <w:p w14:paraId="6ECE05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制定标准规范，实现多来源、多种类、多类型的停车数据的汇聚接入，并对联网汇聚上来的停车数据进行统一管理，可对接入的进度、接入的数据质量进行监测，帮助监管单位及时掌握车场接入状态，便于推进车场接入工作。同时，支持过车记录和空余位记录的管理，便于对动态停车数据的分析，为车场运行监管等应用提供基础支撑能力。</w:t>
      </w:r>
    </w:p>
    <w:p w14:paraId="266430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rPr>
        <w:t>数据汇聚接入网关（后台）</w:t>
      </w:r>
    </w:p>
    <w:p w14:paraId="705B1E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sz w:val="24"/>
          <w:szCs w:val="24"/>
        </w:rPr>
        <w:t>通过数据汇聚网关，实现多来源、多种类、多类型的停车数据的汇聚接入、数据标准</w:t>
      </w:r>
      <w:r>
        <w:rPr>
          <w:rFonts w:hint="eastAsia" w:asciiTheme="minorEastAsia" w:hAnsiTheme="minorEastAsia" w:eastAsiaTheme="minorEastAsia" w:cstheme="minorEastAsia"/>
          <w:b w:val="0"/>
          <w:bCs w:val="0"/>
          <w:sz w:val="24"/>
          <w:szCs w:val="24"/>
        </w:rPr>
        <w:t>化转换、数据存储，以标准开放接口服务的方式支撑下级停车场库平台对接。</w:t>
      </w:r>
    </w:p>
    <w:p w14:paraId="22AD54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rPr>
        <w:t>数据汇聚监测引擎（后台）</w:t>
      </w:r>
    </w:p>
    <w:p w14:paraId="5F59A1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对下级平台数据汇聚对接情况进行实时监控与数据分析，检测平台离线、数据质量问题。</w:t>
      </w:r>
    </w:p>
    <w:p w14:paraId="075E54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接入管理</w:t>
      </w:r>
    </w:p>
    <w:p w14:paraId="7FE36D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对联网汇聚上来的停车数据进行统一管理，同时可对接入的进度、接入的数据质量进行监测。可对停车场库的停车资源接入情况进行汇总及统计分析支持对各停车场停车记录、空余记录等停车动态数据统一管理。</w:t>
      </w:r>
    </w:p>
    <w:p w14:paraId="269CB4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停车数据管理</w:t>
      </w:r>
    </w:p>
    <w:p w14:paraId="1F57A1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停车场通过联网接入系统后，系统支持展示各停车场停车记录和余位空闲记录。可根据车牌号码、入车时间、停车时长、停车场名称、停车状态等检索条件查询停车记录。支持查看每笔停车记录相关的停车场、停车时长、状态等信息以及出入车图片。</w:t>
      </w:r>
    </w:p>
    <w:p w14:paraId="4C90C47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资源管理</w:t>
      </w:r>
    </w:p>
    <w:p w14:paraId="222CBE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源管理是基于车场信息普查工具，实现对全市停车场（库）、道路停车点基础信息的采集，初步完成资源归集，并通过车场备案、联网汇聚等方式为每一个停车场（库）、道路停车点建立涵盖本底、经营单位、平台厂商、备案状态、接入状态等多维数据的电子档案，实现对车场资源的统一纳管。资源管理主要内容包括车场信息普查、资源档案管理等功能。</w:t>
      </w:r>
    </w:p>
    <w:p w14:paraId="1297BD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支持统计展示注册车主数量。支持统计指定时间段内新注册用户数量和每日注册量变化趋势。支持统计指定时间段内每日活跃用户数量及变化趋势。</w:t>
      </w:r>
    </w:p>
    <w:p w14:paraId="772B58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运行监管</w:t>
      </w:r>
    </w:p>
    <w:p w14:paraId="41722A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打造一个监管中心，对车场、车辆等运行情况集中监管，围绕车场运行、车辆运行、分析研判三个方面，为监管单位提供监管一张图、车场运行监管、车辆运行监管、辅助决策等功能，实现城市停车资源分布、资源利用程度、重点区域、停车趋势、重点车辆动态信息的全面掌握，为停车主管单位的规划研判、政策制定、管理服务提供决策支撑。</w:t>
      </w:r>
    </w:p>
    <w:p w14:paraId="36AAFD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1、一张图管理</w:t>
      </w:r>
    </w:p>
    <w:p w14:paraId="5FB482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基于一张GIS地图，展示车场、重点区域、诱导屏分布及实时运行状态，支持车场、重点区域按照利用率、周转率、当前占用率等多维度分析展示，支持停车热力分析。同时，基于车场维度对嫌疑车、僵尸车告警记录进行展示。</w:t>
      </w:r>
    </w:p>
    <w:p w14:paraId="53ECAF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2、车场运行监管</w:t>
      </w:r>
    </w:p>
    <w:p w14:paraId="40BBF3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全市、行政区划的停车场备案、接入情况、在线情况进行分析，并对各车场停车流量、利用率、周转率、平均停车时长等运行数据进行统计及列表展示。支持对停车场评价次数、评分进行统计分析，对停车场服务质量进行排名展示。</w:t>
      </w:r>
    </w:p>
    <w:p w14:paraId="3F009A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车辆运行监管</w:t>
      </w:r>
    </w:p>
    <w:p w14:paraId="391F95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嫌疑车辆、违停车辆、僵尸车辆的基础信息及停车行为进行监管。可对特管车辆进行定位，列表展示定位告警的停车记录；支持违停记录管理、违停趋势分析、违停时段分布统计；支持僵尸车智能监测，并可对生成的僵尸车记录进行处理结果标记。</w:t>
      </w:r>
    </w:p>
    <w:p w14:paraId="305ED8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辅助决策</w:t>
      </w:r>
    </w:p>
    <w:p w14:paraId="63CF24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提供多种以机器学习算法为核心的辅助决策应用，使监管单位实现数据智能快速规模化转型落地，聚焦城市停车精细化管理，在科学合理地新建车场和泊位、盘活存量停车资源、洞察城市停车态势、有效诱导等方面，全面有效提升监管单位的决策能力。主要内容包括资源供需分析、存量优化分析、停车预测分析、停车综合分析、停车指数分析等功能。</w:t>
      </w:r>
    </w:p>
    <w:p w14:paraId="16F013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公共服务</w:t>
      </w:r>
    </w:p>
    <w:p w14:paraId="7F2876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共服务主要为面向车主提供的智能诱导服务。在延安交管支队公众号配置菜单-停车余位信息发布、展示管辖范围内所有停车场，点击可基于用户手机已安装地图进行导航、查询发布的车场停车位总数、余位信息。平台通过对接延安交管支队微信公众号，推送管辖区域内的所有停车场信息，包含地址、总车位数量、剩余车位数量；车主点击后，可调用手机导航，进行线路规划导航。</w:t>
      </w:r>
    </w:p>
    <w:p w14:paraId="0F8135C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监管可视化</w:t>
      </w:r>
    </w:p>
    <w:p w14:paraId="56BE12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管可视化主要面向城市停车监管单位领导管理层，围绕停车管理业务，为管理人员呈现城市级停车场基础数据及运行态势，并对重点区域停车难题进行关键指标分析，辅助管理人员对城市停车科学规划与指挥决策。主要内容包括资源管理，帮助管理单位掌握车场资源底数、资源分布、运行态势以及重点区域运行情况；公众服务，帮助管理单位了解服务车主数量、各类服务次数以及服务质量。</w:t>
      </w:r>
    </w:p>
    <w:p w14:paraId="2003ED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1、车场资源数据综合展示</w:t>
      </w:r>
    </w:p>
    <w:p w14:paraId="2B95DC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展示城市车场、泊位、充电桩等资源数据，直观展示全城停车和充电资源的区域和业态分布情况、各种类型停车资源的占比、车场资源的实时接入情况、备案情况、停车资源运行情况等，辅助城市停车资源规划与调控决策。</w:t>
      </w:r>
    </w:p>
    <w:p w14:paraId="6D5AB4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lang w:val="en-US" w:eastAsia="zh-CN"/>
        </w:rPr>
        <w:t>.</w:t>
      </w:r>
      <w:r>
        <w:rPr>
          <w:rFonts w:hint="eastAsia" w:asciiTheme="minorEastAsia" w:hAnsiTheme="minorEastAsia" w:eastAsiaTheme="minorEastAsia" w:cstheme="minorEastAsia"/>
          <w:sz w:val="24"/>
          <w:szCs w:val="24"/>
        </w:rPr>
        <w:t>通过公众停车服务分析，能直观了解停车服务次数、支付服务、诱导服务、错时共享服务等信息，掌握服务量级变化趋势，为制定服务策略与改进计划提供数据依据。</w:t>
      </w:r>
    </w:p>
    <w:p w14:paraId="60A90DF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bookmarkStart w:id="2" w:name="_Toc180412087"/>
    </w:p>
    <w:p w14:paraId="4DE3385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车主公众服务</w:t>
      </w:r>
    </w:p>
    <w:p w14:paraId="4E0085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城市停车公众停车服务应用是智慧停车平台面向公众的移动端应用，主要是微信公众号等可以提供车场查询、导航等服务。</w:t>
      </w:r>
    </w:p>
    <w:p w14:paraId="54971D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1、支持以列表形式展示平台发布的资讯内容，支持查看资讯详情，支持资讯图文显示。</w:t>
      </w:r>
    </w:p>
    <w:p w14:paraId="142349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2、支持查找个人当前位置周边的停车点；查看停车点名称、地址、开放时段、收费标准等信息；收藏停车点。</w:t>
      </w:r>
    </w:p>
    <w:p w14:paraId="36A2FC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3、支持查找个人当前位置周边的充电站；查看充电站名称、地址、开放时段、收费标准、停车优惠等信息；收藏充电站。</w:t>
      </w:r>
    </w:p>
    <w:bookmarkEnd w:id="2"/>
    <w:p w14:paraId="48C4A0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平台功能清单</w:t>
      </w:r>
    </w:p>
    <w:tbl>
      <w:tblPr>
        <w:tblStyle w:val="3"/>
        <w:tblW w:w="5001" w:type="pct"/>
        <w:tblInd w:w="-5" w:type="dxa"/>
        <w:tblLayout w:type="autofit"/>
        <w:tblCellMar>
          <w:top w:w="0" w:type="dxa"/>
          <w:left w:w="108" w:type="dxa"/>
          <w:bottom w:w="0" w:type="dxa"/>
          <w:right w:w="108" w:type="dxa"/>
        </w:tblCellMar>
      </w:tblPr>
      <w:tblGrid>
        <w:gridCol w:w="438"/>
        <w:gridCol w:w="202"/>
        <w:gridCol w:w="628"/>
        <w:gridCol w:w="36"/>
        <w:gridCol w:w="725"/>
        <w:gridCol w:w="639"/>
        <w:gridCol w:w="5856"/>
      </w:tblGrid>
      <w:tr w14:paraId="42A12798">
        <w:tblPrEx>
          <w:tblCellMar>
            <w:top w:w="0" w:type="dxa"/>
            <w:left w:w="108" w:type="dxa"/>
            <w:bottom w:w="0" w:type="dxa"/>
            <w:right w:w="108" w:type="dxa"/>
          </w:tblCellMar>
        </w:tblPrEx>
        <w:trPr>
          <w:trHeight w:val="330" w:hRule="atLeast"/>
        </w:trPr>
        <w:tc>
          <w:tcPr>
            <w:tcW w:w="3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432C5D">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序号</w:t>
            </w:r>
          </w:p>
        </w:tc>
        <w:tc>
          <w:tcPr>
            <w:tcW w:w="383" w:type="pct"/>
            <w:tcBorders>
              <w:top w:val="single" w:color="auto" w:sz="4" w:space="0"/>
              <w:left w:val="nil"/>
              <w:bottom w:val="single" w:color="auto" w:sz="4" w:space="0"/>
              <w:right w:val="single" w:color="auto" w:sz="4" w:space="0"/>
            </w:tcBorders>
            <w:shd w:val="clear" w:color="auto" w:fill="auto"/>
            <w:vAlign w:val="center"/>
          </w:tcPr>
          <w:p w14:paraId="00B18626">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系统名称</w:t>
            </w:r>
          </w:p>
        </w:tc>
        <w:tc>
          <w:tcPr>
            <w:tcW w:w="476" w:type="pct"/>
            <w:gridSpan w:val="2"/>
            <w:tcBorders>
              <w:top w:val="single" w:color="auto" w:sz="4" w:space="0"/>
              <w:left w:val="nil"/>
              <w:bottom w:val="single" w:color="auto" w:sz="4" w:space="0"/>
              <w:right w:val="single" w:color="auto" w:sz="4" w:space="0"/>
            </w:tcBorders>
            <w:shd w:val="clear" w:color="auto" w:fill="auto"/>
            <w:vAlign w:val="center"/>
          </w:tcPr>
          <w:p w14:paraId="6C2FB1CF">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模块名称</w:t>
            </w:r>
          </w:p>
        </w:tc>
        <w:tc>
          <w:tcPr>
            <w:tcW w:w="389" w:type="pct"/>
            <w:tcBorders>
              <w:top w:val="single" w:color="auto" w:sz="4" w:space="0"/>
              <w:left w:val="nil"/>
              <w:bottom w:val="single" w:color="auto" w:sz="4" w:space="0"/>
              <w:right w:val="single" w:color="auto" w:sz="4" w:space="0"/>
            </w:tcBorders>
            <w:shd w:val="clear" w:color="auto" w:fill="auto"/>
            <w:vAlign w:val="center"/>
          </w:tcPr>
          <w:p w14:paraId="51F5FC5E">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子模块名称</w:t>
            </w:r>
          </w:p>
        </w:tc>
        <w:tc>
          <w:tcPr>
            <w:tcW w:w="3449" w:type="pct"/>
            <w:tcBorders>
              <w:top w:val="single" w:color="auto" w:sz="4" w:space="0"/>
              <w:left w:val="nil"/>
              <w:bottom w:val="single" w:color="auto" w:sz="4" w:space="0"/>
              <w:right w:val="single" w:color="auto" w:sz="4" w:space="0"/>
            </w:tcBorders>
            <w:shd w:val="clear" w:color="auto" w:fill="auto"/>
            <w:vAlign w:val="center"/>
          </w:tcPr>
          <w:p w14:paraId="6116CE94">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功能描述</w:t>
            </w:r>
          </w:p>
        </w:tc>
      </w:tr>
      <w:tr w14:paraId="1B117F6A">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9A8A99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一</w:t>
            </w:r>
          </w:p>
        </w:tc>
        <w:tc>
          <w:tcPr>
            <w:tcW w:w="4697" w:type="pct"/>
            <w:gridSpan w:val="5"/>
            <w:tcBorders>
              <w:top w:val="single" w:color="auto" w:sz="4" w:space="0"/>
              <w:left w:val="nil"/>
              <w:bottom w:val="single" w:color="auto" w:sz="4" w:space="0"/>
              <w:right w:val="single" w:color="auto" w:sz="4" w:space="0"/>
            </w:tcBorders>
            <w:shd w:val="clear" w:color="000000" w:fill="FFFFFF"/>
            <w:vAlign w:val="center"/>
          </w:tcPr>
          <w:p w14:paraId="483E689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城市停车诱导监管平台</w:t>
            </w:r>
          </w:p>
        </w:tc>
      </w:tr>
      <w:tr w14:paraId="4EDC7FF3">
        <w:tblPrEx>
          <w:tblCellMar>
            <w:top w:w="0" w:type="dxa"/>
            <w:left w:w="108" w:type="dxa"/>
            <w:bottom w:w="0" w:type="dxa"/>
            <w:right w:w="108" w:type="dxa"/>
          </w:tblCellMar>
        </w:tblPrEx>
        <w:trPr>
          <w:trHeight w:val="232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7FF03B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2EAD1370">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展示中心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13268A7F">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资源管理</w:t>
            </w:r>
          </w:p>
        </w:tc>
        <w:tc>
          <w:tcPr>
            <w:tcW w:w="389" w:type="pct"/>
            <w:tcBorders>
              <w:top w:val="nil"/>
              <w:left w:val="nil"/>
              <w:bottom w:val="single" w:color="auto" w:sz="4" w:space="0"/>
              <w:right w:val="single" w:color="auto" w:sz="4" w:space="0"/>
            </w:tcBorders>
            <w:shd w:val="clear" w:color="000000" w:fill="FFFFFF"/>
            <w:vAlign w:val="center"/>
          </w:tcPr>
          <w:p w14:paraId="4876A6B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停车设施分析</w:t>
            </w:r>
          </w:p>
        </w:tc>
        <w:tc>
          <w:tcPr>
            <w:tcW w:w="3449" w:type="pct"/>
            <w:tcBorders>
              <w:top w:val="nil"/>
              <w:left w:val="nil"/>
              <w:bottom w:val="single" w:color="auto" w:sz="4" w:space="0"/>
              <w:right w:val="single" w:color="auto" w:sz="4" w:space="0"/>
            </w:tcBorders>
            <w:shd w:val="clear" w:color="000000" w:fill="FFFFFF"/>
            <w:vAlign w:val="center"/>
          </w:tcPr>
          <w:p w14:paraId="0517E9D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1.展示全市或区县已建、在建、待建状态的停车场数量和停车位数量。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2.展示全市或区县路外公共停车场、路外专用停车场、路内道路停车场的数量与停车位数量，便于了解停车场解资源结构组成与分布。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3.展示全市或区县的充电站数量以及快充桩数量、慢充桩数量。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4.展示全市或区县的普查车场数量，对比展示已备案停车场数与备案率、已接入停车场数与接入率、在线停车场数与在线率。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5.列表滚动展示所辖下级各行政区划的已备案停车场数与备案率、已接入停车场数与接入率、在线停车场数与在线率，可对比呈现各区域的数据备案推进情况、停车场接入工作进展以及停车场在线情况。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6.按行政区划展示停车场和停车位数量，便于了解停车设施区域分布情况。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7.按交通枢纽、企业园区等业态区分展示停车场和停车位数量，便于了解各业态的停车设施分布情况。</w:t>
            </w:r>
          </w:p>
        </w:tc>
      </w:tr>
      <w:tr w14:paraId="16211518">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780439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C0BCB13">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71734A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3CB8F2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停车运行分析</w:t>
            </w:r>
          </w:p>
        </w:tc>
        <w:tc>
          <w:tcPr>
            <w:tcW w:w="3449" w:type="pct"/>
            <w:tcBorders>
              <w:top w:val="nil"/>
              <w:left w:val="nil"/>
              <w:bottom w:val="single" w:color="auto" w:sz="4" w:space="0"/>
              <w:right w:val="single" w:color="auto" w:sz="4" w:space="0"/>
            </w:tcBorders>
            <w:shd w:val="clear" w:color="000000" w:fill="FFFFFF"/>
            <w:vAlign w:val="center"/>
          </w:tcPr>
          <w:p w14:paraId="00FF465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1.通过车位指标展示区域停车运行情况，显示当前时刻区域内道路泊位的停车周转率，当前时刻所有在停车数量和停车位占用率。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2.展示停车场指标展示区域总体停车状态，显示停车难区域数量，当前停车难的高占用车场数以及区域停车高峰时长。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3.展示今日停车流量并以图形化方式按时间呈现停车流量变化情况，便于发现停车需求高峰时刻。通过今日数据与历史数据对比，可帮助发现停车流量异常情况。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4.展示今日停车场利用率，以图形化方式按时间呈现利用率变化情况，便于掌握停车需求持续情况。通过今日数据与历史数据对比，可帮助发现需求变化情况。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5.展示今日平均停车时长，以图形化方式对比展示各停车时长区间的停车次数。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6.展示全市或区县的停车运行指数，以可视化方式呈现下级行政区划的停车运行指数和区域占用率并排名。</w:t>
            </w:r>
          </w:p>
        </w:tc>
      </w:tr>
      <w:tr w14:paraId="715BA97F">
        <w:tblPrEx>
          <w:tblCellMar>
            <w:top w:w="0" w:type="dxa"/>
            <w:left w:w="108" w:type="dxa"/>
            <w:bottom w:w="0" w:type="dxa"/>
            <w:right w:w="108" w:type="dxa"/>
          </w:tblCellMar>
        </w:tblPrEx>
        <w:trPr>
          <w:trHeight w:val="11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6BBA51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F90F76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tcBorders>
              <w:top w:val="nil"/>
              <w:left w:val="nil"/>
              <w:bottom w:val="single" w:color="auto" w:sz="4" w:space="0"/>
              <w:right w:val="single" w:color="auto" w:sz="4" w:space="0"/>
            </w:tcBorders>
            <w:shd w:val="clear" w:color="000000" w:fill="FFFFFF"/>
            <w:vAlign w:val="center"/>
          </w:tcPr>
          <w:p w14:paraId="0B96955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公众服务</w:t>
            </w:r>
          </w:p>
        </w:tc>
        <w:tc>
          <w:tcPr>
            <w:tcW w:w="389" w:type="pct"/>
            <w:tcBorders>
              <w:top w:val="nil"/>
              <w:left w:val="nil"/>
              <w:bottom w:val="single" w:color="auto" w:sz="4" w:space="0"/>
              <w:right w:val="single" w:color="auto" w:sz="4" w:space="0"/>
            </w:tcBorders>
            <w:shd w:val="clear" w:color="000000" w:fill="FFFFFF"/>
            <w:vAlign w:val="center"/>
          </w:tcPr>
          <w:p w14:paraId="2AE7829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公共服务分析</w:t>
            </w:r>
          </w:p>
        </w:tc>
        <w:tc>
          <w:tcPr>
            <w:tcW w:w="3449" w:type="pct"/>
            <w:tcBorders>
              <w:top w:val="nil"/>
              <w:left w:val="nil"/>
              <w:bottom w:val="single" w:color="auto" w:sz="4" w:space="0"/>
              <w:right w:val="single" w:color="auto" w:sz="4" w:space="0"/>
            </w:tcBorders>
            <w:shd w:val="clear" w:color="000000" w:fill="FFFFFF"/>
            <w:vAlign w:val="center"/>
          </w:tcPr>
          <w:p w14:paraId="1C5B19CE">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1.展示累计注册用户数，支持对比展示各渠道注册用户数占比。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2.支持可视化方式展示近六个月的月度活跃用户数及变化趋势。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3.展示今日停车诱导服务次数。展示诱导服务累计覆盖的车主用户数量。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4.以可视化图表展示近六个月诱导服务使用次数及变化趋势。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5.支持对停车订单进行统计分析，展示今日停车次数及累计服务车辆数。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6.可视化图表对比展示近六月不同类型停车次数以及变化趋势，帮助了解停车服务需求量。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7.通过对停车订单支付方式进行分析，展示线上支付、线下支付笔数占比，同时展示无感支付率。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8.可视化图表直观展示现金、微信、支付宝等各类支付方式的缴费笔数及占比。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9.展示错时共享车位数和错时共享服务覆盖用户数。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10.可视化方式展示近六个月错时共享车位数量及变化趋势、错时共享包月用户数及变化趋势。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11.展示各停车场平均评分及评分次数，可对比展示各分值评分次数。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12.可展示今日订单申诉次数，可以可视化方式展示近六个月万笔订单申诉数及变化趋势。</w:t>
            </w:r>
          </w:p>
        </w:tc>
      </w:tr>
      <w:tr w14:paraId="68E40677">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EAF71AA">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F3268F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6F41EDCA">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停车地图</w:t>
            </w:r>
          </w:p>
        </w:tc>
        <w:tc>
          <w:tcPr>
            <w:tcW w:w="389" w:type="pct"/>
            <w:tcBorders>
              <w:top w:val="nil"/>
              <w:left w:val="nil"/>
              <w:bottom w:val="single" w:color="auto" w:sz="4" w:space="0"/>
              <w:right w:val="single" w:color="auto" w:sz="4" w:space="0"/>
            </w:tcBorders>
            <w:shd w:val="clear" w:color="000000" w:fill="FFFFFF"/>
            <w:vAlign w:val="center"/>
          </w:tcPr>
          <w:p w14:paraId="061FCF9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停车服务地图</w:t>
            </w:r>
          </w:p>
        </w:tc>
        <w:tc>
          <w:tcPr>
            <w:tcW w:w="3449" w:type="pct"/>
            <w:tcBorders>
              <w:top w:val="nil"/>
              <w:left w:val="nil"/>
              <w:bottom w:val="single" w:color="auto" w:sz="4" w:space="0"/>
              <w:right w:val="single" w:color="auto" w:sz="4" w:space="0"/>
            </w:tcBorders>
            <w:shd w:val="clear" w:color="000000" w:fill="FFFFFF"/>
            <w:vAlign w:val="center"/>
          </w:tcPr>
          <w:p w14:paraId="47E2CD47">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1.支持在地图上以不同图标展示不同类型停车场，点击停车场图标可展示停车场类型、业态、地址、服务次数、支付方式占比等信息。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2.支持切换展示或隐藏不同类型停车场。</w:t>
            </w:r>
          </w:p>
        </w:tc>
      </w:tr>
      <w:tr w14:paraId="6AB5065B">
        <w:tblPrEx>
          <w:tblCellMar>
            <w:top w:w="0" w:type="dxa"/>
            <w:left w:w="108" w:type="dxa"/>
            <w:bottom w:w="0" w:type="dxa"/>
            <w:right w:w="108" w:type="dxa"/>
          </w:tblCellMar>
        </w:tblPrEx>
        <w:trPr>
          <w:trHeight w:val="14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FC28EF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D2BC38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BE289E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EA6C44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停车资源地图</w:t>
            </w:r>
          </w:p>
        </w:tc>
        <w:tc>
          <w:tcPr>
            <w:tcW w:w="3449" w:type="pct"/>
            <w:tcBorders>
              <w:top w:val="nil"/>
              <w:left w:val="nil"/>
              <w:bottom w:val="single" w:color="auto" w:sz="4" w:space="0"/>
              <w:right w:val="single" w:color="auto" w:sz="4" w:space="0"/>
            </w:tcBorders>
            <w:shd w:val="clear" w:color="000000" w:fill="FFFFFF"/>
            <w:vAlign w:val="center"/>
          </w:tcPr>
          <w:p w14:paraId="6F3EB2E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1.支持在地图上刻画区域轮廓并查看各区县的今日停车服务次数、今日缴费次数、诱导次数、错时共享使用次数，选中区县后，地图切换到该区县地图详情界面。选中区县时，两侧数据看板呈现区县数据。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2.支持以城市地图作为背景，在地图上定位展示各个停车场。可在地图上切换类型选择展示路外公共停车场、路外专用停车场、路内道路停车场中的一类或多类。</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3.支持以城市地图作为背景，在地图上定位展示各个充电站。可在地图上切换类型选择展示或隐藏充电站。点击充电站图标可展示地址、快充桩数量、慢充桩数量、充电站类型、经营单位、经营时间、联系电话。</w:t>
            </w:r>
          </w:p>
        </w:tc>
      </w:tr>
      <w:tr w14:paraId="0EEF351D">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A115F20">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92F27F9">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57E78FE">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423234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停车效率地图</w:t>
            </w:r>
          </w:p>
        </w:tc>
        <w:tc>
          <w:tcPr>
            <w:tcW w:w="3449" w:type="pct"/>
            <w:tcBorders>
              <w:top w:val="nil"/>
              <w:left w:val="nil"/>
              <w:bottom w:val="single" w:color="auto" w:sz="4" w:space="0"/>
              <w:right w:val="single" w:color="auto" w:sz="4" w:space="0"/>
            </w:tcBorders>
            <w:shd w:val="clear" w:color="000000" w:fill="FFFFFF"/>
            <w:vAlign w:val="center"/>
          </w:tcPr>
          <w:p w14:paraId="6C4FFFE2">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1.支持点击车场图标展示停车场运行特征数据，包括该车场类型、业态、在停车数量、空闲车位数量、当日车位占用率、周转率、利用率、停车流量等信息。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2.在地图上以热力图方式用颜色变化实时展现停车量的分布情况。通过热力图颜色的深度和色块的大小，表示各区域车场车辆停放饱和度、繁忙程度。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3.可在地图上切换展示不同特征的停车场，包括盲点停车场、高占用停车场和有协查车辆出入告警的停车场。</w:t>
            </w:r>
          </w:p>
        </w:tc>
      </w:tr>
      <w:tr w14:paraId="3FCDCC1A">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333524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9281D7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B992273">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169878A">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车场地图展示</w:t>
            </w:r>
          </w:p>
        </w:tc>
        <w:tc>
          <w:tcPr>
            <w:tcW w:w="3449" w:type="pct"/>
            <w:tcBorders>
              <w:top w:val="nil"/>
              <w:left w:val="nil"/>
              <w:bottom w:val="single" w:color="auto" w:sz="4" w:space="0"/>
              <w:right w:val="single" w:color="auto" w:sz="4" w:space="0"/>
            </w:tcBorders>
            <w:shd w:val="clear" w:color="000000" w:fill="FFFFFF"/>
            <w:vAlign w:val="center"/>
          </w:tcPr>
          <w:p w14:paraId="64C36BCA">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1.支持切换展示或隐藏不同类型设备。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2.可在地图上定位展示各类型诱导屏，可详细查看诱导屏信息和当前播放的节目截图。</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3.可切换展示重点区域，查看重点区域的详细信息，包括区域空余车位数、占用率、协查车辆告警次数等。</w:t>
            </w:r>
          </w:p>
        </w:tc>
      </w:tr>
      <w:tr w14:paraId="32C0FAEF">
        <w:tblPrEx>
          <w:tblCellMar>
            <w:top w:w="0" w:type="dxa"/>
            <w:left w:w="108" w:type="dxa"/>
            <w:bottom w:w="0" w:type="dxa"/>
            <w:right w:w="108" w:type="dxa"/>
          </w:tblCellMar>
        </w:tblPrEx>
        <w:trPr>
          <w:trHeight w:val="580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CB5609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5776A8B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监管中心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3642299A">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监管一张图</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（中屏）</w:t>
            </w:r>
          </w:p>
        </w:tc>
        <w:tc>
          <w:tcPr>
            <w:tcW w:w="389" w:type="pct"/>
            <w:tcBorders>
              <w:top w:val="nil"/>
              <w:left w:val="nil"/>
              <w:bottom w:val="single" w:color="auto" w:sz="4" w:space="0"/>
              <w:right w:val="single" w:color="auto" w:sz="4" w:space="0"/>
            </w:tcBorders>
            <w:shd w:val="clear" w:color="000000" w:fill="FFFFFF"/>
            <w:vAlign w:val="center"/>
          </w:tcPr>
          <w:p w14:paraId="37F36C77">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停车场地图</w:t>
            </w:r>
          </w:p>
        </w:tc>
        <w:tc>
          <w:tcPr>
            <w:tcW w:w="3449" w:type="pct"/>
            <w:tcBorders>
              <w:top w:val="nil"/>
              <w:left w:val="nil"/>
              <w:bottom w:val="single" w:color="auto" w:sz="4" w:space="0"/>
              <w:right w:val="single" w:color="auto" w:sz="4" w:space="0"/>
            </w:tcBorders>
            <w:shd w:val="clear" w:color="000000" w:fill="FFFFFF"/>
            <w:vAlign w:val="center"/>
          </w:tcPr>
          <w:p w14:paraId="15F08A2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选择城市、区县、街道等行政区划，通过信息看板展示行政区划下的停车场数量、停车位数量、充电站数量、今日停车流量、当前占用率、今日周转率、今日利用率、区域内高占用停车场数量、区域内盲点停车场数量、错时共享停车场数量、今日区域内告警次数。</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2.支持展示全市、区县、街道各行政区划停车场数量与在线停车场数量，选择具体街道可展开列表呈现区域内的所有在线和离线的停车场。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3.支持列表展示区域内的充电站，并显式区域停车场内充电站与独立充电站。</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4.支持通过选择列表中的停车场名称或点击地图上的停车场图标展示选中停车场的基本信息，包括：停车场名称、停车场地址、停车场类型、停车位等信息。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5.支持展示场内快充桩数量、慢充桩数量。点击详情支持展示充电经营单位名称、营业时间、联系电话。</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6.支持可视化展示停车场运行信息，包括：今日停车流量、在停车数量、剩余泊位、占用率、今日周转率，今日利用率、今日平均停车时长、24小时出入车趋势、24小时占用率趋势等信息。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7.支持通过选择列表中的充电站名称或点击地图上的充电站图标展示选中充电站的基本信息，包括：充电站名称、地址、类型、快充桩数量、慢充桩数量、营业时间、服务电话、收费规则、运营单位等信息。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8.支持根据停车场名称模糊匹配检索停车场，在列表中展示符合条件的停车场。支持根据停车场类型、停车场标签、我的收藏停车场快速检索停车场。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9.支持根据充电站名称模糊匹配检索充电站，在列表中展示符合条件的充电站。支持根据充电站标签、我的收藏快速检索充电站。</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10.支持对停车场进行收藏和取消收藏。支持通过“我的收藏”快速检索所有已收藏停车场，并展示在线、离线状态。</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11.支持基于地图定位展示全市停车场，通过特定图标区分展示路外公共停车场、路外专用停车场和路内道路停车场；支持停车场聚合展示，地图缩小到一定比例尺时局部多个停车场聚合为一个图标展示，图标中数字表示停车场数量；支持在停车场列表点选停车场名称时，地图上自动定位停车场，图标自动切换为选中状态，同时通过信息看板展示选中停车场的信息概览；支持根据停车场停车位占用率情况，在地图上对高占用的停车场自动切换图标展示方式（颜色）进行区分标识。</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12.支持展示停车场今日协查车辆告警次数。点击告警信息可查看协查车辆告警详情。</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13.支持切换展示车辆停放密度热力图，通过热力图展示当前停车场运行情况。</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14.支持选择指定日期，在地图上按时间展示停车热力变化情况。支持快进、快退、暂停、播放操作。</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15.支持在地图上配置停车场定位位置，保存生效后同步更新停车场档案。</w:t>
            </w:r>
          </w:p>
        </w:tc>
      </w:tr>
      <w:tr w14:paraId="5FD47ACF">
        <w:tblPrEx>
          <w:tblCellMar>
            <w:top w:w="0" w:type="dxa"/>
            <w:left w:w="108" w:type="dxa"/>
            <w:bottom w:w="0" w:type="dxa"/>
            <w:right w:w="108" w:type="dxa"/>
          </w:tblCellMar>
        </w:tblPrEx>
        <w:trPr>
          <w:trHeight w:val="1366"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FB9AB4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7A3E51D3">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328FE1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E7E92D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重点区域地图</w:t>
            </w:r>
          </w:p>
        </w:tc>
        <w:tc>
          <w:tcPr>
            <w:tcW w:w="3449" w:type="pct"/>
            <w:tcBorders>
              <w:top w:val="nil"/>
              <w:left w:val="nil"/>
              <w:bottom w:val="single" w:color="auto" w:sz="4" w:space="0"/>
              <w:right w:val="single" w:color="auto" w:sz="4" w:space="0"/>
            </w:tcBorders>
            <w:shd w:val="clear" w:color="000000" w:fill="FFFFFF"/>
            <w:vAlign w:val="center"/>
          </w:tcPr>
          <w:p w14:paraId="3FA4D342">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通过重点区域列表展示所有已划设的重点区域，点击任意重点区域可在信息看板展示重点区域信息，包括：停车场数量、停车位数量、充电站数量、诱导屏数量、车场类型分布、区域停车流量、今日利用率、周转率、当前占用率、占用率变化趋势、车辆类型占比、区域内高占用车场数、区域内盲点车场数、区域内错时共享车场数、当前告警次数、区域内停车订单支付方式占比，同时自动在地图上定位重点区域。</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2.支持在列表里展示重点区域下的停车场清单，选中停车场可展示停车场信息。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3.支持在列表里展示重点区域下的充电站清单，选中充电站可展示充电站信息。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4.支持根据重点区域名称关键字模糊匹配检索目标重点区域；支持拖曳地图查找重点区域，选中重点区域可在信息看板展示信息。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5.支持在地图上以不规则区域框展示各重点区域。支持地图上显示或隐藏重点区域内各停车场；支持以颜色区分展示当前时刻重点区域停车位使用情况，红色代表高占用，黄色代表适中，绿色代表占用率较低。</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6.支持在地图上自定义绘制不规则区域为重点关注区域并设置区域名称，配置区域中心。</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7.支持在重点区域列表对重点区域进行排序，支持修改区域名称；支持在地图上修改重点区域的范围、中心坐标。</w:t>
            </w:r>
          </w:p>
        </w:tc>
      </w:tr>
      <w:tr w14:paraId="6A78B27F">
        <w:tblPrEx>
          <w:tblCellMar>
            <w:top w:w="0" w:type="dxa"/>
            <w:left w:w="108" w:type="dxa"/>
            <w:bottom w:w="0" w:type="dxa"/>
            <w:right w:w="108" w:type="dxa"/>
          </w:tblCellMar>
        </w:tblPrEx>
        <w:trPr>
          <w:trHeight w:val="60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6168404">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507EC9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A7FA26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7559234">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诱导屏地图</w:t>
            </w:r>
          </w:p>
        </w:tc>
        <w:tc>
          <w:tcPr>
            <w:tcW w:w="3449" w:type="pct"/>
            <w:tcBorders>
              <w:top w:val="nil"/>
              <w:left w:val="nil"/>
              <w:bottom w:val="single" w:color="auto" w:sz="4" w:space="0"/>
              <w:right w:val="single" w:color="auto" w:sz="4" w:space="0"/>
            </w:tcBorders>
            <w:shd w:val="clear" w:color="000000" w:fill="FFFFFF"/>
            <w:vAlign w:val="center"/>
          </w:tcPr>
          <w:p w14:paraId="58CE6ACD">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通过列表展示各区域部署的诱导屏；点击诱导屏名称可在信息看板上展示诱导屏名称、诱导屏类型、诱导屏在线状态、诱导屏当前发布停车节目截图；支持根据诱导屏名称模糊匹配检索诱导屏，查询结果在列表展示，点击诱导屏名称地图上自动定位标识。</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2.支持对列表中未配置安装位置的诱导屏进行快捷设置，在地图上设置部署经纬度并存档。</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基于地图定位展示全市的诱导屏，可通过不同颜色图标来呈现诱导屏在线/离线的状态；支持拖曳地图查找诱导屏，点击诱导屏图标可查看诱导屏详细信息，包括诱导屏基本情况和正在发布停车诱导节目截图。</w:t>
            </w:r>
          </w:p>
        </w:tc>
      </w:tr>
      <w:tr w14:paraId="3786E666">
        <w:tblPrEx>
          <w:tblCellMar>
            <w:top w:w="0" w:type="dxa"/>
            <w:left w:w="108" w:type="dxa"/>
            <w:bottom w:w="0" w:type="dxa"/>
            <w:right w:w="108" w:type="dxa"/>
          </w:tblCellMar>
        </w:tblPrEx>
        <w:trPr>
          <w:trHeight w:val="203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A8CA26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24D13BE">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F76FA6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D7106B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车辆地图</w:t>
            </w:r>
          </w:p>
        </w:tc>
        <w:tc>
          <w:tcPr>
            <w:tcW w:w="3449" w:type="pct"/>
            <w:tcBorders>
              <w:top w:val="nil"/>
              <w:left w:val="nil"/>
              <w:bottom w:val="single" w:color="auto" w:sz="4" w:space="0"/>
              <w:right w:val="single" w:color="auto" w:sz="4" w:space="0"/>
            </w:tcBorders>
            <w:shd w:val="clear" w:color="000000" w:fill="FFFFFF"/>
            <w:vAlign w:val="center"/>
          </w:tcPr>
          <w:p w14:paraId="6A71431A">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各区域告警次数、停车场告警次数。支持以列表形式展示今日协查车辆出入过的停车场，及其车牌号码与今日出入车次数；支持展示协查车告警记录详情，包括：协查车车牌号码、协查原因、出入车时间、出入车图片；支持点击列表选中存在告警的停车场，在地图上自动定位展示；支持在地图上以警示图标标识今日存在协查车辆出入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列表展示各行政区划下停车场僵尸车车辆告警记录。选中停车场可展示平台监测出的场内僵尸车信息，包括：僵尸车车牌、入车时间、停车时长等。支持基于僵尸车处理结果为僵尸车记录打标签；支持点击列表选中存在告警的停车场，在地图上自动定位展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3.支持根据车辆车牌号码查询今日车辆在停车场的过车记录，展示信息包括：车辆号牌、出入停车场名称、过车时间。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4.支持根据车辆车牌号码、出入时间区间进行检索，在地图上按照时间顺序展示车辆停车记录。地图上点击出入标识可查看车辆具体停车时间、出入车图片信息。</w:t>
            </w:r>
          </w:p>
        </w:tc>
      </w:tr>
      <w:tr w14:paraId="09CFD659">
        <w:tblPrEx>
          <w:tblCellMar>
            <w:top w:w="0" w:type="dxa"/>
            <w:left w:w="108" w:type="dxa"/>
            <w:bottom w:w="0" w:type="dxa"/>
            <w:right w:w="108" w:type="dxa"/>
          </w:tblCellMar>
        </w:tblPrEx>
        <w:trPr>
          <w:trHeight w:val="2928"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3AF109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w:t>
            </w:r>
          </w:p>
        </w:tc>
        <w:tc>
          <w:tcPr>
            <w:tcW w:w="383" w:type="pct"/>
            <w:vMerge w:val="continue"/>
            <w:tcBorders>
              <w:top w:val="nil"/>
              <w:left w:val="single" w:color="auto" w:sz="4" w:space="0"/>
              <w:bottom w:val="single" w:color="auto" w:sz="4" w:space="0"/>
              <w:right w:val="single" w:color="auto" w:sz="4" w:space="0"/>
            </w:tcBorders>
            <w:vAlign w:val="center"/>
          </w:tcPr>
          <w:p w14:paraId="42162FC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30639B91">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运行监管</w:t>
            </w:r>
          </w:p>
        </w:tc>
        <w:tc>
          <w:tcPr>
            <w:tcW w:w="389" w:type="pct"/>
            <w:tcBorders>
              <w:top w:val="nil"/>
              <w:left w:val="nil"/>
              <w:bottom w:val="single" w:color="auto" w:sz="4" w:space="0"/>
              <w:right w:val="single" w:color="auto" w:sz="4" w:space="0"/>
            </w:tcBorders>
            <w:shd w:val="clear" w:color="000000" w:fill="FFFFFF"/>
            <w:vAlign w:val="center"/>
          </w:tcPr>
          <w:p w14:paraId="09162A17">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车场运行监管</w:t>
            </w:r>
          </w:p>
        </w:tc>
        <w:tc>
          <w:tcPr>
            <w:tcW w:w="3449" w:type="pct"/>
            <w:tcBorders>
              <w:top w:val="nil"/>
              <w:left w:val="nil"/>
              <w:bottom w:val="single" w:color="auto" w:sz="4" w:space="0"/>
              <w:right w:val="single" w:color="auto" w:sz="4" w:space="0"/>
            </w:tcBorders>
            <w:shd w:val="clear" w:color="000000" w:fill="FFFFFF"/>
            <w:vAlign w:val="center"/>
          </w:tcPr>
          <w:p w14:paraId="41DC261F">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1.可对全市、行政区划的停车场备案、接入情况、在线情况进行分析。支持以可视化方式展示全市、各行政区划的备案停车场数量和备案率、停车场接入数量和接入率、停车场平台在线数量和在线率。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2.支持列表展示所选区域或其子区域的各类停车场数量、备案停车场数量、接入停车场数量、在线停车场数量、备案率、接入率、在线率。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针对区域、业态、停车场三个统计维度分析并展示今日停车场运行数据；支持根据区域、停车场类型、停车场名称检索停车场，展示目标停车场的类型、所属业态、车位数等基础信息和当前余位数、占用率、车位状态、今日停车流量、利用率、周转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4.支持按区域或按业态展示停车场数量、停车位数量，实时余位数、占用率，今日停车流量、周转率、利用率、平均停车时长。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针对区域、业态、停车场三个维度，切换展示历史停车运行数据。支持按照区域、日期段（日、周、月、年）等条件检索，展示各类业态或各区域指定时间内的停车场数量、停车位数量、周转率、利用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6.支持按照区域、停车场类型（路外公共停车场、路外专用停车场、路内道路停车场）、停车场名称等条件对今日车场运行数据进行统计及列表展示，数据内容包括：停车流量、利用率、周转率、平均停车时长。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根据区域、年份、节假日、停车场名称进行检索，展示目标停车场在指定年份节假日期间的停车流量、利用率、周转率对比趋势图；支持通过图表展示节假日停车场运行数据趋势，帮助管理部门了解历史节假日停车需求，提前预判，采取手段进行引导分流。</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8.支持列表展示指定年份节假日期间各停车场运行数据，包括停车场流量、周转率、平均停车时长、停车高峰时长等。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基于停车场名称、车牌号码、出入车时间区间、泊位号、数据质量等条件对停车记录进行查询，展示停车场名称、车牌号码、车牌颜色、泊位编号、停车类型、出入车时间、停车时长、出入场图片等信息。支持停车记录导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10.支持根据停车场的车主评价次数、车主评分统计，对停车场服务质量进行排名，以可视化的方式展示评价最好的停车场、评价次数最多的停车场。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11.支持展示各评分区间停车场数量与占比。支持查看具体停车场评价次数，全部车主评价详情，包括评价内容、评分、评价时间等。</w:t>
            </w:r>
          </w:p>
        </w:tc>
      </w:tr>
      <w:tr w14:paraId="2D4F6299">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E6B5AA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06AC5B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FFD1B9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8F63C2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车主习惯分析</w:t>
            </w:r>
          </w:p>
        </w:tc>
        <w:tc>
          <w:tcPr>
            <w:tcW w:w="3449" w:type="pct"/>
            <w:tcBorders>
              <w:top w:val="nil"/>
              <w:left w:val="nil"/>
              <w:bottom w:val="single" w:color="auto" w:sz="4" w:space="0"/>
              <w:right w:val="single" w:color="auto" w:sz="4" w:space="0"/>
            </w:tcBorders>
            <w:shd w:val="clear" w:color="000000" w:fill="FFFFFF"/>
            <w:vAlign w:val="center"/>
          </w:tcPr>
          <w:p w14:paraId="440F5AE5">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1.支持对停车订单进行统计，按支付方式、停车场所、停车时长维度对分析车主停车习惯。</w:t>
            </w:r>
          </w:p>
        </w:tc>
      </w:tr>
      <w:tr w14:paraId="3519AAB2">
        <w:tblPrEx>
          <w:tblCellMar>
            <w:top w:w="0" w:type="dxa"/>
            <w:left w:w="108" w:type="dxa"/>
            <w:bottom w:w="0" w:type="dxa"/>
            <w:right w:w="108" w:type="dxa"/>
          </w:tblCellMar>
        </w:tblPrEx>
        <w:trPr>
          <w:trHeight w:val="40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074B668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9CE46F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AC9562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AD07BC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车辆运行监管</w:t>
            </w:r>
          </w:p>
        </w:tc>
        <w:tc>
          <w:tcPr>
            <w:tcW w:w="3449" w:type="pct"/>
            <w:tcBorders>
              <w:top w:val="nil"/>
              <w:left w:val="nil"/>
              <w:bottom w:val="single" w:color="auto" w:sz="4" w:space="0"/>
              <w:right w:val="single" w:color="auto" w:sz="4" w:space="0"/>
            </w:tcBorders>
            <w:shd w:val="clear" w:color="000000" w:fill="FFFFFF"/>
            <w:vAlign w:val="center"/>
          </w:tcPr>
          <w:p w14:paraId="4EF48E3F">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协查信息，协查信息包括：车牌号码、车辆类型、车身颜色、协查原因（恶意欠费、多次违章未处理、危害公共安全、限制通行等）、协查期限（一个月、六个月、永久、自定义）等。支持配置联动告警帐号。支持批量导入协查信息。支持对协查车辆进行撤控、编辑等操作。</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2.支持基于车牌号码、协查人、协查原因、协查期限检索当前生效的协查信息。支持批量导出全部或选中的协查信息。支持快捷查看协查车具体历史告警信息，支持查看协查车曾出入的停车场与次数。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3.支持展示历史协查记录，展示内容包括车辆信息、协查原因、告警次数、撤控人、撤控时间、撤控原因。支持对已撤控的车辆进行重新协查。</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4.支持以系统通知方式向平台登录用户推送协查车辆告警信息。支持在消息提醒中查看历史告警信息。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5.支持根据车牌号码、协查原因、过车时间等条件检索协查告警记录，支持展示告警信息详情，包括：车牌号码、车辆类型、车联颜色、过车时间、停车场、泊位号、过车图片等。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6.支持展示已消除告警的协查告警记录。支持根据车牌号码、协查原因、停车场查询解除告警记录。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7.支持批量导入违停数据。支持下载违停数据导入模版。支持根据车牌号码、违停地点、违停事件发生时间（日、周、月）检索违停记录。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8.支持展示目标地点在指定日期区间的违停次数。支持以可视化方式展示违停时间的日期及时间段的分布情况。支持根据违停次数进行违停高发地点排名。</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分析停车场出入车数据，自动发现并记录存在僵尸车停车行为的车辆。支持以列表方式展示存在僵尸车停车行为车辆的号牌、当前在停停车场、入车时间、停车时长。支持基于入车时间区间、停车场、处理标签等条件检索潜在僵尸车辆，检索结果展示入车时间、入车图片。支持过滤展示当前仍然在停的僵尸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10.支持根据僵尸车处置结果为僵尸车打标签。</w:t>
            </w:r>
          </w:p>
        </w:tc>
      </w:tr>
      <w:tr w14:paraId="53840597">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0A79C99">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36836E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08159D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A813CD7">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监管报告</w:t>
            </w:r>
          </w:p>
        </w:tc>
        <w:tc>
          <w:tcPr>
            <w:tcW w:w="3449" w:type="pct"/>
            <w:tcBorders>
              <w:top w:val="nil"/>
              <w:left w:val="nil"/>
              <w:bottom w:val="single" w:color="auto" w:sz="4" w:space="0"/>
              <w:right w:val="single" w:color="auto" w:sz="4" w:space="0"/>
            </w:tcBorders>
            <w:shd w:val="clear" w:color="000000" w:fill="FFFFFF"/>
            <w:vAlign w:val="center"/>
          </w:tcPr>
          <w:p w14:paraId="7200400B">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按照模版生成月度、年度停车监管报告。支持基于月、年查询对应周期的停车监管报告。支持预览监管报告内容，点击目录可快捷定位到监管报告对应章节。默认按停车资源管理、停车秩序管理、停车收费监管、服务水平等专题展示各项数据并给出分析建议。支持手动重新生成报告，根据模板更新报告文字、各项指标和图表。支持下载pdf格式和word格式的监管报告。</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展示月度、年度报告模版。可对报告模板进行配置，自定义编辑报告模板的标题、文字，支持在报告中快速插入各类停车数据指标、图表、表格，支持对报告的字体、字号、编号、缩进量、背景颜色、行距等属性进行设置。支持统计各数据指标、图表、表格在监管报告中的使用次数。支持配置停车数据指标阈值和触达阈值时应提示的预警信息，条件被触发是在监管报告中自动生成预警信息。</w:t>
            </w:r>
          </w:p>
        </w:tc>
      </w:tr>
      <w:tr w14:paraId="7BEC88AA">
        <w:tblPrEx>
          <w:tblCellMar>
            <w:top w:w="0" w:type="dxa"/>
            <w:left w:w="108" w:type="dxa"/>
            <w:bottom w:w="0" w:type="dxa"/>
            <w:right w:w="108" w:type="dxa"/>
          </w:tblCellMar>
        </w:tblPrEx>
        <w:trPr>
          <w:trHeight w:val="116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A6210EC">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w:t>
            </w:r>
          </w:p>
        </w:tc>
        <w:tc>
          <w:tcPr>
            <w:tcW w:w="383" w:type="pct"/>
            <w:vMerge w:val="continue"/>
            <w:tcBorders>
              <w:top w:val="nil"/>
              <w:left w:val="single" w:color="auto" w:sz="4" w:space="0"/>
              <w:bottom w:val="single" w:color="auto" w:sz="4" w:space="0"/>
              <w:right w:val="single" w:color="auto" w:sz="4" w:space="0"/>
            </w:tcBorders>
            <w:vAlign w:val="center"/>
          </w:tcPr>
          <w:p w14:paraId="56D8F04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2CCF45D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辅助决策</w:t>
            </w:r>
          </w:p>
        </w:tc>
        <w:tc>
          <w:tcPr>
            <w:tcW w:w="389" w:type="pct"/>
            <w:tcBorders>
              <w:top w:val="nil"/>
              <w:left w:val="nil"/>
              <w:bottom w:val="single" w:color="auto" w:sz="4" w:space="0"/>
              <w:right w:val="single" w:color="auto" w:sz="4" w:space="0"/>
            </w:tcBorders>
            <w:shd w:val="clear" w:color="000000" w:fill="FFFFFF"/>
            <w:vAlign w:val="center"/>
          </w:tcPr>
          <w:p w14:paraId="09425D05">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资源供需分析</w:t>
            </w:r>
          </w:p>
        </w:tc>
        <w:tc>
          <w:tcPr>
            <w:tcW w:w="3449" w:type="pct"/>
            <w:tcBorders>
              <w:top w:val="nil"/>
              <w:left w:val="nil"/>
              <w:bottom w:val="single" w:color="auto" w:sz="4" w:space="0"/>
              <w:right w:val="single" w:color="auto" w:sz="4" w:space="0"/>
            </w:tcBorders>
            <w:shd w:val="clear" w:color="000000" w:fill="FFFFFF"/>
            <w:vAlign w:val="center"/>
          </w:tcPr>
          <w:p w14:paraId="52581EE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日期、区域、停车场对停车数据进行检索，展示指定日期区间内所选区域的停车流量趋势、本/外地车停车量趋势、新能源/非新能源车辆停车辆趋势图。支持列表展示各停车场停车位泊位数、总停车量、出入车流量、本/外地车停车量、新能源/传统能源车辆停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2.支持对日常停车需求和资源供给能力进行分析，支持展示所选区域的泊位供应量、需求量及停车运行指标。支持展示停车供需指数。支持以可视化方式展示近六个月停车泊位缺口变化趋势。</w:t>
            </w:r>
          </w:p>
        </w:tc>
      </w:tr>
      <w:tr w14:paraId="03E9A354">
        <w:tblPrEx>
          <w:tblCellMar>
            <w:top w:w="0" w:type="dxa"/>
            <w:left w:w="108" w:type="dxa"/>
            <w:bottom w:w="0" w:type="dxa"/>
            <w:right w:w="108" w:type="dxa"/>
          </w:tblCellMar>
        </w:tblPrEx>
        <w:trPr>
          <w:trHeight w:val="261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86A500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903487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DF920B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C50EE2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存量优化分析</w:t>
            </w:r>
          </w:p>
        </w:tc>
        <w:tc>
          <w:tcPr>
            <w:tcW w:w="3449" w:type="pct"/>
            <w:tcBorders>
              <w:top w:val="nil"/>
              <w:left w:val="nil"/>
              <w:bottom w:val="single" w:color="auto" w:sz="4" w:space="0"/>
              <w:right w:val="single" w:color="auto" w:sz="4" w:space="0"/>
            </w:tcBorders>
            <w:shd w:val="clear" w:color="000000" w:fill="FFFFFF"/>
            <w:vAlign w:val="center"/>
          </w:tcPr>
          <w:p w14:paraId="07C6F703">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1.支持展示指定日期区间的不同收费等级停车场的周转率、平均单泊位应收、平均停车时长。支持对不同收费等级停车场进行周转率排名。</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识别并列表展示具有错时共享潜力的停车场，同时展示停车场建议错时共享的时段、可错时共享的停车位数量、周边可分流的停车场数量。点击列表里的停车场，可在地图上自动定位停车场。支持地图上定位展示具有错时共享潜力的停车场，点击车场可展示空闲时段和当前占用率，并框选周边可互补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挖掘并展示各区域泊位利用率长期较低，而周边停车需求旺盛的车场。支持展示指定区域盲点车场数量与环比变化数据。支持展示盲点停车场占比与组成结构。支持可视化展示近3个月、近6个月、近1年所选区域盲点停车场数量变化趋势。支持展示盲点停车场区域分布数量与各区域盲点停车场比重。支持在地图上展示盲点停车场、诱导屏。支持切换展示全部停车场或只展示盲点停车场；支持根据停车情况对区域内盲点车场进行统计排名。支持展示盲点停车场今日停车数据与统计周期数据。支持在选中盲点停车场列表中的停车场时，在地图上自动定位对应停车场。支持在地图选中盲点停车场，看板展示周边停车资源数量、周边违停情况、周边诱导屏建设情况、停车场设施情况、收费标准、最近统计周期运行情况。支持展示近一个月盲点停车场与相邻停车场中繁忙停车场的利用率变化趋势对比图。支持在地图上以图标标识盲点车场周边可分流停车场。支持在选中盲点停车场列表中的停车场时，在地图上自动定位对应停车场。</w:t>
            </w:r>
          </w:p>
        </w:tc>
      </w:tr>
      <w:tr w14:paraId="7134BC12">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0FB313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69066F9">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FE0033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B85319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停车预测分析</w:t>
            </w:r>
          </w:p>
        </w:tc>
        <w:tc>
          <w:tcPr>
            <w:tcW w:w="3449" w:type="pct"/>
            <w:tcBorders>
              <w:top w:val="nil"/>
              <w:left w:val="nil"/>
              <w:bottom w:val="single" w:color="auto" w:sz="4" w:space="0"/>
              <w:right w:val="single" w:color="auto" w:sz="4" w:space="0"/>
            </w:tcBorders>
            <w:shd w:val="clear" w:color="000000" w:fill="FFFFFF"/>
            <w:vAlign w:val="center"/>
          </w:tcPr>
          <w:p w14:paraId="33F9C67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区域、停车场展示停车位供给总量、当前空余停车位数量。支持以可视化方式展示当前时刻停车余位指数。支持以可视化方式展示所选区域或停车场近一小时实际余位数量与未来二十四小时的预测余位数量、预测余位指数。支持通过不同颜色展示停车余位指数区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所选区域、停车场近七日日均停车量、平均通行时长，各类场景下的支付方式占比。支持展示所选区域未来三日日均停车量、平均通行时长的预测值。支持展示通行效率存在优化空间的排名前十的停车场列表，展示各停车场名称与平均通行时长。支持在地图定位各停车场并展示停车位数量、通行时长、日均停车量。</w:t>
            </w:r>
          </w:p>
        </w:tc>
      </w:tr>
      <w:tr w14:paraId="7F273DF8">
        <w:tblPrEx>
          <w:tblCellMar>
            <w:top w:w="0" w:type="dxa"/>
            <w:left w:w="108" w:type="dxa"/>
            <w:bottom w:w="0" w:type="dxa"/>
            <w:right w:w="108" w:type="dxa"/>
          </w:tblCellMar>
        </w:tblPrEx>
        <w:trPr>
          <w:trHeight w:val="14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0604D5C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7CC960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5D9A70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018CF0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停车综合分析</w:t>
            </w:r>
          </w:p>
        </w:tc>
        <w:tc>
          <w:tcPr>
            <w:tcW w:w="3449" w:type="pct"/>
            <w:tcBorders>
              <w:top w:val="nil"/>
              <w:left w:val="nil"/>
              <w:bottom w:val="single" w:color="auto" w:sz="4" w:space="0"/>
              <w:right w:val="single" w:color="auto" w:sz="4" w:space="0"/>
            </w:tcBorders>
            <w:shd w:val="clear" w:color="auto" w:fill="auto"/>
            <w:vAlign w:val="center"/>
          </w:tcPr>
          <w:p w14:paraId="0D7F7A12">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停车设施资源、停车运行效率、停车服务水平三个维度进行分析，建立城市停车评价指标体系，对城市停车体系运行质量进行综合评分。支持展示所选区域的停车治理综合评分，分项展示停车资源指数、停车服务指数、停车运行指数。支持对所选区域的子区域进行指数排名；支持以可视化方式展示近3个月、近6个月、近12个月区域停车综合评分变化趋势，支持各行政区划评分月度对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指定统计周期、指定区域的停车综合评分，支持展示每个统计周期内各区域的资源、运行、服务指数以及作为支撑的各项二级指数。支持可视化展示指定统计周期、指定区域的综合评分及各项指数变化趋势图，支持展示本区划与上级行政区划的各项指数对比。</w:t>
            </w:r>
          </w:p>
        </w:tc>
      </w:tr>
      <w:tr w14:paraId="47735035">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8139F4E">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3BCF9C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F7B8F8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A726A27">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停车指数分析</w:t>
            </w:r>
          </w:p>
        </w:tc>
        <w:tc>
          <w:tcPr>
            <w:tcW w:w="3449" w:type="pct"/>
            <w:tcBorders>
              <w:top w:val="nil"/>
              <w:left w:val="nil"/>
              <w:bottom w:val="single" w:color="auto" w:sz="4" w:space="0"/>
              <w:right w:val="single" w:color="auto" w:sz="4" w:space="0"/>
            </w:tcBorders>
            <w:shd w:val="clear" w:color="auto" w:fill="auto"/>
            <w:vAlign w:val="center"/>
          </w:tcPr>
          <w:p w14:paraId="56F146C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1.支持根据区域、停车场类型、时间区间等条件检索停车场，分析展示停车运行指数、停车利用率、停车高峰时段与累计高峰时长、停车低谷时段与累计低谷时长。</w:t>
            </w:r>
          </w:p>
        </w:tc>
      </w:tr>
      <w:tr w14:paraId="40DE50A6">
        <w:tblPrEx>
          <w:tblCellMar>
            <w:top w:w="0" w:type="dxa"/>
            <w:left w:w="108" w:type="dxa"/>
            <w:bottom w:w="0" w:type="dxa"/>
            <w:right w:w="108" w:type="dxa"/>
          </w:tblCellMar>
        </w:tblPrEx>
        <w:trPr>
          <w:trHeight w:val="29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BB06E4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3BFFE44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服务中心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249836EF">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停车诱导服务</w:t>
            </w:r>
          </w:p>
        </w:tc>
        <w:tc>
          <w:tcPr>
            <w:tcW w:w="389" w:type="pct"/>
            <w:tcBorders>
              <w:top w:val="nil"/>
              <w:left w:val="nil"/>
              <w:bottom w:val="single" w:color="auto" w:sz="4" w:space="0"/>
              <w:right w:val="single" w:color="auto" w:sz="4" w:space="0"/>
            </w:tcBorders>
            <w:shd w:val="clear" w:color="000000" w:fill="FFFFFF"/>
            <w:vAlign w:val="center"/>
          </w:tcPr>
          <w:p w14:paraId="48D44A5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数据源管理</w:t>
            </w:r>
          </w:p>
        </w:tc>
        <w:tc>
          <w:tcPr>
            <w:tcW w:w="3449" w:type="pct"/>
            <w:tcBorders>
              <w:top w:val="nil"/>
              <w:left w:val="nil"/>
              <w:bottom w:val="single" w:color="auto" w:sz="4" w:space="0"/>
              <w:right w:val="single" w:color="auto" w:sz="4" w:space="0"/>
            </w:tcBorders>
            <w:shd w:val="clear" w:color="000000" w:fill="FFFFFF"/>
            <w:vAlign w:val="center"/>
          </w:tcPr>
          <w:p w14:paraId="6F0624DE">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1.支持查看诱导屏与停车场关联关系，支持将单个或者多个停车场与具体诱导屏进行关联。支持查看指定数据源最近一次余位数据更新结果。</w:t>
            </w:r>
          </w:p>
        </w:tc>
      </w:tr>
      <w:tr w14:paraId="29D74D04">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F1E974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1EE413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5A7B0F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168DD3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余位自动发布</w:t>
            </w:r>
          </w:p>
        </w:tc>
        <w:tc>
          <w:tcPr>
            <w:tcW w:w="3449" w:type="pct"/>
            <w:tcBorders>
              <w:top w:val="nil"/>
              <w:left w:val="nil"/>
              <w:bottom w:val="single" w:color="auto" w:sz="4" w:space="0"/>
              <w:right w:val="single" w:color="auto" w:sz="4" w:space="0"/>
            </w:tcBorders>
            <w:shd w:val="clear" w:color="000000" w:fill="FFFFFF"/>
            <w:vAlign w:val="center"/>
          </w:tcPr>
          <w:p w14:paraId="6FEF3156">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1.支持自动检测停车场余位数据变化情况，在诱导屏固定区域关联展示指定停车场余位数据（动态刷新）。</w:t>
            </w:r>
          </w:p>
        </w:tc>
      </w:tr>
      <w:tr w14:paraId="791684D1">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A86C61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BCA667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B133C2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1CC25D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数据更新记录</w:t>
            </w:r>
          </w:p>
        </w:tc>
        <w:tc>
          <w:tcPr>
            <w:tcW w:w="3449" w:type="pct"/>
            <w:tcBorders>
              <w:top w:val="nil"/>
              <w:left w:val="nil"/>
              <w:bottom w:val="single" w:color="auto" w:sz="4" w:space="0"/>
              <w:right w:val="single" w:color="auto" w:sz="4" w:space="0"/>
            </w:tcBorders>
            <w:shd w:val="clear" w:color="000000" w:fill="FFFFFF"/>
            <w:vAlign w:val="center"/>
          </w:tcPr>
          <w:p w14:paraId="1179BCD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1.支持对余位信息更新记录进行查询，展示内容包括：数据源名称、更新内容、更新时间、更新结果。</w:t>
            </w:r>
          </w:p>
        </w:tc>
      </w:tr>
      <w:tr w14:paraId="5A18E104">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A8FB8AE">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19FFC4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18EE1F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691062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画布管理</w:t>
            </w:r>
          </w:p>
        </w:tc>
        <w:tc>
          <w:tcPr>
            <w:tcW w:w="3449" w:type="pct"/>
            <w:tcBorders>
              <w:top w:val="nil"/>
              <w:left w:val="nil"/>
              <w:bottom w:val="single" w:color="auto" w:sz="4" w:space="0"/>
              <w:right w:val="single" w:color="auto" w:sz="4" w:space="0"/>
            </w:tcBorders>
            <w:shd w:val="clear" w:color="000000" w:fill="FFFFFF"/>
            <w:vAlign w:val="center"/>
          </w:tcPr>
          <w:p w14:paraId="17E0CF42">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1.支持以缩略图方式展示画布并标识同步状态，支持基于画布名称、同步状态查询画布。</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2.支持添加、预览、编辑、删除画布，支持设置画布名称和尺寸。</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3.支持发布画布至素材库网页列表。支持在画布上自定义添加/删除水平公路、垂直公路、横向文本、纵向文本、上下左右箭头、方向图例、停车场，形成道路路网图，</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4.支持鼠标拖拉方式调整元素位置和形状，支持设置文字大小和颜色，支持设置道路颜色。支持支持上传和删除自定义元素。支持为停车场关联数据源。支持为道路关联路段。</w:t>
            </w:r>
          </w:p>
        </w:tc>
      </w:tr>
      <w:tr w14:paraId="7EA8DAB3">
        <w:tblPrEx>
          <w:tblCellMar>
            <w:top w:w="0" w:type="dxa"/>
            <w:left w:w="108" w:type="dxa"/>
            <w:bottom w:w="0" w:type="dxa"/>
            <w:right w:w="108" w:type="dxa"/>
          </w:tblCellMar>
        </w:tblPrEx>
        <w:trPr>
          <w:trHeight w:val="58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4CC1062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03FCE101">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汇聚中心</w:t>
            </w:r>
          </w:p>
        </w:tc>
        <w:tc>
          <w:tcPr>
            <w:tcW w:w="476" w:type="pct"/>
            <w:gridSpan w:val="2"/>
            <w:tcBorders>
              <w:top w:val="nil"/>
              <w:left w:val="nil"/>
              <w:bottom w:val="single" w:color="auto" w:sz="4" w:space="0"/>
              <w:right w:val="single" w:color="auto" w:sz="4" w:space="0"/>
            </w:tcBorders>
            <w:shd w:val="clear" w:color="000000" w:fill="FFFFFF"/>
            <w:vAlign w:val="center"/>
          </w:tcPr>
          <w:p w14:paraId="43E3FB6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数据汇聚接入网关</w:t>
            </w:r>
          </w:p>
        </w:tc>
        <w:tc>
          <w:tcPr>
            <w:tcW w:w="389" w:type="pct"/>
            <w:tcBorders>
              <w:top w:val="nil"/>
              <w:left w:val="nil"/>
              <w:bottom w:val="single" w:color="auto" w:sz="4" w:space="0"/>
              <w:right w:val="single" w:color="auto" w:sz="4" w:space="0"/>
            </w:tcBorders>
            <w:shd w:val="clear" w:color="000000" w:fill="FFFFFF"/>
            <w:vAlign w:val="center"/>
          </w:tcPr>
          <w:p w14:paraId="4B5CA61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数据汇聚接入网关</w:t>
            </w:r>
          </w:p>
        </w:tc>
        <w:tc>
          <w:tcPr>
            <w:tcW w:w="3449" w:type="pct"/>
            <w:tcBorders>
              <w:top w:val="nil"/>
              <w:left w:val="nil"/>
              <w:bottom w:val="single" w:color="auto" w:sz="4" w:space="0"/>
              <w:right w:val="single" w:color="auto" w:sz="4" w:space="0"/>
            </w:tcBorders>
            <w:shd w:val="clear" w:color="000000" w:fill="FFFFFF"/>
            <w:vAlign w:val="center"/>
          </w:tcPr>
          <w:p w14:paraId="0289CE60">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1.通过数据汇聚网关，实现多来源、多种类、多类型的停车数据的汇聚接入、数据标准化转换、数据存储，以标准开放接口服务的方式支撑下级停车场库平台对接。</w:t>
            </w:r>
          </w:p>
        </w:tc>
      </w:tr>
      <w:tr w14:paraId="52C139A2">
        <w:tblPrEx>
          <w:tblCellMar>
            <w:top w:w="0" w:type="dxa"/>
            <w:left w:w="108" w:type="dxa"/>
            <w:bottom w:w="0" w:type="dxa"/>
            <w:right w:w="108" w:type="dxa"/>
          </w:tblCellMar>
        </w:tblPrEx>
        <w:trPr>
          <w:trHeight w:val="58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45C0BA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w:t>
            </w:r>
          </w:p>
        </w:tc>
        <w:tc>
          <w:tcPr>
            <w:tcW w:w="383" w:type="pct"/>
            <w:vMerge w:val="continue"/>
            <w:tcBorders>
              <w:top w:val="nil"/>
              <w:left w:val="single" w:color="auto" w:sz="4" w:space="0"/>
              <w:bottom w:val="single" w:color="auto" w:sz="4" w:space="0"/>
              <w:right w:val="single" w:color="auto" w:sz="4" w:space="0"/>
            </w:tcBorders>
            <w:vAlign w:val="center"/>
          </w:tcPr>
          <w:p w14:paraId="0AA36B7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tcBorders>
              <w:top w:val="nil"/>
              <w:left w:val="nil"/>
              <w:bottom w:val="single" w:color="auto" w:sz="4" w:space="0"/>
              <w:right w:val="single" w:color="auto" w:sz="4" w:space="0"/>
            </w:tcBorders>
            <w:shd w:val="clear" w:color="000000" w:fill="FFFFFF"/>
            <w:vAlign w:val="center"/>
          </w:tcPr>
          <w:p w14:paraId="418107A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数据汇聚监测引擎</w:t>
            </w:r>
          </w:p>
        </w:tc>
        <w:tc>
          <w:tcPr>
            <w:tcW w:w="389" w:type="pct"/>
            <w:tcBorders>
              <w:top w:val="nil"/>
              <w:left w:val="nil"/>
              <w:bottom w:val="single" w:color="auto" w:sz="4" w:space="0"/>
              <w:right w:val="single" w:color="auto" w:sz="4" w:space="0"/>
            </w:tcBorders>
            <w:shd w:val="clear" w:color="000000" w:fill="FFFFFF"/>
            <w:vAlign w:val="center"/>
          </w:tcPr>
          <w:p w14:paraId="642200A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数据汇聚监测引擎</w:t>
            </w:r>
          </w:p>
        </w:tc>
        <w:tc>
          <w:tcPr>
            <w:tcW w:w="3449" w:type="pct"/>
            <w:tcBorders>
              <w:top w:val="nil"/>
              <w:left w:val="nil"/>
              <w:bottom w:val="single" w:color="auto" w:sz="4" w:space="0"/>
              <w:right w:val="single" w:color="auto" w:sz="4" w:space="0"/>
            </w:tcBorders>
            <w:shd w:val="clear" w:color="000000" w:fill="FFFFFF"/>
            <w:vAlign w:val="center"/>
          </w:tcPr>
          <w:p w14:paraId="0897607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1.对下级平台数据汇聚对接情况进行实时监控与数据分析，检测平台离线、数据质量问题。</w:t>
            </w:r>
          </w:p>
        </w:tc>
      </w:tr>
      <w:tr w14:paraId="1A9A0BC9">
        <w:tblPrEx>
          <w:tblCellMar>
            <w:top w:w="0" w:type="dxa"/>
            <w:left w:w="108" w:type="dxa"/>
            <w:bottom w:w="0" w:type="dxa"/>
            <w:right w:w="108" w:type="dxa"/>
          </w:tblCellMar>
        </w:tblPrEx>
        <w:trPr>
          <w:trHeight w:val="174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479B8B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w:t>
            </w:r>
          </w:p>
        </w:tc>
        <w:tc>
          <w:tcPr>
            <w:tcW w:w="383" w:type="pct"/>
            <w:vMerge w:val="continue"/>
            <w:tcBorders>
              <w:top w:val="nil"/>
              <w:left w:val="single" w:color="auto" w:sz="4" w:space="0"/>
              <w:bottom w:val="single" w:color="auto" w:sz="4" w:space="0"/>
              <w:right w:val="single" w:color="auto" w:sz="4" w:space="0"/>
            </w:tcBorders>
            <w:vAlign w:val="center"/>
          </w:tcPr>
          <w:p w14:paraId="5C9E4F63">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1415316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接入管理</w:t>
            </w:r>
          </w:p>
        </w:tc>
        <w:tc>
          <w:tcPr>
            <w:tcW w:w="389" w:type="pct"/>
            <w:tcBorders>
              <w:top w:val="nil"/>
              <w:left w:val="nil"/>
              <w:bottom w:val="single" w:color="auto" w:sz="4" w:space="0"/>
              <w:right w:val="single" w:color="auto" w:sz="4" w:space="0"/>
            </w:tcBorders>
            <w:shd w:val="clear" w:color="auto" w:fill="auto"/>
            <w:vAlign w:val="center"/>
          </w:tcPr>
          <w:p w14:paraId="35DC385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区域接入分析</w:t>
            </w:r>
          </w:p>
        </w:tc>
        <w:tc>
          <w:tcPr>
            <w:tcW w:w="3449" w:type="pct"/>
            <w:tcBorders>
              <w:top w:val="nil"/>
              <w:left w:val="nil"/>
              <w:bottom w:val="single" w:color="auto" w:sz="4" w:space="0"/>
              <w:right w:val="single" w:color="auto" w:sz="4" w:space="0"/>
            </w:tcBorders>
            <w:shd w:val="clear" w:color="auto" w:fill="auto"/>
            <w:vAlign w:val="center"/>
          </w:tcPr>
          <w:p w14:paraId="7C870131">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1.支持按区域、区域类型、停车场类型进行检索，以图形化方式展示选中区域及下级区域停车场接入数量、接入车场占比。展示在线停车场数量、接入停车场数量占比。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以列表形式展示各区域的停车场总数、接入车场数、接入车位数、车场接入率、在线车场数、车场在线率。支持根据接入率、在线率、车场接入数、车场在线数进行区域排序，并显式标识接入率前三位的区域。</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照时间维度（月、季、年）、区域、停车场类型查询历史时间段内指定区域停车场接入分析数据。支持以图形化方式对比展示选中区域在指定时间段内的接入量变化趋势、接入率变化趋势。支持以列表展示统计时段内各区域的停车场数量、接入量、接入率。支持导出历史接入分析数据。</w:t>
            </w:r>
          </w:p>
        </w:tc>
      </w:tr>
      <w:tr w14:paraId="18E57DB1">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879358A">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209EC9B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E5EDF3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512C0D5">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业态接入分析</w:t>
            </w:r>
          </w:p>
        </w:tc>
        <w:tc>
          <w:tcPr>
            <w:tcW w:w="3449" w:type="pct"/>
            <w:tcBorders>
              <w:top w:val="nil"/>
              <w:left w:val="nil"/>
              <w:bottom w:val="single" w:color="auto" w:sz="4" w:space="0"/>
              <w:right w:val="single" w:color="auto" w:sz="4" w:space="0"/>
            </w:tcBorders>
            <w:shd w:val="clear" w:color="auto" w:fill="auto"/>
            <w:vAlign w:val="center"/>
          </w:tcPr>
          <w:p w14:paraId="16C47D7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1.为便于了解各业态车场接入情况，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2.支持基于业态分析车场接入率和在线率。支持按区域、业态进行检索，以图形化方式展示各区域下各业态的停车场接入情况。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3.支持列表展示指定区域下辖区域的各业态停车场接入率、停车位接入量、车场接入率、车场在线率。</w:t>
            </w:r>
          </w:p>
        </w:tc>
      </w:tr>
      <w:tr w14:paraId="1C47CD45">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761DE5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BE4AF7E">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9CE801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B4E70F4">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服务商接入分析</w:t>
            </w:r>
          </w:p>
        </w:tc>
        <w:tc>
          <w:tcPr>
            <w:tcW w:w="3449" w:type="pct"/>
            <w:tcBorders>
              <w:top w:val="nil"/>
              <w:left w:val="nil"/>
              <w:bottom w:val="single" w:color="auto" w:sz="4" w:space="0"/>
              <w:right w:val="single" w:color="auto" w:sz="4" w:space="0"/>
            </w:tcBorders>
            <w:shd w:val="clear" w:color="auto" w:fill="auto"/>
            <w:vAlign w:val="center"/>
          </w:tcPr>
          <w:p w14:paraId="394D8AAE">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1.为便于对各信息系统服务商接入情况进行摸底和考核，支持基于信息系统服务商和信息系统进行接入分析。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2.支持按区域、信息系统服务商、信息系统进行检索，以图表展示已接入停车场数量和占比、各服务商接入停车场占比、在线停车场数量和占比。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3.支持以列表展示指定区域下各服务商、信息系统的的接入车场数、接入车位数、接入率、在线率，便于了解区域中存在哪些信息系统服务商及各服务商及当前车场接入进度。</w:t>
            </w:r>
          </w:p>
        </w:tc>
      </w:tr>
      <w:tr w14:paraId="47834382">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3A5EBB9">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E0FDEB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39E4A59">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13B681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接入进度管理</w:t>
            </w:r>
          </w:p>
        </w:tc>
        <w:tc>
          <w:tcPr>
            <w:tcW w:w="3449" w:type="pct"/>
            <w:tcBorders>
              <w:top w:val="nil"/>
              <w:left w:val="nil"/>
              <w:bottom w:val="single" w:color="auto" w:sz="4" w:space="0"/>
              <w:right w:val="single" w:color="auto" w:sz="4" w:space="0"/>
            </w:tcBorders>
            <w:shd w:val="clear" w:color="auto" w:fill="auto"/>
            <w:vAlign w:val="center"/>
          </w:tcPr>
          <w:p w14:paraId="7A73E64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1.支持按照信息系统服务商、信息系统名称、状态查询服务商接入进度数据，展示信息包括信息系统名称、信息系统服务商名称、当前接入状态、接入车场数、对接平台IP、今日上传数量。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2.支持查询服务商接入详情，内容包括服务商接入的生命周期，以及服务商下各停车场接入平台的时间、当前状态。</w:t>
            </w:r>
          </w:p>
        </w:tc>
      </w:tr>
      <w:tr w14:paraId="72774908">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C881FB5">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6D88E1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3AB8B0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5C076C7">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车场接入分析</w:t>
            </w:r>
          </w:p>
        </w:tc>
        <w:tc>
          <w:tcPr>
            <w:tcW w:w="3449" w:type="pct"/>
            <w:tcBorders>
              <w:top w:val="nil"/>
              <w:left w:val="nil"/>
              <w:bottom w:val="single" w:color="auto" w:sz="4" w:space="0"/>
              <w:right w:val="single" w:color="auto" w:sz="4" w:space="0"/>
            </w:tcBorders>
            <w:shd w:val="clear" w:color="auto" w:fill="auto"/>
            <w:vAlign w:val="center"/>
          </w:tcPr>
          <w:p w14:paraId="54257E3F">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1.支持展示各车场接入厂商、当前接入状态、最近一次数据上传时间、最近一次上传数据质量，2.支持展示最近24小时停车场上传数据数量及数据正常率。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3.支持按日期展示各个停车场累计数据上传数量、正常率和累计离线次数。</w:t>
            </w:r>
          </w:p>
        </w:tc>
      </w:tr>
      <w:tr w14:paraId="37633AE8">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D5E7E0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4EA68A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F312D3B">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C0E87D0">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接入质量管理</w:t>
            </w:r>
          </w:p>
        </w:tc>
        <w:tc>
          <w:tcPr>
            <w:tcW w:w="3449" w:type="pct"/>
            <w:tcBorders>
              <w:top w:val="nil"/>
              <w:left w:val="nil"/>
              <w:bottom w:val="single" w:color="auto" w:sz="4" w:space="0"/>
              <w:right w:val="single" w:color="auto" w:sz="4" w:space="0"/>
            </w:tcBorders>
            <w:shd w:val="clear" w:color="auto" w:fill="auto"/>
            <w:vAlign w:val="center"/>
          </w:tcPr>
          <w:p w14:paraId="48585FE7">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停车场、信息系统服务商、车场在线状态、数据质量评级等条件查询停车场24小时内接入的数据质量，展示信息有停车场名称、信息系统服务商名称、车场在线状态、最近一条数据上传时间、最近一条数据质量、上传数量、正常数量、数据质量评估等级。</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2.支持按时间范围、停车场、信息系统服务商、数据质量评级等条件查询停车场接入的数据质量，展示信息有停车场名称、信息系统服务商名称、上传数量、离线次数、数据质量评估等级。</w:t>
            </w:r>
          </w:p>
        </w:tc>
      </w:tr>
      <w:tr w14:paraId="42A62586">
        <w:tblPrEx>
          <w:tblCellMar>
            <w:top w:w="0" w:type="dxa"/>
            <w:left w:w="108" w:type="dxa"/>
            <w:bottom w:w="0" w:type="dxa"/>
            <w:right w:w="108" w:type="dxa"/>
          </w:tblCellMar>
        </w:tblPrEx>
        <w:trPr>
          <w:trHeight w:val="87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32C6E8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w:t>
            </w:r>
          </w:p>
        </w:tc>
        <w:tc>
          <w:tcPr>
            <w:tcW w:w="383" w:type="pct"/>
            <w:vMerge w:val="continue"/>
            <w:tcBorders>
              <w:top w:val="nil"/>
              <w:left w:val="single" w:color="auto" w:sz="4" w:space="0"/>
              <w:bottom w:val="single" w:color="auto" w:sz="4" w:space="0"/>
              <w:right w:val="single" w:color="auto" w:sz="4" w:space="0"/>
            </w:tcBorders>
            <w:vAlign w:val="center"/>
          </w:tcPr>
          <w:p w14:paraId="626BEA9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1F8167A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停车数据管理</w:t>
            </w:r>
          </w:p>
        </w:tc>
        <w:tc>
          <w:tcPr>
            <w:tcW w:w="389" w:type="pct"/>
            <w:tcBorders>
              <w:top w:val="nil"/>
              <w:left w:val="nil"/>
              <w:bottom w:val="single" w:color="auto" w:sz="4" w:space="0"/>
              <w:right w:val="single" w:color="auto" w:sz="4" w:space="0"/>
            </w:tcBorders>
            <w:shd w:val="clear" w:color="auto" w:fill="auto"/>
            <w:vAlign w:val="center"/>
          </w:tcPr>
          <w:p w14:paraId="5504498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停车记录管理</w:t>
            </w:r>
          </w:p>
        </w:tc>
        <w:tc>
          <w:tcPr>
            <w:tcW w:w="3449" w:type="pct"/>
            <w:tcBorders>
              <w:top w:val="nil"/>
              <w:left w:val="nil"/>
              <w:bottom w:val="single" w:color="auto" w:sz="4" w:space="0"/>
              <w:right w:val="single" w:color="auto" w:sz="4" w:space="0"/>
            </w:tcBorders>
            <w:shd w:val="clear" w:color="auto" w:fill="auto"/>
            <w:vAlign w:val="center"/>
          </w:tcPr>
          <w:p w14:paraId="7D20F12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停车场通过联网接入系统后，支持对各停车场停车记录集中存储和展示。支持根据车牌号码、入车时间、停车时长、停车场名称、停车状态等检索条件查询停车记录。支持查看每笔停车记录相关的停车场、停车时长、状态等信息以及出入车图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2.支持导出选中或全部停车记录。</w:t>
            </w:r>
          </w:p>
        </w:tc>
      </w:tr>
      <w:tr w14:paraId="11A3F9E8">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7ABCA8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76FBEDE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F2CB85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75B776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过车记录管理</w:t>
            </w:r>
          </w:p>
        </w:tc>
        <w:tc>
          <w:tcPr>
            <w:tcW w:w="3449" w:type="pct"/>
            <w:tcBorders>
              <w:top w:val="nil"/>
              <w:left w:val="nil"/>
              <w:bottom w:val="single" w:color="auto" w:sz="4" w:space="0"/>
              <w:right w:val="single" w:color="auto" w:sz="4" w:space="0"/>
            </w:tcBorders>
            <w:shd w:val="clear" w:color="auto" w:fill="auto"/>
            <w:vAlign w:val="center"/>
          </w:tcPr>
          <w:p w14:paraId="61E35FAD">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1.支持根据出入车时间、出入方向、车牌号码、停车场名称、停车类型、泊位号、数据质量等条件检索过车记录。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2.支持检索并导出选中或全部过车记录。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3.支持对过车记录进行人工抽检，对任一条数据进行数据质量审核，判定数据问题并记录原因。</w:t>
            </w:r>
          </w:p>
        </w:tc>
      </w:tr>
      <w:tr w14:paraId="3987B466">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B83B52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A570E9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5E9979E">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EE5CA8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空余记录管理</w:t>
            </w:r>
          </w:p>
        </w:tc>
        <w:tc>
          <w:tcPr>
            <w:tcW w:w="3449" w:type="pct"/>
            <w:tcBorders>
              <w:top w:val="nil"/>
              <w:left w:val="nil"/>
              <w:bottom w:val="single" w:color="auto" w:sz="4" w:space="0"/>
              <w:right w:val="single" w:color="auto" w:sz="4" w:space="0"/>
            </w:tcBorders>
            <w:shd w:val="clear" w:color="000000" w:fill="FFFFFF"/>
            <w:vAlign w:val="center"/>
          </w:tcPr>
          <w:p w14:paraId="2B17BA6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支持展示下级停车场信息系统上传的各停车场空余车位记录。</w:t>
            </w:r>
          </w:p>
        </w:tc>
      </w:tr>
      <w:tr w14:paraId="48750B9D">
        <w:tblPrEx>
          <w:tblCellMar>
            <w:top w:w="0" w:type="dxa"/>
            <w:left w:w="108" w:type="dxa"/>
            <w:bottom w:w="0" w:type="dxa"/>
            <w:right w:w="108" w:type="dxa"/>
          </w:tblCellMar>
        </w:tblPrEx>
        <w:trPr>
          <w:trHeight w:val="232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77A80B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834E7A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90C469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36A40F1">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数据质量分析</w:t>
            </w:r>
          </w:p>
        </w:tc>
        <w:tc>
          <w:tcPr>
            <w:tcW w:w="3449" w:type="pct"/>
            <w:tcBorders>
              <w:top w:val="nil"/>
              <w:left w:val="nil"/>
              <w:bottom w:val="single" w:color="auto" w:sz="4" w:space="0"/>
              <w:right w:val="single" w:color="auto" w:sz="4" w:space="0"/>
            </w:tcBorders>
            <w:shd w:val="clear" w:color="000000" w:fill="FFFFFF"/>
            <w:vAlign w:val="center"/>
          </w:tcPr>
          <w:p w14:paraId="196DB7AB">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1.支持对各车场上传的数据进行质量检测，便于发现车场数据问题，确保数据完整性、时效性，支撑数据分析和公众停车信息服务。</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维度（日、月、年）、区域、经营单位、信息系统服务商等条件进行检索，展示指定区域停车场上传数据总量、正常数据条数、数据质量评级，以及数据规范性、完整性、准确性、时效性各项指标评分。支持以图形化方式展示指定区域、信息系统服务商在特定时间段内数据质量分析结果，展示合格数据、规范性问题数据、完整性问题数据、准确性问题数据、时效性问题数据的数量，便于发现主要数据问题，有针对性的进行整改。</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3.支持对各信息系统服务商数据进行分析，展示各服务商的等级评分。支持以列表展示各区域的数据质量数据，内容包括区域名称、接收数据量、正常数据量、数据质量评级、规范率、完整率、准确率、时效率。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按照时间维度（日、月、年）、区域、停车场、信息系统服务商、经营单位、数据质量评级、查询车场数据域数据质量，以列表展示各停车场的数据质量数据，内容包括区域名称、接收数据量、正常数据量、数据质量评级、规范率、完整率、准确率、实效率。</w:t>
            </w:r>
          </w:p>
        </w:tc>
      </w:tr>
      <w:tr w14:paraId="7B40BA18">
        <w:tblPrEx>
          <w:tblCellMar>
            <w:top w:w="0" w:type="dxa"/>
            <w:left w:w="108" w:type="dxa"/>
            <w:bottom w:w="0" w:type="dxa"/>
            <w:right w:w="108" w:type="dxa"/>
          </w:tblCellMar>
        </w:tblPrEx>
        <w:trPr>
          <w:trHeight w:val="232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7410B1C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w:t>
            </w:r>
          </w:p>
        </w:tc>
        <w:tc>
          <w:tcPr>
            <w:tcW w:w="383" w:type="pct"/>
            <w:vMerge w:val="continue"/>
            <w:tcBorders>
              <w:top w:val="nil"/>
              <w:left w:val="single" w:color="auto" w:sz="4" w:space="0"/>
              <w:bottom w:val="single" w:color="auto" w:sz="4" w:space="0"/>
              <w:right w:val="single" w:color="auto" w:sz="4" w:space="0"/>
            </w:tcBorders>
            <w:vAlign w:val="center"/>
          </w:tcPr>
          <w:p w14:paraId="42D72059">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23EF44D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告警管理</w:t>
            </w:r>
          </w:p>
        </w:tc>
        <w:tc>
          <w:tcPr>
            <w:tcW w:w="389" w:type="pct"/>
            <w:tcBorders>
              <w:top w:val="nil"/>
              <w:left w:val="nil"/>
              <w:bottom w:val="single" w:color="auto" w:sz="4" w:space="0"/>
              <w:right w:val="single" w:color="auto" w:sz="4" w:space="0"/>
            </w:tcBorders>
            <w:shd w:val="clear" w:color="auto" w:fill="auto"/>
            <w:vAlign w:val="center"/>
          </w:tcPr>
          <w:p w14:paraId="0A960F1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停车场离线告警</w:t>
            </w:r>
          </w:p>
        </w:tc>
        <w:tc>
          <w:tcPr>
            <w:tcW w:w="3449" w:type="pct"/>
            <w:tcBorders>
              <w:top w:val="nil"/>
              <w:left w:val="nil"/>
              <w:bottom w:val="single" w:color="auto" w:sz="4" w:space="0"/>
              <w:right w:val="single" w:color="auto" w:sz="4" w:space="0"/>
            </w:tcBorders>
            <w:shd w:val="clear" w:color="auto" w:fill="auto"/>
            <w:vAlign w:val="center"/>
          </w:tcPr>
          <w:p w14:paraId="07EB19AE">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1.支持对停车场离线情况进行统计分析，便于发现频繁数据中断的停车场，要求整改确保数据完整获取。</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2.支持根据时间、区域、停车场、信息系统服务商等条件检索停车场离线数据。支持图形化方式展示指定区域当前离线车场数，指定时间段内的离线次数和离线告警次数。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3.支持按离线次数进行排名，展示离线最频繁的10家停车场。 支持按离线时长进行排名，展示累计离线时长最长的10家停车场。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4.支持以列表展示查询条件范围内停车场告警数据，内容包括当前状态、累计离线时长、离线次数、告警次数。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5.支持展示停车场离线告警详情，包括累计离线次数、累计离线时长。支持对每次离线时长进行统计，分析离线时长分布。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6.支持以离线告警日历直观展示停车场离线情况，点击日历表可以展示离线时间范围、离线时长、告警次数，便于发现离线规律。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7.支持开启和关闭离线告警通知功能，关闭告警的停车场不再自动推送信息通知用户。</w:t>
            </w:r>
          </w:p>
        </w:tc>
      </w:tr>
      <w:tr w14:paraId="00735F7C">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35091875">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EE79F4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0C8C4F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518113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停车场异常数据告警</w:t>
            </w:r>
          </w:p>
        </w:tc>
        <w:tc>
          <w:tcPr>
            <w:tcW w:w="3449" w:type="pct"/>
            <w:tcBorders>
              <w:top w:val="nil"/>
              <w:left w:val="nil"/>
              <w:bottom w:val="single" w:color="auto" w:sz="4" w:space="0"/>
              <w:right w:val="single" w:color="auto" w:sz="4" w:space="0"/>
            </w:tcBorders>
            <w:shd w:val="clear" w:color="auto" w:fill="auto"/>
            <w:vAlign w:val="center"/>
          </w:tcPr>
          <w:p w14:paraId="0C82C83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1.支持对存在数据突变、持续数据质量不合格等数据异常情况的车场进行检测。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区域、业态、停车场、信息系统服务商进行检索，展示指定区域特定时间段内的数据异常车场数量、数据异常告警次数。支持根据异常严重情况对停车场进行排名，展示异常问题较严重10个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3.支持基于数据异常类型进行统计，展示各类异常情况次数和占比。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4.支持以列表展示符合查询条件的停车场数据异常告警数据，包括区域、停车场名称、异常类型、检测时间、告警次数。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5.支持开启和关闭停车场数据异常告警通知功能，关闭告警的停车场不再自动发送信息通知用户。</w:t>
            </w:r>
          </w:p>
        </w:tc>
      </w:tr>
      <w:tr w14:paraId="304707AD">
        <w:tblPrEx>
          <w:tblCellMar>
            <w:top w:w="0" w:type="dxa"/>
            <w:left w:w="108" w:type="dxa"/>
            <w:bottom w:w="0" w:type="dxa"/>
            <w:right w:w="108" w:type="dxa"/>
          </w:tblCellMar>
        </w:tblPrEx>
        <w:trPr>
          <w:trHeight w:val="145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A986D2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w:t>
            </w:r>
          </w:p>
        </w:tc>
        <w:tc>
          <w:tcPr>
            <w:tcW w:w="383" w:type="pct"/>
            <w:tcBorders>
              <w:top w:val="nil"/>
              <w:left w:val="nil"/>
              <w:bottom w:val="single" w:color="auto" w:sz="4" w:space="0"/>
              <w:right w:val="single" w:color="auto" w:sz="4" w:space="0"/>
            </w:tcBorders>
            <w:shd w:val="clear" w:color="000000" w:fill="FFFFFF"/>
            <w:vAlign w:val="center"/>
          </w:tcPr>
          <w:p w14:paraId="0573739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微信公众号</w:t>
            </w:r>
          </w:p>
        </w:tc>
        <w:tc>
          <w:tcPr>
            <w:tcW w:w="476" w:type="pct"/>
            <w:gridSpan w:val="2"/>
            <w:tcBorders>
              <w:top w:val="nil"/>
              <w:left w:val="nil"/>
              <w:bottom w:val="single" w:color="auto" w:sz="4" w:space="0"/>
              <w:right w:val="single" w:color="auto" w:sz="4" w:space="0"/>
            </w:tcBorders>
            <w:shd w:val="clear" w:color="auto" w:fill="auto"/>
            <w:vAlign w:val="center"/>
          </w:tcPr>
          <w:p w14:paraId="65C5169C">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F0CC02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248B930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1.在延安交管支队公众号配置菜单-停车余位信息发布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2.展示管辖范围内所有停车场，点击可基于用户手机已安装地图进行导航</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3.支持查询发布的车场停车位总数、余位信息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平台通过对接延安交管支队微信公众号，推送管辖区域内的所有停车场信息，包含地址、总车位数量、剩余车位数量；车主点击后，可调用手机导航，进行线路规划导航。</w:t>
            </w:r>
          </w:p>
        </w:tc>
      </w:tr>
      <w:tr w14:paraId="32FDA5CE">
        <w:tblPrEx>
          <w:tblCellMar>
            <w:top w:w="0" w:type="dxa"/>
            <w:left w:w="108" w:type="dxa"/>
            <w:bottom w:w="0" w:type="dxa"/>
            <w:right w:w="108" w:type="dxa"/>
          </w:tblCellMar>
        </w:tblPrEx>
        <w:trPr>
          <w:trHeight w:val="87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8A2DB5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383" w:type="pct"/>
            <w:tcBorders>
              <w:top w:val="nil"/>
              <w:left w:val="nil"/>
              <w:bottom w:val="single" w:color="auto" w:sz="4" w:space="0"/>
              <w:right w:val="single" w:color="auto" w:sz="4" w:space="0"/>
            </w:tcBorders>
            <w:shd w:val="clear" w:color="000000" w:fill="FFFFFF"/>
            <w:vAlign w:val="center"/>
          </w:tcPr>
          <w:p w14:paraId="3CB1997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高德地图数据对接</w:t>
            </w:r>
          </w:p>
        </w:tc>
        <w:tc>
          <w:tcPr>
            <w:tcW w:w="476" w:type="pct"/>
            <w:gridSpan w:val="2"/>
            <w:tcBorders>
              <w:top w:val="nil"/>
              <w:left w:val="nil"/>
              <w:bottom w:val="single" w:color="auto" w:sz="4" w:space="0"/>
              <w:right w:val="single" w:color="auto" w:sz="4" w:space="0"/>
            </w:tcBorders>
            <w:shd w:val="clear" w:color="auto" w:fill="auto"/>
            <w:vAlign w:val="center"/>
          </w:tcPr>
          <w:p w14:paraId="19992DE3">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7761A94">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42AE8221">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1.对接高德地图接口</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2.对高德推送已接入监管平台的停车场余位信息，用于高德对外展示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平台对接高德地图，提供停车场数据，包含地址、总车位数量，余位数量，用于高德地图对外展示。</w:t>
            </w:r>
          </w:p>
        </w:tc>
      </w:tr>
      <w:tr w14:paraId="0BAE1F6E">
        <w:tblPrEx>
          <w:tblCellMar>
            <w:top w:w="0" w:type="dxa"/>
            <w:left w:w="108" w:type="dxa"/>
            <w:bottom w:w="0" w:type="dxa"/>
            <w:right w:w="108" w:type="dxa"/>
          </w:tblCellMar>
        </w:tblPrEx>
        <w:trPr>
          <w:trHeight w:val="87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487C1DE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383" w:type="pct"/>
            <w:tcBorders>
              <w:top w:val="nil"/>
              <w:left w:val="nil"/>
              <w:bottom w:val="single" w:color="auto" w:sz="4" w:space="0"/>
              <w:right w:val="single" w:color="auto" w:sz="4" w:space="0"/>
            </w:tcBorders>
            <w:shd w:val="clear" w:color="auto" w:fill="auto"/>
            <w:vAlign w:val="center"/>
          </w:tcPr>
          <w:p w14:paraId="0C1161E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诱导屏对接</w:t>
            </w:r>
          </w:p>
        </w:tc>
        <w:tc>
          <w:tcPr>
            <w:tcW w:w="476" w:type="pct"/>
            <w:gridSpan w:val="2"/>
            <w:tcBorders>
              <w:top w:val="nil"/>
              <w:left w:val="nil"/>
              <w:bottom w:val="single" w:color="auto" w:sz="4" w:space="0"/>
              <w:right w:val="single" w:color="auto" w:sz="4" w:space="0"/>
            </w:tcBorders>
            <w:shd w:val="clear" w:color="auto" w:fill="auto"/>
            <w:vAlign w:val="center"/>
          </w:tcPr>
          <w:p w14:paraId="2AD250ED">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D2C000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01705CC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1.支持在一二级信息发布屏上调用已接入监管平台的停车场余位信息，对外发布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2.支持“红、黄、蓝”三色展示路况拥堵程度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平台支持接入一二级信息发布诱导屏，对外发布停车场余位信息；支持按“红、黄、蓝”三色，对外展示路况拥堵情况。</w:t>
            </w:r>
          </w:p>
        </w:tc>
      </w:tr>
      <w:tr w14:paraId="7359E26C">
        <w:tblPrEx>
          <w:tblCellMar>
            <w:top w:w="0" w:type="dxa"/>
            <w:left w:w="108" w:type="dxa"/>
            <w:bottom w:w="0" w:type="dxa"/>
            <w:right w:w="108" w:type="dxa"/>
          </w:tblCellMar>
        </w:tblPrEx>
        <w:trPr>
          <w:trHeight w:val="11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68E551C">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w:t>
            </w:r>
          </w:p>
        </w:tc>
        <w:tc>
          <w:tcPr>
            <w:tcW w:w="383" w:type="pct"/>
            <w:tcBorders>
              <w:top w:val="nil"/>
              <w:left w:val="nil"/>
              <w:bottom w:val="single" w:color="auto" w:sz="4" w:space="0"/>
              <w:right w:val="single" w:color="auto" w:sz="4" w:space="0"/>
            </w:tcBorders>
            <w:shd w:val="clear" w:color="auto" w:fill="auto"/>
            <w:vAlign w:val="center"/>
          </w:tcPr>
          <w:p w14:paraId="248D594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车场满位预警</w:t>
            </w:r>
          </w:p>
        </w:tc>
        <w:tc>
          <w:tcPr>
            <w:tcW w:w="476" w:type="pct"/>
            <w:gridSpan w:val="2"/>
            <w:tcBorders>
              <w:top w:val="nil"/>
              <w:left w:val="nil"/>
              <w:bottom w:val="single" w:color="auto" w:sz="4" w:space="0"/>
              <w:right w:val="single" w:color="auto" w:sz="4" w:space="0"/>
            </w:tcBorders>
            <w:shd w:val="clear" w:color="auto" w:fill="auto"/>
            <w:vAlign w:val="center"/>
          </w:tcPr>
          <w:p w14:paraId="589D673C">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A6999A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4FA65C85">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1.针对车场满位无余位时，平台产生告警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2.支持后台策略分析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3.支持车位数据校准</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平台针对车场满位，无余位时，产生告警，提供相关满位信息，支持针对不准确的车位余位，数据调整校准。</w:t>
            </w:r>
          </w:p>
        </w:tc>
      </w:tr>
      <w:tr w14:paraId="4A21DF26">
        <w:tblPrEx>
          <w:tblCellMar>
            <w:top w:w="0" w:type="dxa"/>
            <w:left w:w="108" w:type="dxa"/>
            <w:bottom w:w="0" w:type="dxa"/>
            <w:right w:w="108" w:type="dxa"/>
          </w:tblCellMar>
        </w:tblPrEx>
        <w:trPr>
          <w:trHeight w:val="1160" w:hRule="atLeast"/>
        </w:trPr>
        <w:tc>
          <w:tcPr>
            <w:tcW w:w="303" w:type="pct"/>
            <w:gridSpan w:val="2"/>
            <w:vMerge w:val="restart"/>
            <w:tcBorders>
              <w:top w:val="nil"/>
              <w:left w:val="single" w:color="auto" w:sz="4" w:space="0"/>
              <w:right w:val="single" w:color="auto" w:sz="4" w:space="0"/>
            </w:tcBorders>
            <w:shd w:val="clear" w:color="auto" w:fill="auto"/>
            <w:noWrap/>
            <w:vAlign w:val="center"/>
          </w:tcPr>
          <w:p w14:paraId="4B4769E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15</w:t>
            </w:r>
          </w:p>
        </w:tc>
        <w:tc>
          <w:tcPr>
            <w:tcW w:w="383" w:type="pct"/>
            <w:vMerge w:val="restart"/>
            <w:tcBorders>
              <w:top w:val="nil"/>
              <w:left w:val="nil"/>
              <w:right w:val="single" w:color="auto" w:sz="4" w:space="0"/>
            </w:tcBorders>
            <w:shd w:val="clear" w:color="auto" w:fill="auto"/>
            <w:vAlign w:val="center"/>
          </w:tcPr>
          <w:p w14:paraId="7BEA631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系统管理</w:t>
            </w:r>
          </w:p>
        </w:tc>
        <w:tc>
          <w:tcPr>
            <w:tcW w:w="476" w:type="pct"/>
            <w:gridSpan w:val="2"/>
            <w:vMerge w:val="restart"/>
            <w:tcBorders>
              <w:top w:val="nil"/>
              <w:left w:val="nil"/>
              <w:right w:val="single" w:color="auto" w:sz="4" w:space="0"/>
            </w:tcBorders>
            <w:shd w:val="clear" w:color="auto" w:fill="auto"/>
            <w:vAlign w:val="center"/>
          </w:tcPr>
          <w:p w14:paraId="42CFE551">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基础配置</w:t>
            </w:r>
          </w:p>
        </w:tc>
        <w:tc>
          <w:tcPr>
            <w:tcW w:w="389" w:type="pct"/>
            <w:tcBorders>
              <w:top w:val="nil"/>
              <w:left w:val="nil"/>
              <w:bottom w:val="single" w:color="auto" w:sz="4" w:space="0"/>
              <w:right w:val="single" w:color="auto" w:sz="4" w:space="0"/>
            </w:tcBorders>
            <w:shd w:val="clear" w:color="auto" w:fill="auto"/>
            <w:vAlign w:val="center"/>
          </w:tcPr>
          <w:p w14:paraId="5B0B2D05">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组织机构管理</w:t>
            </w:r>
          </w:p>
        </w:tc>
        <w:tc>
          <w:tcPr>
            <w:tcW w:w="3449" w:type="pct"/>
            <w:tcBorders>
              <w:top w:val="nil"/>
              <w:left w:val="nil"/>
              <w:bottom w:val="single" w:color="auto" w:sz="4" w:space="0"/>
              <w:right w:val="single" w:color="auto" w:sz="4" w:space="0"/>
            </w:tcBorders>
            <w:shd w:val="clear" w:color="auto" w:fill="auto"/>
            <w:vAlign w:val="center"/>
          </w:tcPr>
          <w:p w14:paraId="4FC88D90">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支持以树形菜单结构展示组织架构，呈现层级关系。支持对组织的新增、删除、修改、查询、导入、导出。</w:t>
            </w:r>
          </w:p>
        </w:tc>
      </w:tr>
      <w:tr w14:paraId="40FF3B29">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05555BD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43FD490A">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5A014A6C">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DA4E5A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用户管理</w:t>
            </w:r>
          </w:p>
        </w:tc>
        <w:tc>
          <w:tcPr>
            <w:tcW w:w="3449" w:type="pct"/>
            <w:tcBorders>
              <w:top w:val="nil"/>
              <w:left w:val="nil"/>
              <w:bottom w:val="single" w:color="auto" w:sz="4" w:space="0"/>
              <w:right w:val="single" w:color="auto" w:sz="4" w:space="0"/>
            </w:tcBorders>
            <w:shd w:val="clear" w:color="auto" w:fill="auto"/>
            <w:vAlign w:val="center"/>
          </w:tcPr>
          <w:p w14:paraId="6B459ADB">
            <w:pPr>
              <w:pStyle w:val="5"/>
              <w:widowControl/>
              <w:numPr>
                <w:ilvl w:val="0"/>
                <w:numId w:val="1"/>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支持对平台用户添加、修改、注销。支持帐号查询、帐号启用、帐号禁用、重置帐号密码。</w:t>
            </w:r>
          </w:p>
          <w:p w14:paraId="00FFD02A">
            <w:pPr>
              <w:pStyle w:val="5"/>
              <w:widowControl/>
              <w:numPr>
                <w:ilvl w:val="0"/>
                <w:numId w:val="1"/>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支持对用户帐号的安全信息、登录认证方式进行配置，支持用户帐号与人员关联。</w:t>
            </w:r>
          </w:p>
          <w:p w14:paraId="6705452E">
            <w:pPr>
              <w:pStyle w:val="5"/>
              <w:widowControl/>
              <w:numPr>
                <w:ilvl w:val="0"/>
                <w:numId w:val="1"/>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支持对用户进行导入、导出。</w:t>
            </w:r>
          </w:p>
          <w:p w14:paraId="6D85FD35">
            <w:pPr>
              <w:pStyle w:val="5"/>
              <w:widowControl/>
              <w:numPr>
                <w:ilvl w:val="0"/>
                <w:numId w:val="1"/>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支持记录并展示用户的登录次数、最后登录时间。</w:t>
            </w:r>
          </w:p>
          <w:p w14:paraId="07FC25F7">
            <w:pPr>
              <w:pStyle w:val="5"/>
              <w:widowControl/>
              <w:numPr>
                <w:ilvl w:val="0"/>
                <w:numId w:val="1"/>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支持对平台用户组添加、修改、删除。用户组导入、导出。</w:t>
            </w:r>
          </w:p>
        </w:tc>
      </w:tr>
      <w:tr w14:paraId="3CBF1F2F">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5439698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5A0C540A">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1EC1F145">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0A7A25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人员管理</w:t>
            </w:r>
          </w:p>
        </w:tc>
        <w:tc>
          <w:tcPr>
            <w:tcW w:w="3449" w:type="pct"/>
            <w:tcBorders>
              <w:top w:val="nil"/>
              <w:left w:val="nil"/>
              <w:bottom w:val="single" w:color="auto" w:sz="4" w:space="0"/>
              <w:right w:val="single" w:color="auto" w:sz="4" w:space="0"/>
            </w:tcBorders>
            <w:shd w:val="clear" w:color="auto" w:fill="auto"/>
            <w:vAlign w:val="center"/>
          </w:tcPr>
          <w:p w14:paraId="406A79E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支持对人员信息增加、删除、修改、导入、导出。支持查看各组织下的人员清单及人员详情。</w:t>
            </w:r>
          </w:p>
        </w:tc>
      </w:tr>
      <w:tr w14:paraId="073C3971">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245F778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6F39A791">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continue"/>
            <w:tcBorders>
              <w:left w:val="nil"/>
              <w:bottom w:val="single" w:color="auto" w:sz="4" w:space="0"/>
              <w:right w:val="single" w:color="auto" w:sz="4" w:space="0"/>
            </w:tcBorders>
            <w:shd w:val="clear" w:color="auto" w:fill="auto"/>
            <w:vAlign w:val="center"/>
          </w:tcPr>
          <w:p w14:paraId="0662827B">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BB894B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角色管理</w:t>
            </w:r>
          </w:p>
        </w:tc>
        <w:tc>
          <w:tcPr>
            <w:tcW w:w="3449" w:type="pct"/>
            <w:tcBorders>
              <w:top w:val="nil"/>
              <w:left w:val="nil"/>
              <w:bottom w:val="single" w:color="auto" w:sz="4" w:space="0"/>
              <w:right w:val="single" w:color="auto" w:sz="4" w:space="0"/>
            </w:tcBorders>
            <w:shd w:val="clear" w:color="auto" w:fill="auto"/>
            <w:vAlign w:val="center"/>
          </w:tcPr>
          <w:p w14:paraId="417D59FB">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平台角色的新增、删除、配置、查询。支持对角色进行菜单、区域、组织等权限进行设置。</w:t>
            </w:r>
          </w:p>
        </w:tc>
      </w:tr>
      <w:tr w14:paraId="7B8A2608">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4A234BF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716149F2">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nil"/>
              <w:right w:val="single" w:color="auto" w:sz="4" w:space="0"/>
            </w:tcBorders>
            <w:shd w:val="clear" w:color="auto" w:fill="auto"/>
            <w:vAlign w:val="center"/>
          </w:tcPr>
          <w:p w14:paraId="3039748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门户管理</w:t>
            </w:r>
          </w:p>
        </w:tc>
        <w:tc>
          <w:tcPr>
            <w:tcW w:w="389" w:type="pct"/>
            <w:tcBorders>
              <w:top w:val="nil"/>
              <w:left w:val="nil"/>
              <w:bottom w:val="single" w:color="auto" w:sz="4" w:space="0"/>
              <w:right w:val="single" w:color="auto" w:sz="4" w:space="0"/>
            </w:tcBorders>
            <w:shd w:val="clear" w:color="auto" w:fill="auto"/>
            <w:vAlign w:val="center"/>
          </w:tcPr>
          <w:p w14:paraId="13E39E9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登录配置</w:t>
            </w:r>
          </w:p>
        </w:tc>
        <w:tc>
          <w:tcPr>
            <w:tcW w:w="3449" w:type="pct"/>
            <w:tcBorders>
              <w:top w:val="nil"/>
              <w:left w:val="nil"/>
              <w:bottom w:val="single" w:color="auto" w:sz="4" w:space="0"/>
              <w:right w:val="single" w:color="auto" w:sz="4" w:space="0"/>
            </w:tcBorders>
            <w:shd w:val="clear" w:color="auto" w:fill="auto"/>
            <w:vAlign w:val="center"/>
          </w:tcPr>
          <w:p w14:paraId="1D23A90B">
            <w:pPr>
              <w:pStyle w:val="5"/>
              <w:widowControl/>
              <w:numPr>
                <w:ilvl w:val="0"/>
                <w:numId w:val="2"/>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支持对登录页主题进行配置。支持对登录页进行创建、编辑、预览、删除、设为主登录。</w:t>
            </w:r>
          </w:p>
          <w:p w14:paraId="759DABCF">
            <w:pPr>
              <w:pStyle w:val="5"/>
              <w:widowControl/>
              <w:numPr>
                <w:ilvl w:val="0"/>
                <w:numId w:val="2"/>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支持对登录页logo、页面背景、前景插图、跳转插图等参数进行自定义配置。</w:t>
            </w:r>
          </w:p>
        </w:tc>
      </w:tr>
      <w:tr w14:paraId="72B73D79">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6BE2909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4BDC9F5C">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31DA7686">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47A7E3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首页配置</w:t>
            </w:r>
          </w:p>
        </w:tc>
        <w:tc>
          <w:tcPr>
            <w:tcW w:w="3449" w:type="pct"/>
            <w:tcBorders>
              <w:top w:val="nil"/>
              <w:left w:val="nil"/>
              <w:bottom w:val="single" w:color="auto" w:sz="4" w:space="0"/>
              <w:right w:val="single" w:color="auto" w:sz="4" w:space="0"/>
            </w:tcBorders>
            <w:shd w:val="clear" w:color="auto" w:fill="auto"/>
            <w:vAlign w:val="center"/>
          </w:tcPr>
          <w:p w14:paraId="60D45A2E">
            <w:pPr>
              <w:pStyle w:val="5"/>
              <w:widowControl/>
              <w:numPr>
                <w:ilvl w:val="0"/>
                <w:numId w:val="3"/>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支持对首页主题进行创建、导入、配置、预览、发布。</w:t>
            </w:r>
          </w:p>
          <w:p w14:paraId="17BF4407">
            <w:pPr>
              <w:pStyle w:val="5"/>
              <w:widowControl/>
              <w:numPr>
                <w:ilvl w:val="0"/>
                <w:numId w:val="3"/>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支持对首页名称、logo、样式进行自定义设置。</w:t>
            </w:r>
          </w:p>
        </w:tc>
      </w:tr>
      <w:tr w14:paraId="20F2641B">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bottom w:val="single" w:color="auto" w:sz="4" w:space="0"/>
              <w:right w:val="single" w:color="auto" w:sz="4" w:space="0"/>
            </w:tcBorders>
            <w:shd w:val="clear" w:color="auto" w:fill="auto"/>
            <w:noWrap/>
            <w:vAlign w:val="center"/>
          </w:tcPr>
          <w:p w14:paraId="725C6B5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bottom w:val="single" w:color="auto" w:sz="4" w:space="0"/>
              <w:right w:val="single" w:color="auto" w:sz="4" w:space="0"/>
            </w:tcBorders>
            <w:shd w:val="clear" w:color="auto" w:fill="auto"/>
            <w:vAlign w:val="center"/>
          </w:tcPr>
          <w:p w14:paraId="545FD7C8">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continue"/>
            <w:tcBorders>
              <w:left w:val="nil"/>
              <w:bottom w:val="single" w:color="auto" w:sz="4" w:space="0"/>
              <w:right w:val="single" w:color="auto" w:sz="4" w:space="0"/>
            </w:tcBorders>
            <w:shd w:val="clear" w:color="auto" w:fill="auto"/>
            <w:vAlign w:val="center"/>
          </w:tcPr>
          <w:p w14:paraId="618E6C62">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BBA375A">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公告管理</w:t>
            </w:r>
          </w:p>
        </w:tc>
        <w:tc>
          <w:tcPr>
            <w:tcW w:w="3449" w:type="pct"/>
            <w:tcBorders>
              <w:top w:val="nil"/>
              <w:left w:val="nil"/>
              <w:bottom w:val="single" w:color="auto" w:sz="4" w:space="0"/>
              <w:right w:val="single" w:color="auto" w:sz="4" w:space="0"/>
            </w:tcBorders>
            <w:shd w:val="clear" w:color="auto" w:fill="auto"/>
            <w:vAlign w:val="center"/>
          </w:tcPr>
          <w:p w14:paraId="1F2140AD">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支持对系统公告进行管理。包括：公告新建、预览、发布/取消发布、删除等。</w:t>
            </w:r>
          </w:p>
        </w:tc>
      </w:tr>
      <w:tr w14:paraId="1A85963F">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4EDF43E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二</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6FB5297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信息发布管理平台</w:t>
            </w:r>
          </w:p>
        </w:tc>
      </w:tr>
      <w:tr w14:paraId="2E29E702">
        <w:tblPrEx>
          <w:tblCellMar>
            <w:top w:w="0" w:type="dxa"/>
            <w:left w:w="108" w:type="dxa"/>
            <w:bottom w:w="0" w:type="dxa"/>
            <w:right w:w="108" w:type="dxa"/>
          </w:tblCellMar>
        </w:tblPrEx>
        <w:trPr>
          <w:trHeight w:val="39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3C20EB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315BFFC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信息发布管理</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179E7BD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信息发布管理</w:t>
            </w:r>
          </w:p>
        </w:tc>
        <w:tc>
          <w:tcPr>
            <w:tcW w:w="389" w:type="pct"/>
            <w:tcBorders>
              <w:top w:val="nil"/>
              <w:left w:val="nil"/>
              <w:bottom w:val="single" w:color="auto" w:sz="4" w:space="0"/>
              <w:right w:val="single" w:color="auto" w:sz="4" w:space="0"/>
            </w:tcBorders>
            <w:shd w:val="clear" w:color="000000" w:fill="FFFFFF"/>
            <w:vAlign w:val="center"/>
          </w:tcPr>
          <w:p w14:paraId="22DC390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内容制作</w:t>
            </w:r>
          </w:p>
        </w:tc>
        <w:tc>
          <w:tcPr>
            <w:tcW w:w="3449" w:type="pct"/>
            <w:tcBorders>
              <w:top w:val="nil"/>
              <w:left w:val="nil"/>
              <w:bottom w:val="single" w:color="auto" w:sz="4" w:space="0"/>
              <w:right w:val="single" w:color="auto" w:sz="4" w:space="0"/>
            </w:tcBorders>
            <w:shd w:val="clear" w:color="000000" w:fill="FFFFFF"/>
            <w:vAlign w:val="center"/>
          </w:tcPr>
          <w:p w14:paraId="1F67ADF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1.支持在节目库以缩略图方式展示节目并标识节目审核状态，点击审核状态可查看审核记录。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2.支持根据节目名称、节目类型、系统类型、屏幕类型、屏幕尺寸、审核状态、可见权限、创建时间、更新时间等条件检索节目。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3.支持添加、编辑、编辑属性信息发布节目和诱导节目。支持预览节目，可切换倍速预览和全屏预览节目。支持快捷选择屏幕设备进行紧急插播。</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4.支持创建、删除节目分组，支持对分组名称进行编辑。</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5.支持在素材库展示素材文件并标识素材审核状态，点击审核状态可查看审核记录。支持根据素材名称、素材类型、可见权限、审核状态、是否过期等条件检索素材。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6.支持预览、编辑、下载素材。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7.支持上传本地素材，配置素材可见权限、有效期等信息。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添加动态素材，设置素材类型、素材名称描述信息等，可根据素材类型设置不同素材参数，支持设置动态网页素材的网页地址，支持设置数据源素材的数据源地址，支持设置直播视频素材的直播来源（网络ipc、手动设置、监控点）、ip类型、ip地址、端口号、通道号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9.支持删除素材，支持通过回收站管理还原已删除的素材或清空回收站。</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10.支持过期素材管理，支持修改已过期素材有效期。</w:t>
            </w:r>
          </w:p>
        </w:tc>
      </w:tr>
      <w:tr w14:paraId="64A440DD">
        <w:tblPrEx>
          <w:tblCellMar>
            <w:top w:w="0" w:type="dxa"/>
            <w:left w:w="108" w:type="dxa"/>
            <w:bottom w:w="0" w:type="dxa"/>
            <w:right w:w="108" w:type="dxa"/>
          </w:tblCellMar>
        </w:tblPrEx>
        <w:trPr>
          <w:trHeight w:val="1366"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5172DF2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w:t>
            </w:r>
          </w:p>
        </w:tc>
        <w:tc>
          <w:tcPr>
            <w:tcW w:w="383" w:type="pct"/>
            <w:vMerge w:val="continue"/>
            <w:tcBorders>
              <w:top w:val="nil"/>
              <w:left w:val="single" w:color="auto" w:sz="4" w:space="0"/>
              <w:bottom w:val="single" w:color="auto" w:sz="4" w:space="0"/>
              <w:right w:val="single" w:color="auto" w:sz="4" w:space="0"/>
            </w:tcBorders>
            <w:vAlign w:val="center"/>
          </w:tcPr>
          <w:p w14:paraId="18E4897D">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D529E41">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8001FAF">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内容发布</w:t>
            </w:r>
          </w:p>
        </w:tc>
        <w:tc>
          <w:tcPr>
            <w:tcW w:w="3449" w:type="pct"/>
            <w:tcBorders>
              <w:top w:val="nil"/>
              <w:left w:val="nil"/>
              <w:bottom w:val="single" w:color="auto" w:sz="4" w:space="0"/>
              <w:right w:val="single" w:color="auto" w:sz="4" w:space="0"/>
            </w:tcBorders>
            <w:shd w:val="clear" w:color="000000" w:fill="FFFFFF"/>
            <w:vAlign w:val="center"/>
          </w:tcPr>
          <w:p w14:paraId="25CA315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1.支持查看任务列表，支持根据任务名称、关联设备、设备所属组织、设备所属分组、关联节目名称、任务分类、任务类型、播放模式、审核状态等条件检索任务。</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创建、删除、编辑、停止常规任务，支持查看常规任务详情。支持为任务添加一个或多个播放计划，支持设置播放计划的类型（普通轮播、时段轮播），支持在播放计划里添加/删除/清空节目，支持删除播放计划。支持设置时段轮播计划的播放时间。支持配置发布设置参数，包括生效方式、下载方式，支持配置关联终端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3.支持创建追加任务。</w:t>
            </w:r>
          </w:p>
        </w:tc>
      </w:tr>
      <w:tr w14:paraId="5845FCC6">
        <w:tblPrEx>
          <w:tblCellMar>
            <w:top w:w="0" w:type="dxa"/>
            <w:left w:w="108" w:type="dxa"/>
            <w:bottom w:w="0" w:type="dxa"/>
            <w:right w:w="108" w:type="dxa"/>
          </w:tblCellMar>
        </w:tblPrEx>
        <w:trPr>
          <w:trHeight w:val="6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70EF82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w:t>
            </w:r>
          </w:p>
        </w:tc>
        <w:tc>
          <w:tcPr>
            <w:tcW w:w="383" w:type="pct"/>
            <w:vMerge w:val="continue"/>
            <w:tcBorders>
              <w:top w:val="nil"/>
              <w:left w:val="single" w:color="auto" w:sz="4" w:space="0"/>
              <w:bottom w:val="single" w:color="auto" w:sz="4" w:space="0"/>
              <w:right w:val="single" w:color="auto" w:sz="4" w:space="0"/>
            </w:tcBorders>
            <w:vAlign w:val="center"/>
          </w:tcPr>
          <w:p w14:paraId="5A0D725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AC1619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70960D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发布记录</w:t>
            </w:r>
          </w:p>
        </w:tc>
        <w:tc>
          <w:tcPr>
            <w:tcW w:w="3449" w:type="pct"/>
            <w:tcBorders>
              <w:top w:val="nil"/>
              <w:left w:val="nil"/>
              <w:bottom w:val="single" w:color="auto" w:sz="4" w:space="0"/>
              <w:right w:val="single" w:color="auto" w:sz="4" w:space="0"/>
            </w:tcBorders>
            <w:shd w:val="clear" w:color="000000" w:fill="FFFFFF"/>
            <w:vAlign w:val="center"/>
          </w:tcPr>
          <w:p w14:paraId="290255D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1.支持查看常规、追加、插播任务列表，查看各项任务发布信息和发布状态，支持重新发布和停止发布。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2.支持查看发布终端总数、发布成功数、发布失败数。</w:t>
            </w:r>
          </w:p>
        </w:tc>
      </w:tr>
      <w:tr w14:paraId="15D4C03A">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C5FCEC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w:t>
            </w:r>
          </w:p>
        </w:tc>
        <w:tc>
          <w:tcPr>
            <w:tcW w:w="383" w:type="pct"/>
            <w:vMerge w:val="continue"/>
            <w:tcBorders>
              <w:top w:val="nil"/>
              <w:left w:val="single" w:color="auto" w:sz="4" w:space="0"/>
              <w:bottom w:val="single" w:color="auto" w:sz="4" w:space="0"/>
              <w:right w:val="single" w:color="auto" w:sz="4" w:space="0"/>
            </w:tcBorders>
            <w:vAlign w:val="center"/>
          </w:tcPr>
          <w:p w14:paraId="2785250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565B8C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E42790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终端控制</w:t>
            </w:r>
          </w:p>
        </w:tc>
        <w:tc>
          <w:tcPr>
            <w:tcW w:w="3449" w:type="pct"/>
            <w:tcBorders>
              <w:top w:val="nil"/>
              <w:left w:val="nil"/>
              <w:bottom w:val="single" w:color="auto" w:sz="4" w:space="0"/>
              <w:right w:val="single" w:color="auto" w:sz="4" w:space="0"/>
            </w:tcBorders>
            <w:shd w:val="clear" w:color="000000" w:fill="FFFFFF"/>
            <w:vAlign w:val="center"/>
          </w:tcPr>
          <w:p w14:paraId="5B6AC5C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1.支持按照所属组织、所属分组展示终端列表。支持展示各设备当前播放节目的小图，支持节目截屏。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2.支持对终端开机、关机、插播、停止插播、定时开关失效等控制操作。</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3.支持配置终端参数。</w:t>
            </w:r>
          </w:p>
        </w:tc>
      </w:tr>
      <w:tr w14:paraId="21E97ACC">
        <w:tblPrEx>
          <w:tblCellMar>
            <w:top w:w="0" w:type="dxa"/>
            <w:left w:w="108" w:type="dxa"/>
            <w:bottom w:w="0" w:type="dxa"/>
            <w:right w:w="108" w:type="dxa"/>
          </w:tblCellMar>
        </w:tblPrEx>
        <w:trPr>
          <w:trHeight w:val="132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549C4D5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383" w:type="pct"/>
            <w:vMerge w:val="continue"/>
            <w:tcBorders>
              <w:top w:val="nil"/>
              <w:left w:val="single" w:color="auto" w:sz="4" w:space="0"/>
              <w:bottom w:val="single" w:color="auto" w:sz="4" w:space="0"/>
              <w:right w:val="single" w:color="auto" w:sz="4" w:space="0"/>
            </w:tcBorders>
            <w:vAlign w:val="center"/>
          </w:tcPr>
          <w:p w14:paraId="6DAA2F8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C47696B">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90889AF">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发布终端</w:t>
            </w:r>
          </w:p>
        </w:tc>
        <w:tc>
          <w:tcPr>
            <w:tcW w:w="3449" w:type="pct"/>
            <w:tcBorders>
              <w:top w:val="nil"/>
              <w:left w:val="nil"/>
              <w:bottom w:val="single" w:color="auto" w:sz="4" w:space="0"/>
              <w:right w:val="single" w:color="auto" w:sz="4" w:space="0"/>
            </w:tcBorders>
            <w:shd w:val="clear" w:color="000000" w:fill="FFFFFF"/>
            <w:vAlign w:val="center"/>
          </w:tcPr>
          <w:p w14:paraId="33AC3A0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1.支持按照所属组织、所属分组展示终端列表，并统计呈现终端设备总数、在线设备数量、离线设备数量、在线率、离线率。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2.支持展示终端设备名称、厂商类型、屏幕类型、设备分辨率、版本号、在线状态、ip地址、激活状态等信息。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3.支持添加、删除、批量导出、批量导入设备。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4.支持在地图上控制设备。</w:t>
            </w:r>
          </w:p>
        </w:tc>
      </w:tr>
      <w:tr w14:paraId="5FC286E5">
        <w:tblPrEx>
          <w:tblCellMar>
            <w:top w:w="0" w:type="dxa"/>
            <w:left w:w="108" w:type="dxa"/>
            <w:bottom w:w="0" w:type="dxa"/>
            <w:right w:w="108" w:type="dxa"/>
          </w:tblCellMar>
        </w:tblPrEx>
        <w:trPr>
          <w:trHeight w:val="132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FACEAC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383" w:type="pct"/>
            <w:vMerge w:val="continue"/>
            <w:tcBorders>
              <w:top w:val="nil"/>
              <w:left w:val="single" w:color="auto" w:sz="4" w:space="0"/>
              <w:bottom w:val="single" w:color="auto" w:sz="4" w:space="0"/>
              <w:right w:val="single" w:color="auto" w:sz="4" w:space="0"/>
            </w:tcBorders>
            <w:vAlign w:val="center"/>
          </w:tcPr>
          <w:p w14:paraId="20AB352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5FD411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E6D5681">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发布配置</w:t>
            </w:r>
          </w:p>
        </w:tc>
        <w:tc>
          <w:tcPr>
            <w:tcW w:w="3449" w:type="pct"/>
            <w:tcBorders>
              <w:top w:val="nil"/>
              <w:left w:val="nil"/>
              <w:bottom w:val="single" w:color="auto" w:sz="4" w:space="0"/>
              <w:right w:val="single" w:color="auto" w:sz="4" w:space="0"/>
            </w:tcBorders>
            <w:shd w:val="clear" w:color="000000" w:fill="FFFFFF"/>
            <w:vAlign w:val="center"/>
          </w:tcPr>
          <w:p w14:paraId="0FB74B4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1.支持天气服务配置，开启或关闭天气服务开关。</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2.支持审核配置，支持设置审核内容、审核流程。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3.支持存储配置、NTP服务配置。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4.支持场景配置，配置诱导屏、信息发布屏。支持信息发布屏系统、屏幕类型配置。支持诱导屏厂商配置。</w:t>
            </w:r>
          </w:p>
        </w:tc>
      </w:tr>
      <w:tr w14:paraId="15564067">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19B97D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w:t>
            </w:r>
          </w:p>
        </w:tc>
        <w:tc>
          <w:tcPr>
            <w:tcW w:w="383" w:type="pct"/>
            <w:vMerge w:val="continue"/>
            <w:tcBorders>
              <w:top w:val="nil"/>
              <w:left w:val="single" w:color="auto" w:sz="4" w:space="0"/>
              <w:bottom w:val="single" w:color="auto" w:sz="4" w:space="0"/>
              <w:right w:val="single" w:color="auto" w:sz="4" w:space="0"/>
            </w:tcBorders>
            <w:vAlign w:val="center"/>
          </w:tcPr>
          <w:p w14:paraId="486FE37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8F73AD6">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74F9C4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快速发布</w:t>
            </w:r>
          </w:p>
        </w:tc>
        <w:tc>
          <w:tcPr>
            <w:tcW w:w="3449" w:type="pct"/>
            <w:tcBorders>
              <w:top w:val="nil"/>
              <w:left w:val="nil"/>
              <w:bottom w:val="single" w:color="auto" w:sz="4" w:space="0"/>
              <w:right w:val="single" w:color="auto" w:sz="4" w:space="0"/>
            </w:tcBorders>
            <w:shd w:val="clear" w:color="000000" w:fill="FFFFFF"/>
            <w:vAlign w:val="center"/>
          </w:tcPr>
          <w:p w14:paraId="0B93E93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1.支持在一个界面内选择屏幕，编排内容，快速发布节目。</w:t>
            </w:r>
          </w:p>
        </w:tc>
      </w:tr>
      <w:tr w14:paraId="69043144">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4ED1F96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w:t>
            </w:r>
          </w:p>
        </w:tc>
        <w:tc>
          <w:tcPr>
            <w:tcW w:w="383" w:type="pct"/>
            <w:vMerge w:val="continue"/>
            <w:tcBorders>
              <w:top w:val="nil"/>
              <w:left w:val="single" w:color="auto" w:sz="4" w:space="0"/>
              <w:bottom w:val="single" w:color="auto" w:sz="4" w:space="0"/>
              <w:right w:val="single" w:color="auto" w:sz="4" w:space="0"/>
            </w:tcBorders>
            <w:vAlign w:val="center"/>
          </w:tcPr>
          <w:p w14:paraId="49EB802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1D913F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4BCECEF">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素材管理</w:t>
            </w:r>
          </w:p>
        </w:tc>
        <w:tc>
          <w:tcPr>
            <w:tcW w:w="3449" w:type="pct"/>
            <w:tcBorders>
              <w:top w:val="nil"/>
              <w:left w:val="nil"/>
              <w:bottom w:val="single" w:color="auto" w:sz="4" w:space="0"/>
              <w:right w:val="single" w:color="auto" w:sz="4" w:space="0"/>
            </w:tcBorders>
            <w:shd w:val="clear" w:color="000000" w:fill="FFFFFF"/>
            <w:vAlign w:val="center"/>
          </w:tcPr>
          <w:p w14:paraId="2953E84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1.支持添加信息发布静态素材（图片、文本、pdf、word、excel、ppt、静态网页）、动态素材（网页、视频直播、数据源）。支持对素材进行查询、编辑、删除、审核、下载、预览。素材</w:t>
            </w:r>
          </w:p>
        </w:tc>
      </w:tr>
      <w:tr w14:paraId="6921B75D">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57B9C9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w:t>
            </w:r>
          </w:p>
        </w:tc>
        <w:tc>
          <w:tcPr>
            <w:tcW w:w="383" w:type="pct"/>
            <w:vMerge w:val="continue"/>
            <w:tcBorders>
              <w:top w:val="nil"/>
              <w:left w:val="single" w:color="auto" w:sz="4" w:space="0"/>
              <w:bottom w:val="single" w:color="auto" w:sz="4" w:space="0"/>
              <w:right w:val="single" w:color="auto" w:sz="4" w:space="0"/>
            </w:tcBorders>
            <w:vAlign w:val="center"/>
          </w:tcPr>
          <w:p w14:paraId="74604F3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F2FFE59">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EF8705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节目管理</w:t>
            </w:r>
          </w:p>
        </w:tc>
        <w:tc>
          <w:tcPr>
            <w:tcW w:w="3449" w:type="pct"/>
            <w:tcBorders>
              <w:top w:val="nil"/>
              <w:left w:val="nil"/>
              <w:bottom w:val="single" w:color="auto" w:sz="4" w:space="0"/>
              <w:right w:val="single" w:color="auto" w:sz="4" w:space="0"/>
            </w:tcBorders>
            <w:shd w:val="clear" w:color="000000" w:fill="FFFFFF"/>
            <w:vAlign w:val="center"/>
          </w:tcPr>
          <w:p w14:paraId="118FC05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1.支持添加节目，在窗口中创建文字、图片、网页、多媒体等。支持查询、编辑、删除、审核节目。</w:t>
            </w:r>
          </w:p>
        </w:tc>
      </w:tr>
      <w:tr w14:paraId="055E91BB">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4D29CEB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w:t>
            </w:r>
          </w:p>
        </w:tc>
        <w:tc>
          <w:tcPr>
            <w:tcW w:w="383" w:type="pct"/>
            <w:vMerge w:val="continue"/>
            <w:tcBorders>
              <w:top w:val="nil"/>
              <w:left w:val="single" w:color="auto" w:sz="4" w:space="0"/>
              <w:bottom w:val="single" w:color="auto" w:sz="4" w:space="0"/>
              <w:right w:val="single" w:color="auto" w:sz="4" w:space="0"/>
            </w:tcBorders>
            <w:vAlign w:val="center"/>
          </w:tcPr>
          <w:p w14:paraId="3FD9A73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1C34D3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3BAF6A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日程管理</w:t>
            </w:r>
          </w:p>
        </w:tc>
        <w:tc>
          <w:tcPr>
            <w:tcW w:w="3449" w:type="pct"/>
            <w:tcBorders>
              <w:top w:val="nil"/>
              <w:left w:val="nil"/>
              <w:bottom w:val="single" w:color="auto" w:sz="4" w:space="0"/>
              <w:right w:val="single" w:color="auto" w:sz="4" w:space="0"/>
            </w:tcBorders>
            <w:shd w:val="clear" w:color="000000" w:fill="FFFFFF"/>
            <w:vAlign w:val="center"/>
          </w:tcPr>
          <w:p w14:paraId="5165934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1.支持添加、编辑、删除、审核、查询轮播日程。</w:t>
            </w:r>
          </w:p>
        </w:tc>
      </w:tr>
      <w:tr w14:paraId="60191208">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FAE111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w:t>
            </w:r>
          </w:p>
        </w:tc>
        <w:tc>
          <w:tcPr>
            <w:tcW w:w="383" w:type="pct"/>
            <w:vMerge w:val="continue"/>
            <w:tcBorders>
              <w:top w:val="nil"/>
              <w:left w:val="single" w:color="auto" w:sz="4" w:space="0"/>
              <w:bottom w:val="single" w:color="auto" w:sz="4" w:space="0"/>
              <w:right w:val="single" w:color="auto" w:sz="4" w:space="0"/>
            </w:tcBorders>
            <w:vAlign w:val="center"/>
          </w:tcPr>
          <w:p w14:paraId="6DA4609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8D6EBC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462C98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审核管理</w:t>
            </w:r>
          </w:p>
        </w:tc>
        <w:tc>
          <w:tcPr>
            <w:tcW w:w="3449" w:type="pct"/>
            <w:tcBorders>
              <w:top w:val="nil"/>
              <w:left w:val="nil"/>
              <w:bottom w:val="single" w:color="auto" w:sz="4" w:space="0"/>
              <w:right w:val="single" w:color="auto" w:sz="4" w:space="0"/>
            </w:tcBorders>
            <w:shd w:val="clear" w:color="000000" w:fill="FFFFFF"/>
            <w:vAlign w:val="center"/>
          </w:tcPr>
          <w:p w14:paraId="5FD577F3">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1.支持单个/批量素材、节目、日程的审核。</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2.支持待审核、全部状态（待审核和已审核两种状态）的审核列表的查看。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3.支持开启批量审核、关闭批量审核。支持对待审核的内容进行批量审核。</w:t>
            </w:r>
          </w:p>
        </w:tc>
      </w:tr>
      <w:tr w14:paraId="1363FF50">
        <w:tblPrEx>
          <w:tblCellMar>
            <w:top w:w="0" w:type="dxa"/>
            <w:left w:w="108" w:type="dxa"/>
            <w:bottom w:w="0" w:type="dxa"/>
            <w:right w:w="108" w:type="dxa"/>
          </w:tblCellMar>
        </w:tblPrEx>
        <w:trPr>
          <w:trHeight w:val="6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05430D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383" w:type="pct"/>
            <w:vMerge w:val="continue"/>
            <w:tcBorders>
              <w:top w:val="nil"/>
              <w:left w:val="single" w:color="auto" w:sz="4" w:space="0"/>
              <w:bottom w:val="single" w:color="auto" w:sz="4" w:space="0"/>
              <w:right w:val="single" w:color="auto" w:sz="4" w:space="0"/>
            </w:tcBorders>
            <w:vAlign w:val="center"/>
          </w:tcPr>
          <w:p w14:paraId="7788ADE6">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1F8881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75C575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发布管理</w:t>
            </w:r>
          </w:p>
        </w:tc>
        <w:tc>
          <w:tcPr>
            <w:tcW w:w="3449" w:type="pct"/>
            <w:tcBorders>
              <w:top w:val="nil"/>
              <w:left w:val="nil"/>
              <w:bottom w:val="single" w:color="auto" w:sz="4" w:space="0"/>
              <w:right w:val="single" w:color="auto" w:sz="4" w:space="0"/>
            </w:tcBorders>
            <w:shd w:val="clear" w:color="000000" w:fill="FFFFFF"/>
            <w:vAlign w:val="center"/>
          </w:tcPr>
          <w:p w14:paraId="70B3513F">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1.支持选择已创建的日程、生效时间、发布终端，点击确定即可创建发布计划。支持分类查看发布列表，支持查看某条发布计划的终端详情。支持取消发布、重新发布。</w:t>
            </w:r>
          </w:p>
        </w:tc>
      </w:tr>
      <w:tr w14:paraId="2AC68BB3">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5CDC84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383" w:type="pct"/>
            <w:vMerge w:val="continue"/>
            <w:tcBorders>
              <w:top w:val="nil"/>
              <w:left w:val="single" w:color="auto" w:sz="4" w:space="0"/>
              <w:bottom w:val="single" w:color="auto" w:sz="4" w:space="0"/>
              <w:right w:val="single" w:color="auto" w:sz="4" w:space="0"/>
            </w:tcBorders>
            <w:vAlign w:val="center"/>
          </w:tcPr>
          <w:p w14:paraId="0ADBCAD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2FB878B">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169674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终端监控</w:t>
            </w:r>
          </w:p>
        </w:tc>
        <w:tc>
          <w:tcPr>
            <w:tcW w:w="3449" w:type="pct"/>
            <w:tcBorders>
              <w:top w:val="nil"/>
              <w:left w:val="nil"/>
              <w:bottom w:val="single" w:color="auto" w:sz="4" w:space="0"/>
              <w:right w:val="single" w:color="auto" w:sz="4" w:space="0"/>
            </w:tcBorders>
            <w:shd w:val="clear" w:color="000000" w:fill="FFFFFF"/>
            <w:vAlign w:val="center"/>
          </w:tcPr>
          <w:p w14:paraId="59C115DB">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1.支持支持诱导屏开机、关机、插播节目、取消插播、停止插播、定时开关失效等终端控制操作。支持配置诱导屏基本参数，支持设置定时开机时段，支持设置日计划。</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2.支持展示当前诱导屏播放节目，支持节目截屏。</w:t>
            </w:r>
          </w:p>
        </w:tc>
      </w:tr>
      <w:tr w14:paraId="48CE5807">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DC5902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w:t>
            </w:r>
          </w:p>
        </w:tc>
        <w:tc>
          <w:tcPr>
            <w:tcW w:w="383" w:type="pct"/>
            <w:vMerge w:val="continue"/>
            <w:tcBorders>
              <w:top w:val="nil"/>
              <w:left w:val="single" w:color="auto" w:sz="4" w:space="0"/>
              <w:bottom w:val="single" w:color="auto" w:sz="4" w:space="0"/>
              <w:right w:val="single" w:color="auto" w:sz="4" w:space="0"/>
            </w:tcBorders>
            <w:vAlign w:val="center"/>
          </w:tcPr>
          <w:p w14:paraId="782798A3">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E56CF36">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A2C2014">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诱导屏管理</w:t>
            </w:r>
          </w:p>
        </w:tc>
        <w:tc>
          <w:tcPr>
            <w:tcW w:w="3449" w:type="pct"/>
            <w:tcBorders>
              <w:top w:val="nil"/>
              <w:left w:val="nil"/>
              <w:bottom w:val="single" w:color="auto" w:sz="4" w:space="0"/>
              <w:right w:val="single" w:color="auto" w:sz="4" w:space="0"/>
            </w:tcBorders>
            <w:shd w:val="clear" w:color="000000" w:fill="FFFFFF"/>
            <w:vAlign w:val="center"/>
          </w:tcPr>
          <w:p w14:paraId="32C9BE17">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1.支持通过录入诱导屏基本信息的方式，将诱导屏添加至平台，支持自动进行诱导屏信息同步。支持编辑、删除诱导屏。</w:t>
            </w:r>
          </w:p>
        </w:tc>
      </w:tr>
      <w:tr w14:paraId="7C019A4A">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1272AE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三</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057590E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数据集成软件平台</w:t>
            </w:r>
          </w:p>
        </w:tc>
      </w:tr>
      <w:tr w14:paraId="7ADB9C39">
        <w:tblPrEx>
          <w:tblCellMar>
            <w:top w:w="0" w:type="dxa"/>
            <w:left w:w="108" w:type="dxa"/>
            <w:bottom w:w="0" w:type="dxa"/>
            <w:right w:w="108" w:type="dxa"/>
          </w:tblCellMar>
        </w:tblPrEx>
        <w:trPr>
          <w:trHeight w:val="2280" w:hRule="atLeast"/>
        </w:trPr>
        <w:tc>
          <w:tcPr>
            <w:tcW w:w="303"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2D275695">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w:t>
            </w:r>
          </w:p>
        </w:tc>
        <w:tc>
          <w:tcPr>
            <w:tcW w:w="383" w:type="pct"/>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4853057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数据集成子系统</w:t>
            </w:r>
          </w:p>
        </w:tc>
        <w:tc>
          <w:tcPr>
            <w:tcW w:w="476" w:type="pct"/>
            <w:gridSpan w:val="2"/>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4672A8B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数据集成子系统</w:t>
            </w:r>
          </w:p>
        </w:tc>
        <w:tc>
          <w:tcPr>
            <w:tcW w:w="389" w:type="pct"/>
            <w:tcBorders>
              <w:top w:val="single" w:color="auto" w:sz="4" w:space="0"/>
              <w:left w:val="nil"/>
              <w:bottom w:val="single" w:color="auto" w:sz="4" w:space="0"/>
              <w:right w:val="single" w:color="auto" w:sz="4" w:space="0"/>
            </w:tcBorders>
            <w:shd w:val="clear" w:color="000000" w:fill="FFFFFF"/>
            <w:vAlign w:val="center"/>
          </w:tcPr>
          <w:p w14:paraId="4359930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数据集成基础包</w:t>
            </w:r>
          </w:p>
        </w:tc>
        <w:tc>
          <w:tcPr>
            <w:tcW w:w="3449" w:type="pct"/>
            <w:tcBorders>
              <w:top w:val="single" w:color="auto" w:sz="4" w:space="0"/>
              <w:left w:val="nil"/>
              <w:bottom w:val="single" w:color="auto" w:sz="4" w:space="0"/>
              <w:right w:val="single" w:color="auto" w:sz="4" w:space="0"/>
            </w:tcBorders>
            <w:shd w:val="clear" w:color="000000" w:fill="FFFFFF"/>
            <w:vAlign w:val="center"/>
          </w:tcPr>
          <w:p w14:paraId="7C329E05">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数据集成任务管理，包括查询、新建、修改等操作。支持按照关键字搜索和多条件组合查询任务列表，浏览任务信息，包括任务名称、运行状态、增量激活状态、策略激活时间、节点数、创建人和创建时间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2.支持按用户名、操作类型、操作状态、开始时间、结束时间等条件筛选查看操作日志。</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3.支持定义告警策略，包括数据集成任务运行异常、增量异常、数据断流、数据加载异常、插件运行异常、运行环境异常等，同时支持设置告警级别。</w:t>
            </w:r>
          </w:p>
        </w:tc>
      </w:tr>
      <w:tr w14:paraId="0244A8AB">
        <w:tblPrEx>
          <w:tblCellMar>
            <w:top w:w="0" w:type="dxa"/>
            <w:left w:w="108" w:type="dxa"/>
            <w:bottom w:w="0" w:type="dxa"/>
            <w:right w:w="108" w:type="dxa"/>
          </w:tblCellMar>
        </w:tblPrEx>
        <w:trPr>
          <w:trHeight w:val="2640" w:hRule="atLeast"/>
        </w:trPr>
        <w:tc>
          <w:tcPr>
            <w:tcW w:w="303" w:type="pct"/>
            <w:gridSpan w:val="2"/>
            <w:tcBorders>
              <w:top w:val="nil"/>
              <w:left w:val="single" w:color="auto" w:sz="4" w:space="0"/>
              <w:bottom w:val="single" w:color="auto" w:sz="4" w:space="0"/>
              <w:right w:val="single" w:color="auto" w:sz="4" w:space="0"/>
            </w:tcBorders>
            <w:shd w:val="clear" w:color="000000" w:fill="FFFFFF"/>
            <w:vAlign w:val="center"/>
          </w:tcPr>
          <w:p w14:paraId="7B7EBF9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2</w:t>
            </w:r>
          </w:p>
        </w:tc>
        <w:tc>
          <w:tcPr>
            <w:tcW w:w="383" w:type="pct"/>
            <w:vMerge w:val="continue"/>
            <w:tcBorders>
              <w:top w:val="single" w:color="auto" w:sz="4" w:space="0"/>
              <w:left w:val="single" w:color="auto" w:sz="4" w:space="0"/>
              <w:bottom w:val="single" w:color="000000" w:sz="4" w:space="0"/>
              <w:right w:val="single" w:color="auto" w:sz="4" w:space="0"/>
            </w:tcBorders>
            <w:vAlign w:val="center"/>
          </w:tcPr>
          <w:p w14:paraId="46F5BDB1">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single" w:color="auto" w:sz="4" w:space="0"/>
              <w:left w:val="single" w:color="auto" w:sz="4" w:space="0"/>
              <w:bottom w:val="single" w:color="000000" w:sz="4" w:space="0"/>
              <w:right w:val="single" w:color="auto" w:sz="4" w:space="0"/>
            </w:tcBorders>
            <w:vAlign w:val="center"/>
          </w:tcPr>
          <w:p w14:paraId="57F32CB6">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93E1FA5">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视图数据级联        </w:t>
            </w:r>
          </w:p>
        </w:tc>
        <w:tc>
          <w:tcPr>
            <w:tcW w:w="3449" w:type="pct"/>
            <w:tcBorders>
              <w:top w:val="nil"/>
              <w:left w:val="nil"/>
              <w:bottom w:val="single" w:color="auto" w:sz="4" w:space="0"/>
              <w:right w:val="single" w:color="auto" w:sz="4" w:space="0"/>
            </w:tcBorders>
            <w:shd w:val="clear" w:color="000000" w:fill="FFFFFF"/>
            <w:vAlign w:val="center"/>
          </w:tcPr>
          <w:p w14:paraId="6445B60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1.支持通过GA/T 1400及扩展协议级联人体、人脸、车辆、设备、车辆违法、非机动车等数据。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2.支持上下级视图库进行注册、保活，支持查看上下级在线情况。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3.支持订阅、取消订阅和修改订阅时间。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4.支持多个下级视图库的联网接入。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5.支持联网接入多个上级视图库。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6.支持设置人脸、人体、车辆、非机动车、违法过车等数据的过滤和填充规则，下级视图库根据规则将数据级联到上级视图库。</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 7.支持以采集接口方式接收下级推送的采集设备，人脸采集数据，车辆采集数据和人体采集数据。</w:t>
            </w:r>
          </w:p>
        </w:tc>
      </w:tr>
      <w:tr w14:paraId="55FA10EE">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72BEA29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四</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57F01B7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交通综合管控平台</w:t>
            </w:r>
          </w:p>
        </w:tc>
      </w:tr>
      <w:tr w14:paraId="0C6C1F92">
        <w:tblPrEx>
          <w:tblCellMar>
            <w:top w:w="0" w:type="dxa"/>
            <w:left w:w="108" w:type="dxa"/>
            <w:bottom w:w="0" w:type="dxa"/>
            <w:right w:w="108" w:type="dxa"/>
          </w:tblCellMar>
        </w:tblPrEx>
        <w:trPr>
          <w:trHeight w:val="330" w:hRule="atLeast"/>
        </w:trPr>
        <w:tc>
          <w:tcPr>
            <w:tcW w:w="170" w:type="pct"/>
            <w:tcBorders>
              <w:top w:val="single" w:color="auto" w:sz="4" w:space="0"/>
              <w:left w:val="single" w:color="auto" w:sz="4" w:space="0"/>
              <w:bottom w:val="single" w:color="auto" w:sz="4" w:space="0"/>
              <w:right w:val="single" w:color="auto" w:sz="4" w:space="0"/>
            </w:tcBorders>
            <w:shd w:val="clear" w:color="auto" w:fill="auto"/>
            <w:vAlign w:val="center"/>
          </w:tcPr>
          <w:p w14:paraId="49164F81">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w:t>
            </w:r>
          </w:p>
        </w:tc>
        <w:tc>
          <w:tcPr>
            <w:tcW w:w="542" w:type="pct"/>
            <w:gridSpan w:val="3"/>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253CFC8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交通综合管控平台</w:t>
            </w:r>
          </w:p>
        </w:tc>
        <w:tc>
          <w:tcPr>
            <w:tcW w:w="45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24076D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系统管理</w:t>
            </w:r>
          </w:p>
        </w:tc>
        <w:tc>
          <w:tcPr>
            <w:tcW w:w="389" w:type="pct"/>
            <w:tcBorders>
              <w:top w:val="single" w:color="auto" w:sz="4" w:space="0"/>
              <w:left w:val="nil"/>
              <w:bottom w:val="single" w:color="auto" w:sz="4" w:space="0"/>
              <w:right w:val="single" w:color="auto" w:sz="4" w:space="0"/>
            </w:tcBorders>
            <w:shd w:val="clear" w:color="auto" w:fill="auto"/>
            <w:vAlign w:val="center"/>
          </w:tcPr>
          <w:p w14:paraId="23FA7FA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部门管理</w:t>
            </w:r>
          </w:p>
        </w:tc>
        <w:tc>
          <w:tcPr>
            <w:tcW w:w="3449" w:type="pct"/>
            <w:tcBorders>
              <w:top w:val="single" w:color="auto" w:sz="4" w:space="0"/>
              <w:left w:val="nil"/>
              <w:bottom w:val="single" w:color="auto" w:sz="4" w:space="0"/>
              <w:right w:val="single" w:color="auto" w:sz="4" w:space="0"/>
            </w:tcBorders>
            <w:shd w:val="clear" w:color="auto" w:fill="auto"/>
            <w:vAlign w:val="center"/>
          </w:tcPr>
          <w:p w14:paraId="31AA360A">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支持组织的新增、编辑、移动、批量添加和导入导出</w:t>
            </w:r>
          </w:p>
        </w:tc>
      </w:tr>
      <w:tr w14:paraId="31D9BF1E">
        <w:tblPrEx>
          <w:tblCellMar>
            <w:top w:w="0" w:type="dxa"/>
            <w:left w:w="108" w:type="dxa"/>
            <w:bottom w:w="0" w:type="dxa"/>
            <w:right w:w="108" w:type="dxa"/>
          </w:tblCellMar>
        </w:tblPrEx>
        <w:trPr>
          <w:trHeight w:val="165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DA9A674">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0470645D">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6D6295C9">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0E6934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权限管理</w:t>
            </w:r>
          </w:p>
        </w:tc>
        <w:tc>
          <w:tcPr>
            <w:tcW w:w="3449" w:type="pct"/>
            <w:tcBorders>
              <w:top w:val="nil"/>
              <w:left w:val="nil"/>
              <w:bottom w:val="single" w:color="auto" w:sz="4" w:space="0"/>
              <w:right w:val="single" w:color="auto" w:sz="4" w:space="0"/>
            </w:tcBorders>
            <w:shd w:val="clear" w:color="auto" w:fill="auto"/>
            <w:vAlign w:val="center"/>
          </w:tcPr>
          <w:p w14:paraId="4E904461">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1、支持查看角色列表；</w:t>
            </w:r>
          </w:p>
          <w:p w14:paraId="7AA8EFF2">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2、支持角色的删除、启用、禁用、克隆以及分配；</w:t>
            </w:r>
          </w:p>
          <w:p w14:paraId="50F50E2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3、支持在应用中心以及系统管理中分别添加/编辑角色基本信息，其中角色名称必填；</w:t>
            </w:r>
          </w:p>
          <w:p w14:paraId="3E95AB61">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4、支持系统管理中的管理角色配置用户权限管理各菜单或者功能项</w:t>
            </w:r>
          </w:p>
        </w:tc>
      </w:tr>
      <w:tr w14:paraId="1F906352">
        <w:tblPrEx>
          <w:tblCellMar>
            <w:top w:w="0" w:type="dxa"/>
            <w:left w:w="108" w:type="dxa"/>
            <w:bottom w:w="0" w:type="dxa"/>
            <w:right w:w="108" w:type="dxa"/>
          </w:tblCellMar>
        </w:tblPrEx>
        <w:trPr>
          <w:trHeight w:val="56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61EE87DC">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3</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4356CE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0C11F7E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44E688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目录管理</w:t>
            </w:r>
          </w:p>
        </w:tc>
        <w:tc>
          <w:tcPr>
            <w:tcW w:w="3449" w:type="pct"/>
            <w:tcBorders>
              <w:top w:val="nil"/>
              <w:left w:val="nil"/>
              <w:bottom w:val="single" w:color="auto" w:sz="4" w:space="0"/>
              <w:right w:val="single" w:color="auto" w:sz="4" w:space="0"/>
            </w:tcBorders>
            <w:shd w:val="clear" w:color="auto" w:fill="auto"/>
            <w:vAlign w:val="center"/>
          </w:tcPr>
          <w:p w14:paraId="7EF54DBE">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支持查看目录的名称信息，并支持修改选定目录的名称;</w:t>
            </w:r>
          </w:p>
          <w:p w14:paraId="3B0FBE63">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支持根据区域业务属性添加区域标签</w:t>
            </w:r>
          </w:p>
          <w:p w14:paraId="2FBC4995">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支持在选定目录下新建、删除、编辑次级国标区域或自定义区域；新建国标区域时默认创建其上级区域</w:t>
            </w:r>
          </w:p>
          <w:p w14:paraId="69987EDD">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支持根据模板批量导入基础目录及基层单位</w:t>
            </w:r>
          </w:p>
          <w:p w14:paraId="082FDF04">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支持基础目录数据导出</w:t>
            </w:r>
          </w:p>
          <w:p w14:paraId="45D1BE48">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支持修改次级区域排序</w:t>
            </w:r>
          </w:p>
          <w:p w14:paraId="42EDEA3F">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支持自定义新建及修改目录的名称、关联资源类型、关联目录标识;</w:t>
            </w:r>
          </w:p>
          <w:p w14:paraId="0F176FC0">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支持根据区域业务属性添加区域标签;</w:t>
            </w:r>
          </w:p>
          <w:p w14:paraId="7EB99784">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支持将创建的目录关联到特定应用中，使得该目录树可在所选关联应用中使用;</w:t>
            </w:r>
          </w:p>
          <w:p w14:paraId="56625CE9">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支持查看目录的名称、关联资源类型及关联树标识等属性信息;</w:t>
            </w:r>
          </w:p>
          <w:p w14:paraId="41B2EC25">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支持在选定目录下新建、删除、编辑次级区域;</w:t>
            </w:r>
          </w:p>
          <w:p w14:paraId="2B26F2D4">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自定义目录中区域编码长度要求20位</w:t>
            </w:r>
          </w:p>
          <w:p w14:paraId="7F645FE2">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支持修改次级区域排序</w:t>
            </w:r>
          </w:p>
          <w:p w14:paraId="02E78CC4">
            <w:pPr>
              <w:pStyle w:val="5"/>
              <w:widowControl/>
              <w:numPr>
                <w:ilvl w:val="0"/>
                <w:numId w:val="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支持修改区域名称、区域编号及添加区域标签</w:t>
            </w:r>
          </w:p>
        </w:tc>
      </w:tr>
      <w:tr w14:paraId="0A3B8C13">
        <w:tblPrEx>
          <w:tblCellMar>
            <w:top w:w="0" w:type="dxa"/>
            <w:left w:w="108" w:type="dxa"/>
            <w:bottom w:w="0" w:type="dxa"/>
            <w:right w:w="108" w:type="dxa"/>
          </w:tblCellMar>
        </w:tblPrEx>
        <w:trPr>
          <w:trHeight w:val="208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43C685BE">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4</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FD35DD1">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76F2EA14">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C2AD7F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门户管理</w:t>
            </w:r>
          </w:p>
        </w:tc>
        <w:tc>
          <w:tcPr>
            <w:tcW w:w="3449" w:type="pct"/>
            <w:tcBorders>
              <w:top w:val="nil"/>
              <w:left w:val="nil"/>
              <w:bottom w:val="single" w:color="auto" w:sz="4" w:space="0"/>
              <w:right w:val="single" w:color="auto" w:sz="4" w:space="0"/>
            </w:tcBorders>
            <w:shd w:val="clear" w:color="auto" w:fill="auto"/>
            <w:vAlign w:val="center"/>
          </w:tcPr>
          <w:p w14:paraId="17C28839">
            <w:pPr>
              <w:pStyle w:val="5"/>
              <w:widowControl/>
              <w:numPr>
                <w:ilvl w:val="0"/>
                <w:numId w:val="5"/>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支持用户将个人常用的应用菜单加入到快捷入口栏中，方便用户快速打开相关常用应用；快捷入口支持拖动排序，支持鼠标悬停分类展示系统菜单，并支持快速打开对应应用。</w:t>
            </w:r>
          </w:p>
          <w:p w14:paraId="2565CDEB">
            <w:pPr>
              <w:pStyle w:val="5"/>
              <w:widowControl/>
              <w:numPr>
                <w:ilvl w:val="0"/>
                <w:numId w:val="5"/>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支持下载使用系统所需要的插件，包括平台播放器、上传工具、标注工具、报警助手、登录助手、下载器、截图工具等。</w:t>
            </w:r>
          </w:p>
          <w:p w14:paraId="18D68E07">
            <w:pPr>
              <w:pStyle w:val="5"/>
              <w:widowControl/>
              <w:numPr>
                <w:ilvl w:val="0"/>
                <w:numId w:val="5"/>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显示系统名称、型号、版本、授权信息等信息</w:t>
            </w:r>
          </w:p>
          <w:p w14:paraId="770FD913">
            <w:pPr>
              <w:pStyle w:val="5"/>
              <w:widowControl/>
              <w:numPr>
                <w:ilvl w:val="0"/>
                <w:numId w:val="5"/>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支持显示系统帮助文档</w:t>
            </w:r>
          </w:p>
          <w:p w14:paraId="66D18BA2">
            <w:pPr>
              <w:pStyle w:val="5"/>
              <w:widowControl/>
              <w:numPr>
                <w:ilvl w:val="0"/>
                <w:numId w:val="5"/>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支持首页的菜单按照分类或者平铺的方式展示</w:t>
            </w:r>
          </w:p>
        </w:tc>
      </w:tr>
      <w:tr w14:paraId="2EB74B7C">
        <w:tblPrEx>
          <w:tblCellMar>
            <w:top w:w="0" w:type="dxa"/>
            <w:left w:w="108" w:type="dxa"/>
            <w:bottom w:w="0" w:type="dxa"/>
            <w:right w:w="108" w:type="dxa"/>
          </w:tblCellMar>
        </w:tblPrEx>
        <w:trPr>
          <w:trHeight w:val="297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667C2390">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5</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267B70B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66071C3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F8F361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通道管理</w:t>
            </w:r>
          </w:p>
        </w:tc>
        <w:tc>
          <w:tcPr>
            <w:tcW w:w="3449" w:type="pct"/>
            <w:tcBorders>
              <w:top w:val="nil"/>
              <w:left w:val="nil"/>
              <w:bottom w:val="single" w:color="auto" w:sz="4" w:space="0"/>
              <w:right w:val="single" w:color="auto" w:sz="4" w:space="0"/>
            </w:tcBorders>
            <w:shd w:val="clear" w:color="auto" w:fill="auto"/>
            <w:vAlign w:val="center"/>
          </w:tcPr>
          <w:p w14:paraId="56538879">
            <w:pPr>
              <w:pStyle w:val="5"/>
              <w:widowControl/>
              <w:numPr>
                <w:ilvl w:val="0"/>
                <w:numId w:val="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支持批量添加选中区域及其上级区域的编码设备中的监控点</w:t>
            </w:r>
          </w:p>
          <w:p w14:paraId="44D5C63A">
            <w:pPr>
              <w:pStyle w:val="5"/>
              <w:widowControl/>
              <w:numPr>
                <w:ilvl w:val="0"/>
                <w:numId w:val="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支持通过导入导出经纬度功能，批量修改监控点经纬度信息</w:t>
            </w:r>
          </w:p>
          <w:p w14:paraId="5FA9C164">
            <w:pPr>
              <w:pStyle w:val="5"/>
              <w:widowControl/>
              <w:numPr>
                <w:ilvl w:val="0"/>
                <w:numId w:val="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支持批量更改监控点所属区域及批量删除监控点，支持修改监控点排序，支持根据名称或ip模糊搜索监控点</w:t>
            </w:r>
          </w:p>
          <w:p w14:paraId="181E3409">
            <w:pPr>
              <w:pStyle w:val="5"/>
              <w:widowControl/>
              <w:numPr>
                <w:ilvl w:val="0"/>
                <w:numId w:val="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支持列表展示选中区域下的监控点信息，包括监控点名称、传输协议、所属设备、IP地址、端口及通道号等</w:t>
            </w:r>
          </w:p>
          <w:p w14:paraId="3FCDB8CC">
            <w:pPr>
              <w:pStyle w:val="5"/>
              <w:widowControl/>
              <w:numPr>
                <w:ilvl w:val="0"/>
                <w:numId w:val="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支持查看、编辑监控点基本信息、能力集信息、音视频信息及类型信息，支持针对监控点添加标签</w:t>
            </w:r>
          </w:p>
          <w:p w14:paraId="517445DF">
            <w:pPr>
              <w:pStyle w:val="5"/>
              <w:widowControl/>
              <w:numPr>
                <w:ilvl w:val="0"/>
                <w:numId w:val="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支持手动输入经纬度信息或地图定位方式标注监控点位置</w:t>
            </w:r>
          </w:p>
          <w:p w14:paraId="7D140D68">
            <w:pPr>
              <w:pStyle w:val="5"/>
              <w:widowControl/>
              <w:numPr>
                <w:ilvl w:val="0"/>
                <w:numId w:val="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支持级联点位标签设置</w:t>
            </w:r>
          </w:p>
          <w:p w14:paraId="6D99FE48">
            <w:pPr>
              <w:pStyle w:val="5"/>
              <w:widowControl/>
              <w:numPr>
                <w:ilvl w:val="0"/>
                <w:numId w:val="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支持osd信息叠加配置，支持osd全局配置，包括监控点名称、时间的显示隐藏，以及位置配置。</w:t>
            </w:r>
          </w:p>
          <w:p w14:paraId="4B18BA9C">
            <w:pPr>
              <w:pStyle w:val="5"/>
              <w:widowControl/>
              <w:numPr>
                <w:ilvl w:val="0"/>
                <w:numId w:val="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系统支持展示已添加点位的通道信息，支持按通道名称、所属设备、IP地址、电围编号等进行查询。</w:t>
            </w:r>
          </w:p>
        </w:tc>
      </w:tr>
      <w:tr w14:paraId="1CA2C97A">
        <w:tblPrEx>
          <w:tblCellMar>
            <w:top w:w="0" w:type="dxa"/>
            <w:left w:w="108" w:type="dxa"/>
            <w:bottom w:w="0" w:type="dxa"/>
            <w:right w:w="108" w:type="dxa"/>
          </w:tblCellMar>
        </w:tblPrEx>
        <w:trPr>
          <w:trHeight w:val="380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2F09B21">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6</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CA43E6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7C951FA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CE6639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卡口管理</w:t>
            </w:r>
          </w:p>
        </w:tc>
        <w:tc>
          <w:tcPr>
            <w:tcW w:w="3449" w:type="pct"/>
            <w:tcBorders>
              <w:top w:val="nil"/>
              <w:left w:val="nil"/>
              <w:bottom w:val="single" w:color="auto" w:sz="4" w:space="0"/>
              <w:right w:val="single" w:color="auto" w:sz="4" w:space="0"/>
            </w:tcBorders>
            <w:shd w:val="clear" w:color="auto" w:fill="auto"/>
            <w:vAlign w:val="center"/>
          </w:tcPr>
          <w:p w14:paraId="2DC96613">
            <w:pPr>
              <w:pStyle w:val="5"/>
              <w:widowControl/>
              <w:numPr>
                <w:ilvl w:val="0"/>
                <w:numId w:val="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支持列表展示所选区域下的卡口信息，包括所属区域、卡口编号、使用类型、前端类型、出入城类型、级联状态、经纬度、治理状态及车道数等信息</w:t>
            </w:r>
          </w:p>
          <w:p w14:paraId="1AD283A6">
            <w:pPr>
              <w:pStyle w:val="5"/>
              <w:widowControl/>
              <w:numPr>
                <w:ilvl w:val="0"/>
                <w:numId w:val="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支持添加卡口，并支持编辑卡口基本信息，支持针对卡口添加标签</w:t>
            </w:r>
          </w:p>
          <w:p w14:paraId="548E52DC">
            <w:pPr>
              <w:pStyle w:val="5"/>
              <w:widowControl/>
              <w:numPr>
                <w:ilvl w:val="0"/>
                <w:numId w:val="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支持从所选择区域及其上级区域监控点中添加抓拍通道信息</w:t>
            </w:r>
          </w:p>
          <w:p w14:paraId="0CEA07CC">
            <w:pPr>
              <w:pStyle w:val="5"/>
              <w:widowControl/>
              <w:numPr>
                <w:ilvl w:val="0"/>
                <w:numId w:val="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支持手动输入卡口经纬度信息或通过地图定位方式标注卡口位置</w:t>
            </w:r>
          </w:p>
          <w:p w14:paraId="295B14A1">
            <w:pPr>
              <w:pStyle w:val="5"/>
              <w:widowControl/>
              <w:numPr>
                <w:ilvl w:val="0"/>
                <w:numId w:val="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支持配置卡口车道信息，包括车道方向、名称以及城际卡口出入城方向标识</w:t>
            </w:r>
          </w:p>
          <w:p w14:paraId="3207DB2D">
            <w:pPr>
              <w:pStyle w:val="5"/>
              <w:widowControl/>
              <w:numPr>
                <w:ilvl w:val="0"/>
                <w:numId w:val="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支持卡口数据导入导出及城际卡口信息下发</w:t>
            </w:r>
          </w:p>
          <w:p w14:paraId="58816465">
            <w:pPr>
              <w:pStyle w:val="5"/>
              <w:widowControl/>
              <w:numPr>
                <w:ilvl w:val="0"/>
                <w:numId w:val="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支持批量删除卡口</w:t>
            </w:r>
          </w:p>
          <w:p w14:paraId="62C21D3F">
            <w:pPr>
              <w:pStyle w:val="5"/>
              <w:widowControl/>
              <w:numPr>
                <w:ilvl w:val="0"/>
                <w:numId w:val="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城际卡口下发支持出入城下发</w:t>
            </w:r>
          </w:p>
          <w:p w14:paraId="25B521C4">
            <w:pPr>
              <w:pStyle w:val="5"/>
              <w:widowControl/>
              <w:numPr>
                <w:ilvl w:val="0"/>
                <w:numId w:val="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支持卡口自定义扩展卡口属性、方向属性、车道属性、卡口前端类型、车道关联的资源类型</w:t>
            </w:r>
          </w:p>
          <w:p w14:paraId="172DAF44">
            <w:pPr>
              <w:pStyle w:val="5"/>
              <w:widowControl/>
              <w:numPr>
                <w:ilvl w:val="0"/>
                <w:numId w:val="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支持方向车道模板配置</w:t>
            </w:r>
          </w:p>
        </w:tc>
      </w:tr>
      <w:tr w14:paraId="07E2FB77">
        <w:tblPrEx>
          <w:tblCellMar>
            <w:top w:w="0" w:type="dxa"/>
            <w:left w:w="108" w:type="dxa"/>
            <w:bottom w:w="0" w:type="dxa"/>
            <w:right w:w="108" w:type="dxa"/>
          </w:tblCellMar>
        </w:tblPrEx>
        <w:trPr>
          <w:trHeight w:val="33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6061C371">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7</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85FB52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69823E0A">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A39B5E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设备管理</w:t>
            </w:r>
          </w:p>
        </w:tc>
        <w:tc>
          <w:tcPr>
            <w:tcW w:w="3449" w:type="pct"/>
            <w:tcBorders>
              <w:top w:val="nil"/>
              <w:left w:val="nil"/>
              <w:bottom w:val="single" w:color="auto" w:sz="4" w:space="0"/>
              <w:right w:val="single" w:color="auto" w:sz="4" w:space="0"/>
            </w:tcBorders>
            <w:shd w:val="clear" w:color="auto" w:fill="auto"/>
            <w:vAlign w:val="center"/>
          </w:tcPr>
          <w:p w14:paraId="2C2A4702">
            <w:pPr>
              <w:pStyle w:val="5"/>
              <w:widowControl/>
              <w:numPr>
                <w:ilvl w:val="0"/>
                <w:numId w:val="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支持依据模板批量导入编码设备，及编码设备数据导出</w:t>
            </w:r>
          </w:p>
          <w:p w14:paraId="323AC9B5">
            <w:pPr>
              <w:pStyle w:val="5"/>
              <w:widowControl/>
              <w:numPr>
                <w:ilvl w:val="0"/>
                <w:numId w:val="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支持编辑及同步编码设备信息</w:t>
            </w:r>
          </w:p>
          <w:p w14:paraId="0A8D75D4">
            <w:pPr>
              <w:pStyle w:val="5"/>
              <w:widowControl/>
              <w:numPr>
                <w:ilvl w:val="0"/>
                <w:numId w:val="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支持在选定区域下手动添加编码设备，支持单IP添加、IP段添加、单编号添加及编号段添加等多种方式</w:t>
            </w:r>
          </w:p>
          <w:p w14:paraId="66F86077">
            <w:pPr>
              <w:pStyle w:val="5"/>
              <w:widowControl/>
              <w:numPr>
                <w:ilvl w:val="0"/>
                <w:numId w:val="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支持针对编码设备添加标签</w:t>
            </w:r>
          </w:p>
          <w:p w14:paraId="4452C7E0">
            <w:pPr>
              <w:pStyle w:val="5"/>
              <w:widowControl/>
              <w:numPr>
                <w:ilvl w:val="0"/>
                <w:numId w:val="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支持列表展示选中区域下的编码设备信息，包括所属区域、设备接入协议、设备编号、设备型号、IP地址及端口号、密码强度、视频通道数、报警通道数、能力集状态、数据接入协议、数据接入协议状态</w:t>
            </w:r>
          </w:p>
          <w:p w14:paraId="4D8449D7">
            <w:pPr>
              <w:pStyle w:val="5"/>
              <w:widowControl/>
              <w:numPr>
                <w:ilvl w:val="0"/>
                <w:numId w:val="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提供编码设备的增、删、改接口，支持批量操作  </w:t>
            </w:r>
          </w:p>
          <w:p w14:paraId="61AACFE0">
            <w:pPr>
              <w:pStyle w:val="5"/>
              <w:widowControl/>
              <w:numPr>
                <w:ilvl w:val="0"/>
                <w:numId w:val="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支持厂商和设备接入协议联动</w:t>
            </w:r>
          </w:p>
          <w:p w14:paraId="0E953227">
            <w:pPr>
              <w:pStyle w:val="5"/>
              <w:widowControl/>
              <w:numPr>
                <w:ilvl w:val="0"/>
                <w:numId w:val="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支持数据接入协议配置</w:t>
            </w:r>
          </w:p>
        </w:tc>
      </w:tr>
      <w:tr w14:paraId="31915CE7">
        <w:tblPrEx>
          <w:tblCellMar>
            <w:top w:w="0" w:type="dxa"/>
            <w:left w:w="108" w:type="dxa"/>
            <w:bottom w:w="0" w:type="dxa"/>
            <w:right w:w="108" w:type="dxa"/>
          </w:tblCellMar>
        </w:tblPrEx>
        <w:trPr>
          <w:trHeight w:val="225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F4D95D6">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8</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FA7A3E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4696964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324798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用户管理</w:t>
            </w:r>
          </w:p>
        </w:tc>
        <w:tc>
          <w:tcPr>
            <w:tcW w:w="3449" w:type="pct"/>
            <w:tcBorders>
              <w:top w:val="nil"/>
              <w:left w:val="nil"/>
              <w:bottom w:val="single" w:color="auto" w:sz="4" w:space="0"/>
              <w:right w:val="single" w:color="auto" w:sz="4" w:space="0"/>
            </w:tcBorders>
            <w:shd w:val="clear" w:color="auto" w:fill="auto"/>
            <w:vAlign w:val="center"/>
          </w:tcPr>
          <w:p w14:paraId="221D9AF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1.支持新增、启用、停用用户；</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2.支持充重置密码支持；</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3.支持查看用户列表以及其列表下用户信息；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4.支持单个或批量启用或禁用用户；</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5.支持导入、导出用户信息；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6.支持编辑用户身份、权限以及登录认证信息；</w:t>
            </w:r>
          </w:p>
        </w:tc>
      </w:tr>
      <w:tr w14:paraId="0C2C93A3">
        <w:tblPrEx>
          <w:tblCellMar>
            <w:top w:w="0" w:type="dxa"/>
            <w:left w:w="108" w:type="dxa"/>
            <w:bottom w:w="0" w:type="dxa"/>
            <w:right w:w="108" w:type="dxa"/>
          </w:tblCellMar>
        </w:tblPrEx>
        <w:trPr>
          <w:trHeight w:val="23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FBD3890">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9</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242E761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3853978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视频级联</w:t>
            </w:r>
          </w:p>
        </w:tc>
        <w:tc>
          <w:tcPr>
            <w:tcW w:w="389" w:type="pct"/>
            <w:tcBorders>
              <w:top w:val="nil"/>
              <w:left w:val="nil"/>
              <w:bottom w:val="single" w:color="auto" w:sz="4" w:space="0"/>
              <w:right w:val="single" w:color="auto" w:sz="4" w:space="0"/>
            </w:tcBorders>
            <w:shd w:val="clear" w:color="auto" w:fill="auto"/>
            <w:vAlign w:val="center"/>
          </w:tcPr>
          <w:p w14:paraId="68F37AD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视频级联</w:t>
            </w:r>
          </w:p>
        </w:tc>
        <w:tc>
          <w:tcPr>
            <w:tcW w:w="3449" w:type="pct"/>
            <w:tcBorders>
              <w:top w:val="nil"/>
              <w:left w:val="nil"/>
              <w:bottom w:val="single" w:color="auto" w:sz="4" w:space="0"/>
              <w:right w:val="single" w:color="auto" w:sz="4" w:space="0"/>
            </w:tcBorders>
            <w:shd w:val="clear" w:color="auto" w:fill="auto"/>
            <w:vAlign w:val="center"/>
          </w:tcPr>
          <w:p w14:paraId="5106A634">
            <w:pPr>
              <w:pStyle w:val="5"/>
              <w:widowControl/>
              <w:numPr>
                <w:ilvl w:val="0"/>
                <w:numId w:val="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为视频监控业务提供级联服务，在平台间进行视频联网，基于视频通用标准协议（GB/T28181-2011,GB/T28181-2016,GB/T28181-2022）与外域平台互联互通，实现上级平台对下级平台视频资源点位的操作控制。</w:t>
            </w:r>
          </w:p>
          <w:p w14:paraId="6D64ABC9">
            <w:pPr>
              <w:pStyle w:val="5"/>
              <w:widowControl/>
              <w:numPr>
                <w:ilvl w:val="0"/>
                <w:numId w:val="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支持视频级联预览；</w:t>
            </w:r>
          </w:p>
          <w:p w14:paraId="475996E3">
            <w:pPr>
              <w:pStyle w:val="5"/>
              <w:widowControl/>
              <w:numPr>
                <w:ilvl w:val="0"/>
                <w:numId w:val="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支持视频录像级联回放；</w:t>
            </w:r>
          </w:p>
          <w:p w14:paraId="45802AEC">
            <w:pPr>
              <w:pStyle w:val="5"/>
              <w:widowControl/>
              <w:numPr>
                <w:ilvl w:val="0"/>
                <w:numId w:val="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支持对级联点位进行录像检查；</w:t>
            </w:r>
          </w:p>
          <w:p w14:paraId="7AEA9612">
            <w:pPr>
              <w:pStyle w:val="5"/>
              <w:widowControl/>
              <w:numPr>
                <w:ilvl w:val="0"/>
                <w:numId w:val="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支持诊断图片查看、本级及级联点位图像重巡；</w:t>
            </w:r>
          </w:p>
          <w:p w14:paraId="6B19587C">
            <w:pPr>
              <w:pStyle w:val="5"/>
              <w:widowControl/>
              <w:numPr>
                <w:ilvl w:val="0"/>
                <w:numId w:val="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支持级联点位巡检配置VQD图片存储配置。</w:t>
            </w:r>
          </w:p>
        </w:tc>
      </w:tr>
      <w:tr w14:paraId="69A83B1A">
        <w:tblPrEx>
          <w:tblCellMar>
            <w:top w:w="0" w:type="dxa"/>
            <w:left w:w="108" w:type="dxa"/>
            <w:bottom w:w="0" w:type="dxa"/>
            <w:right w:w="108" w:type="dxa"/>
          </w:tblCellMar>
        </w:tblPrEx>
        <w:trPr>
          <w:trHeight w:val="23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1B56FFA">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10</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1B94B6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498261B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视频监控</w:t>
            </w:r>
          </w:p>
        </w:tc>
        <w:tc>
          <w:tcPr>
            <w:tcW w:w="389" w:type="pct"/>
            <w:tcBorders>
              <w:top w:val="nil"/>
              <w:left w:val="nil"/>
              <w:bottom w:val="single" w:color="auto" w:sz="4" w:space="0"/>
              <w:right w:val="single" w:color="auto" w:sz="4" w:space="0"/>
            </w:tcBorders>
            <w:shd w:val="clear" w:color="auto" w:fill="auto"/>
            <w:vAlign w:val="center"/>
          </w:tcPr>
          <w:p w14:paraId="30299F1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云台控制</w:t>
            </w:r>
          </w:p>
        </w:tc>
        <w:tc>
          <w:tcPr>
            <w:tcW w:w="3449" w:type="pct"/>
            <w:tcBorders>
              <w:top w:val="nil"/>
              <w:left w:val="nil"/>
              <w:bottom w:val="single" w:color="auto" w:sz="4" w:space="0"/>
              <w:right w:val="single" w:color="auto" w:sz="4" w:space="0"/>
            </w:tcBorders>
            <w:shd w:val="clear" w:color="auto" w:fill="auto"/>
            <w:vAlign w:val="center"/>
          </w:tcPr>
          <w:p w14:paraId="338C493E">
            <w:pPr>
              <w:pStyle w:val="5"/>
              <w:widowControl/>
              <w:numPr>
                <w:ilvl w:val="0"/>
                <w:numId w:val="10"/>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支持实时视频云台控制及水平扫描，可以在视频上直接控制。支持八方向转动：上、下、左、右、左上、左下、右上、右下</w:t>
            </w:r>
          </w:p>
          <w:p w14:paraId="1EA99C23">
            <w:pPr>
              <w:pStyle w:val="5"/>
              <w:widowControl/>
              <w:numPr>
                <w:ilvl w:val="0"/>
                <w:numId w:val="10"/>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支持设置云台转动速度；支持焦距放大缩小；支持聚焦控制；支持光圈扩大缩小；支持一键对焦；支持打开灯光；支持打开雨刮器；支持云台重置</w:t>
            </w:r>
          </w:p>
          <w:p w14:paraId="25917CE8">
            <w:pPr>
              <w:pStyle w:val="5"/>
              <w:widowControl/>
              <w:numPr>
                <w:ilvl w:val="0"/>
                <w:numId w:val="10"/>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支持高权限用户抢占云台控制权限，并支持云台锁定，可设置云台锁定时长</w:t>
            </w:r>
          </w:p>
          <w:p w14:paraId="3717D392">
            <w:pPr>
              <w:pStyle w:val="5"/>
              <w:widowControl/>
              <w:numPr>
                <w:ilvl w:val="0"/>
                <w:numId w:val="10"/>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支持设置、修改及快速选择预置点</w:t>
            </w:r>
          </w:p>
          <w:p w14:paraId="0E2A6C11">
            <w:pPr>
              <w:pStyle w:val="5"/>
              <w:widowControl/>
              <w:numPr>
                <w:ilvl w:val="0"/>
                <w:numId w:val="10"/>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支持设置、修改及快速选择云台巡航</w:t>
            </w:r>
          </w:p>
          <w:p w14:paraId="582DF0AD">
            <w:pPr>
              <w:pStyle w:val="5"/>
              <w:widowControl/>
              <w:numPr>
                <w:ilvl w:val="0"/>
                <w:numId w:val="10"/>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支持云台控制叠加osd配置</w:t>
            </w:r>
          </w:p>
          <w:p w14:paraId="0CC446B5">
            <w:pPr>
              <w:pStyle w:val="5"/>
              <w:widowControl/>
              <w:numPr>
                <w:ilvl w:val="0"/>
                <w:numId w:val="10"/>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支持录制及调用云台轨迹</w:t>
            </w:r>
          </w:p>
        </w:tc>
      </w:tr>
      <w:tr w14:paraId="797BD946">
        <w:tblPrEx>
          <w:tblCellMar>
            <w:top w:w="0" w:type="dxa"/>
            <w:left w:w="108" w:type="dxa"/>
            <w:bottom w:w="0" w:type="dxa"/>
            <w:right w:w="108" w:type="dxa"/>
          </w:tblCellMar>
        </w:tblPrEx>
        <w:trPr>
          <w:trHeight w:val="23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619A870">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11</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CA0BF1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4FB0EAC0">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C1D0EF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视频预览</w:t>
            </w:r>
          </w:p>
        </w:tc>
        <w:tc>
          <w:tcPr>
            <w:tcW w:w="3449" w:type="pct"/>
            <w:tcBorders>
              <w:top w:val="nil"/>
              <w:left w:val="nil"/>
              <w:bottom w:val="single" w:color="auto" w:sz="4" w:space="0"/>
              <w:right w:val="single" w:color="auto" w:sz="4" w:space="0"/>
            </w:tcBorders>
            <w:shd w:val="clear" w:color="auto" w:fill="auto"/>
            <w:vAlign w:val="center"/>
          </w:tcPr>
          <w:p w14:paraId="37183803">
            <w:pPr>
              <w:pStyle w:val="5"/>
              <w:widowControl/>
              <w:numPr>
                <w:ilvl w:val="0"/>
                <w:numId w:val="1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支持即时回放功能，即时回放过程中支持控制回放时间及画面，支持针对即时回放画面进行抓图、回放、视频增强、打开声音、对讲、录像保存、播放暂停、单帧倒退及单帧前进</w:t>
            </w:r>
          </w:p>
          <w:p w14:paraId="192CEC2F">
            <w:pPr>
              <w:pStyle w:val="5"/>
              <w:widowControl/>
              <w:numPr>
                <w:ilvl w:val="0"/>
                <w:numId w:val="1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支持开启多屏，开启后新增一个多屏预览窗口，可进行一机双屏操作</w:t>
            </w:r>
          </w:p>
          <w:p w14:paraId="2B81468A">
            <w:pPr>
              <w:pStyle w:val="5"/>
              <w:widowControl/>
              <w:numPr>
                <w:ilvl w:val="0"/>
                <w:numId w:val="1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支持切换画面为1、4、9、16、25、1+5、3+4、1+7、1+9、2+8、1+12、4+9、1+1+12、1+16及自定义屏幕分屏，支持画面以4:3或16:9展示，支持全屏播放</w:t>
            </w:r>
          </w:p>
          <w:p w14:paraId="0C5BB047">
            <w:pPr>
              <w:pStyle w:val="5"/>
              <w:widowControl/>
              <w:numPr>
                <w:ilvl w:val="0"/>
                <w:numId w:val="1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支持组播预览</w:t>
            </w:r>
          </w:p>
          <w:p w14:paraId="07ED74B2">
            <w:pPr>
              <w:pStyle w:val="5"/>
              <w:widowControl/>
              <w:numPr>
                <w:ilvl w:val="0"/>
                <w:numId w:val="1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支持按权限控制播放声音，有权限的才能有声音</w:t>
            </w:r>
          </w:p>
        </w:tc>
      </w:tr>
      <w:tr w14:paraId="04A0980A">
        <w:tblPrEx>
          <w:tblCellMar>
            <w:top w:w="0" w:type="dxa"/>
            <w:left w:w="108" w:type="dxa"/>
            <w:bottom w:w="0" w:type="dxa"/>
            <w:right w:w="108" w:type="dxa"/>
          </w:tblCellMar>
        </w:tblPrEx>
        <w:trPr>
          <w:trHeight w:val="843"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ABB9CA8">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D62449B">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0FD561FC">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视频上墙</w:t>
            </w:r>
          </w:p>
        </w:tc>
        <w:tc>
          <w:tcPr>
            <w:tcW w:w="389" w:type="pct"/>
            <w:tcBorders>
              <w:top w:val="nil"/>
              <w:left w:val="nil"/>
              <w:bottom w:val="single" w:color="auto" w:sz="4" w:space="0"/>
              <w:right w:val="single" w:color="auto" w:sz="4" w:space="0"/>
            </w:tcBorders>
            <w:shd w:val="clear" w:color="auto" w:fill="auto"/>
            <w:vAlign w:val="center"/>
          </w:tcPr>
          <w:p w14:paraId="251FF29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视频上墙</w:t>
            </w:r>
          </w:p>
        </w:tc>
        <w:tc>
          <w:tcPr>
            <w:tcW w:w="3449" w:type="pct"/>
            <w:tcBorders>
              <w:top w:val="nil"/>
              <w:left w:val="nil"/>
              <w:bottom w:val="single" w:color="auto" w:sz="4" w:space="0"/>
              <w:right w:val="single" w:color="auto" w:sz="4" w:space="0"/>
            </w:tcBorders>
            <w:shd w:val="clear" w:color="auto" w:fill="auto"/>
            <w:vAlign w:val="center"/>
          </w:tcPr>
          <w:p w14:paraId="47AFF269">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支持多机部署，即不同服务器上分别安装一个电视墙服务，在电视墙客户端上支持用户选择要操作的电视墙服务并且支持选择不同解码器添加到不同服务上</w:t>
            </w:r>
          </w:p>
          <w:p w14:paraId="5076E98F">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支持电视墙预览轮巡，并支持进行轮巡播放控制（暂停/启用所有轮巡，执行轮巡上/下一页等）</w:t>
            </w:r>
          </w:p>
          <w:p w14:paraId="6D97A5E2">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支持桌面上墙功能，即客户端所在 PC 机的系统桌面上墙至窗口上显示</w:t>
            </w:r>
          </w:p>
          <w:p w14:paraId="4A146273">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支持配置模拟通道监控点实时监控画面上墙</w:t>
            </w:r>
          </w:p>
          <w:p w14:paraId="5830C8F1">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支持模糊搜索监控点位</w:t>
            </w:r>
          </w:p>
          <w:p w14:paraId="55B378B7">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支持根据电视墙名称、电视墙类型添加LCD电视墙，支持框选电视墙规格</w:t>
            </w:r>
          </w:p>
          <w:p w14:paraId="6B7A43DE">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支持根据电视墙名称、电视墙类型及屏幕宽高，添加LED电视墙，支持框选电视墙规格</w:t>
            </w:r>
          </w:p>
          <w:p w14:paraId="144E9683">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支持修改、删除、刷新电视墙</w:t>
            </w:r>
          </w:p>
          <w:p w14:paraId="4E59BE1A">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支持根据启用向导来指引用户添加解码设备、添加电视墙及资源关联</w:t>
            </w:r>
          </w:p>
          <w:p w14:paraId="471A2194">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支持新建、取消电视墙与解码器通道的关联关系，支持全部取消关联</w:t>
            </w:r>
          </w:p>
          <w:p w14:paraId="2C64DB28">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支持根据输入的关键字模糊搜索监控点名字、标签名字和报警名字包含该关键字的录像</w:t>
            </w:r>
          </w:p>
          <w:p w14:paraId="470B1380">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支持根据报警名称、报警类型、优先级及报警时间进行报警查询</w:t>
            </w:r>
          </w:p>
          <w:p w14:paraId="407D7AD9">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支持针对窗口的分割、拼接等布局，及窗口上的监控点、预览轮巡、告警窗口、是否自动启停及启停时间等进行配置形成电视墙场景</w:t>
            </w:r>
          </w:p>
          <w:p w14:paraId="150C320C">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支持针对某电视墙的场景进行增加、修改及删除，支持查看电视墙场景详情，支持配置电视墙场景切换计划</w:t>
            </w:r>
          </w:p>
          <w:p w14:paraId="0AE341DC">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支持针对某电视墙场景进行增加、修改、删除轮巡计划，支持设置关联的监控点及其轮巡间隔</w:t>
            </w:r>
          </w:p>
          <w:p w14:paraId="142E1834">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支持针对某电视墙场景进行监控点与窗口的关联，让该监控点保持持续在该窗口上墙；支持从资源树及历史操作点位中选择关联的监控点</w:t>
            </w:r>
          </w:p>
          <w:p w14:paraId="1CCC77AA">
            <w:pPr>
              <w:pStyle w:val="5"/>
              <w:widowControl/>
              <w:numPr>
                <w:ilvl w:val="0"/>
                <w:numId w:val="1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支持在场景中按高、中、低等设为报警窗口，当有相应等级的报警产生时可在该窗口自动上墙</w:t>
            </w:r>
          </w:p>
        </w:tc>
      </w:tr>
      <w:tr w14:paraId="284AA2B6">
        <w:tblPrEx>
          <w:tblCellMar>
            <w:top w:w="0" w:type="dxa"/>
            <w:left w:w="108" w:type="dxa"/>
            <w:bottom w:w="0" w:type="dxa"/>
            <w:right w:w="108" w:type="dxa"/>
          </w:tblCellMar>
        </w:tblPrEx>
        <w:trPr>
          <w:trHeight w:val="12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37F346CC">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13</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A43A5AE">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2A41BA1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人脸查询</w:t>
            </w:r>
          </w:p>
        </w:tc>
        <w:tc>
          <w:tcPr>
            <w:tcW w:w="389" w:type="pct"/>
            <w:tcBorders>
              <w:top w:val="nil"/>
              <w:left w:val="nil"/>
              <w:bottom w:val="single" w:color="auto" w:sz="4" w:space="0"/>
              <w:right w:val="single" w:color="auto" w:sz="4" w:space="0"/>
            </w:tcBorders>
            <w:shd w:val="clear" w:color="auto" w:fill="auto"/>
            <w:vAlign w:val="center"/>
          </w:tcPr>
          <w:p w14:paraId="43EA5AD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人脸查询</w:t>
            </w:r>
          </w:p>
        </w:tc>
        <w:tc>
          <w:tcPr>
            <w:tcW w:w="3449" w:type="pct"/>
            <w:tcBorders>
              <w:top w:val="nil"/>
              <w:left w:val="nil"/>
              <w:bottom w:val="single" w:color="auto" w:sz="4" w:space="0"/>
              <w:right w:val="single" w:color="auto" w:sz="4" w:space="0"/>
            </w:tcBorders>
            <w:shd w:val="clear" w:color="auto" w:fill="auto"/>
            <w:vAlign w:val="center"/>
          </w:tcPr>
          <w:p w14:paraId="401C2A7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1.以人脸属性搜索相似抓拍数据，支持根据时段、监控点范围、年龄段、性别、戴眼镜、是否微笑、是否戴口罩等属性查询匹配的人脸信息；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2.支持按照人脸特征搜图，上传人脸照片作为查询条件，支持查看结果图片、目标图片相似度以及抓拍信息等。</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3.支持查询结果数据导出；</w:t>
            </w:r>
          </w:p>
        </w:tc>
      </w:tr>
      <w:tr w14:paraId="214EBE85">
        <w:tblPrEx>
          <w:tblCellMar>
            <w:top w:w="0" w:type="dxa"/>
            <w:left w:w="108" w:type="dxa"/>
            <w:bottom w:w="0" w:type="dxa"/>
            <w:right w:w="108" w:type="dxa"/>
          </w:tblCellMar>
        </w:tblPrEx>
        <w:trPr>
          <w:trHeight w:val="437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0EA90AB">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14</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97D6801">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4CFACEB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车辆应用</w:t>
            </w:r>
          </w:p>
        </w:tc>
        <w:tc>
          <w:tcPr>
            <w:tcW w:w="389" w:type="pct"/>
            <w:tcBorders>
              <w:top w:val="nil"/>
              <w:left w:val="nil"/>
              <w:bottom w:val="single" w:color="auto" w:sz="4" w:space="0"/>
              <w:right w:val="single" w:color="auto" w:sz="4" w:space="0"/>
            </w:tcBorders>
            <w:shd w:val="clear" w:color="auto" w:fill="auto"/>
            <w:vAlign w:val="center"/>
          </w:tcPr>
          <w:p w14:paraId="3B012A5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正常过车查询</w:t>
            </w:r>
          </w:p>
        </w:tc>
        <w:tc>
          <w:tcPr>
            <w:tcW w:w="3449" w:type="pct"/>
            <w:tcBorders>
              <w:top w:val="nil"/>
              <w:left w:val="nil"/>
              <w:bottom w:val="single" w:color="auto" w:sz="4" w:space="0"/>
              <w:right w:val="single" w:color="auto" w:sz="4" w:space="0"/>
            </w:tcBorders>
            <w:shd w:val="clear" w:color="auto" w:fill="auto"/>
            <w:vAlign w:val="center"/>
          </w:tcPr>
          <w:p w14:paraId="3E27E5DF">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正常过车查询支持在用户选择的时段、点位范围、方向及车道，根据车牌号码 、人脸关联、车辆颜色、车辆品牌、车辆类型、车牌类型、车牌颜色进行过车记录检索；</w:t>
            </w:r>
          </w:p>
          <w:p w14:paraId="301D1E5E">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支持按（拍照角度 、车辆特征、前车窗特征、主副驾人员特征、是否渣土车、速度区间）车辆特征信息进行过车记录检索；</w:t>
            </w:r>
          </w:p>
          <w:p w14:paraId="59F9EC6F">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查询结果支持显示车辆与人脸的关联关系，当结果图片左上角出现关联人脸标志时表示搜索结果可关联人脸；</w:t>
            </w:r>
          </w:p>
          <w:p w14:paraId="68525983">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支持不分组、按照车牌或卡口分组展示；</w:t>
            </w:r>
          </w:p>
          <w:p w14:paraId="62EB5045">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支持读取配置中的号牌归属；</w:t>
            </w:r>
          </w:p>
          <w:p w14:paraId="0C73C21D">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支持将检索结果的车辆图像及相关结构化信息全部或部分导出成csv；</w:t>
            </w:r>
          </w:p>
          <w:p w14:paraId="7EB1B7DE">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支持图片或列表形式展现，列表模式支持表头过滤；</w:t>
            </w:r>
          </w:p>
          <w:p w14:paraId="16C8E73A">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支持双击卡片或列表查看详情；</w:t>
            </w:r>
          </w:p>
          <w:p w14:paraId="5FCA61BD">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支持过车详情基本信息中显示过车信息、详情图片、属性特征等；</w:t>
            </w:r>
          </w:p>
          <w:p w14:paraId="2E5C4E9A">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支持查询结果快捷操作，链接到查看详情、地图定位、视频回放、暂存架、车辆轨迹查询、同行车辆、停留点、以车搜车、车辆布控等功能；</w:t>
            </w:r>
          </w:p>
          <w:p w14:paraId="4BAD2DD2">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支持点击地理位置时，搜索结果图片的抓拍设备将被标注在地图上；</w:t>
            </w:r>
          </w:p>
          <w:p w14:paraId="70E4F6E0">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支持点击“右侧信息”开关，展示基本信息、地图位置、关联人脸、车管库，可关闭右侧详情页面；</w:t>
            </w:r>
          </w:p>
          <w:p w14:paraId="3A18A732">
            <w:pPr>
              <w:pStyle w:val="5"/>
              <w:widowControl/>
              <w:numPr>
                <w:ilvl w:val="0"/>
                <w:numId w:val="1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支持点击“全屏”可跳转结果详情页进行查看。</w:t>
            </w:r>
          </w:p>
        </w:tc>
      </w:tr>
      <w:tr w14:paraId="42D2BF7E">
        <w:tblPrEx>
          <w:tblCellMar>
            <w:top w:w="0" w:type="dxa"/>
            <w:left w:w="108" w:type="dxa"/>
            <w:bottom w:w="0" w:type="dxa"/>
            <w:right w:w="108" w:type="dxa"/>
          </w:tblCellMar>
        </w:tblPrEx>
        <w:trPr>
          <w:trHeight w:val="41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3C0FFB44">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15</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070C0A9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36C63130">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FDA6D8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红名单过车</w:t>
            </w:r>
          </w:p>
        </w:tc>
        <w:tc>
          <w:tcPr>
            <w:tcW w:w="3449" w:type="pct"/>
            <w:tcBorders>
              <w:top w:val="nil"/>
              <w:left w:val="nil"/>
              <w:bottom w:val="single" w:color="auto" w:sz="4" w:space="0"/>
              <w:right w:val="single" w:color="auto" w:sz="4" w:space="0"/>
            </w:tcBorders>
            <w:shd w:val="clear" w:color="auto" w:fill="auto"/>
            <w:vAlign w:val="center"/>
          </w:tcPr>
          <w:p w14:paraId="0B008AC0">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红名单过车查询支持在用户选择的时段、点位范围、方向及车道，根据车牌号码 、关联人脸、车辆颜色、车辆品牌、车辆类型、车牌类型、车牌颜色进行红名单过车记录检索；</w:t>
            </w:r>
          </w:p>
          <w:p w14:paraId="3F44A971">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支持按（拍照角度 、车辆特征、前车窗特征、主副驾人员特征、是否渣土车、速度区间）车辆特征信息进行红名单过车记录检索；</w:t>
            </w:r>
          </w:p>
          <w:p w14:paraId="7CA43A4C">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支持按照车牌或卡口分组展示；</w:t>
            </w:r>
          </w:p>
          <w:p w14:paraId="3DEF9B5A">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支持读取配置中的号牌归属；</w:t>
            </w:r>
          </w:p>
          <w:p w14:paraId="16520C68">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支持将检索结果的车辆图像及相关结构化信息全部或部分导出成csv；</w:t>
            </w:r>
          </w:p>
          <w:p w14:paraId="65E56007">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支持图片或列表形式展现，列表模式支持表头过滤；</w:t>
            </w:r>
          </w:p>
          <w:p w14:paraId="1CE7A154">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支持双击卡片或列表查看详情；</w:t>
            </w:r>
          </w:p>
          <w:p w14:paraId="475AF39E">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支持过车详情显示当前车辆车牌信息、抓拍卡口信息以及抓拍时间；</w:t>
            </w:r>
          </w:p>
          <w:p w14:paraId="02D4DC5E">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支持查询结果快捷操作，链接到查看详情、地图定位、视频回放、车辆轨迹查询等功能；</w:t>
            </w:r>
          </w:p>
          <w:p w14:paraId="538B9D9F">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支持点击地理位置时，搜索结果图片的抓拍设备将被标注在地图上；</w:t>
            </w:r>
          </w:p>
          <w:p w14:paraId="01C7BA99">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支持点击“右侧信息”开关，可关闭右侧详情页面；</w:t>
            </w:r>
          </w:p>
          <w:p w14:paraId="5D7B0931">
            <w:pPr>
              <w:pStyle w:val="5"/>
              <w:widowControl/>
              <w:numPr>
                <w:ilvl w:val="0"/>
                <w:numId w:val="1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支持点击“全屏”可跳转结果详情页进行查看。</w:t>
            </w:r>
          </w:p>
        </w:tc>
      </w:tr>
      <w:tr w14:paraId="24A09B25">
        <w:tblPrEx>
          <w:tblCellMar>
            <w:top w:w="0" w:type="dxa"/>
            <w:left w:w="108" w:type="dxa"/>
            <w:bottom w:w="0" w:type="dxa"/>
            <w:right w:w="108" w:type="dxa"/>
          </w:tblCellMar>
        </w:tblPrEx>
        <w:trPr>
          <w:trHeight w:val="15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31A9454A">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16</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852D6F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2CFA1EB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84252E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车辆轨迹查询</w:t>
            </w:r>
          </w:p>
        </w:tc>
        <w:tc>
          <w:tcPr>
            <w:tcW w:w="3449" w:type="pct"/>
            <w:tcBorders>
              <w:top w:val="nil"/>
              <w:left w:val="nil"/>
              <w:bottom w:val="single" w:color="auto" w:sz="4" w:space="0"/>
              <w:right w:val="single" w:color="auto" w:sz="4" w:space="0"/>
            </w:tcBorders>
            <w:shd w:val="clear" w:color="auto" w:fill="auto"/>
            <w:vAlign w:val="center"/>
          </w:tcPr>
          <w:p w14:paraId="19365384">
            <w:pPr>
              <w:pStyle w:val="5"/>
              <w:widowControl/>
              <w:numPr>
                <w:ilvl w:val="0"/>
                <w:numId w:val="1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支持按照车牌号码、车牌颜色、过车时间和选择范围查询，结果在地图上展示，并可进行轨迹回放；</w:t>
            </w:r>
          </w:p>
          <w:p w14:paraId="18976CDF">
            <w:pPr>
              <w:pStyle w:val="5"/>
              <w:widowControl/>
              <w:numPr>
                <w:ilvl w:val="0"/>
                <w:numId w:val="1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支持对某条过车数据进行视频回放；</w:t>
            </w:r>
          </w:p>
          <w:p w14:paraId="586E8B57">
            <w:pPr>
              <w:pStyle w:val="5"/>
              <w:widowControl/>
              <w:numPr>
                <w:ilvl w:val="0"/>
                <w:numId w:val="1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支持车辆轨迹信息的顺序、倒序排列。</w:t>
            </w:r>
          </w:p>
        </w:tc>
      </w:tr>
      <w:tr w14:paraId="32CBFA6D">
        <w:tblPrEx>
          <w:tblCellMar>
            <w:top w:w="0" w:type="dxa"/>
            <w:left w:w="108" w:type="dxa"/>
            <w:bottom w:w="0" w:type="dxa"/>
            <w:right w:w="108" w:type="dxa"/>
          </w:tblCellMar>
        </w:tblPrEx>
        <w:trPr>
          <w:trHeight w:val="190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32317E6F">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17</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8B306C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418B4AAE">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FE55F6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车辆布控</w:t>
            </w:r>
          </w:p>
        </w:tc>
        <w:tc>
          <w:tcPr>
            <w:tcW w:w="3449" w:type="pct"/>
            <w:tcBorders>
              <w:top w:val="nil"/>
              <w:left w:val="nil"/>
              <w:bottom w:val="single" w:color="auto" w:sz="4" w:space="0"/>
              <w:right w:val="single" w:color="auto" w:sz="4" w:space="0"/>
            </w:tcBorders>
            <w:shd w:val="clear" w:color="auto" w:fill="auto"/>
            <w:vAlign w:val="center"/>
          </w:tcPr>
          <w:p w14:paraId="515C08C7">
            <w:pPr>
              <w:pStyle w:val="5"/>
              <w:numPr>
                <w:ilvl w:val="0"/>
                <w:numId w:val="16"/>
              </w:numPr>
              <w:spacing w:line="360" w:lineRule="auto"/>
              <w:ind w:firstLineChars="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支持查看车辆布控列表、撤控列表、待审核列表；</w:t>
            </w:r>
          </w:p>
          <w:p w14:paraId="306B34A0">
            <w:pPr>
              <w:pStyle w:val="5"/>
              <w:numPr>
                <w:ilvl w:val="0"/>
                <w:numId w:val="16"/>
              </w:numPr>
              <w:spacing w:line="360" w:lineRule="auto"/>
              <w:ind w:firstLineChars="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支持车辆按照模糊车牌以及精准车牌布控；</w:t>
            </w:r>
          </w:p>
          <w:p w14:paraId="018EC09A">
            <w:pPr>
              <w:pStyle w:val="5"/>
              <w:numPr>
                <w:ilvl w:val="0"/>
                <w:numId w:val="16"/>
              </w:numPr>
              <w:spacing w:line="360" w:lineRule="auto"/>
              <w:ind w:firstLineChars="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支持批量撤控；</w:t>
            </w:r>
          </w:p>
          <w:p w14:paraId="58725191">
            <w:pPr>
              <w:pStyle w:val="5"/>
              <w:numPr>
                <w:ilvl w:val="0"/>
                <w:numId w:val="16"/>
              </w:numPr>
              <w:spacing w:line="360" w:lineRule="auto"/>
              <w:ind w:firstLineChars="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支持布控列表数据全部导出和部分导出；</w:t>
            </w:r>
          </w:p>
          <w:p w14:paraId="036C6019">
            <w:pPr>
              <w:pStyle w:val="5"/>
              <w:numPr>
                <w:ilvl w:val="0"/>
                <w:numId w:val="16"/>
              </w:numPr>
              <w:spacing w:line="360" w:lineRule="auto"/>
              <w:ind w:firstLineChars="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支持布控报警消息推送、联动</w:t>
            </w:r>
          </w:p>
        </w:tc>
      </w:tr>
      <w:tr w14:paraId="60BB67E8">
        <w:tblPrEx>
          <w:tblCellMar>
            <w:top w:w="0" w:type="dxa"/>
            <w:left w:w="108" w:type="dxa"/>
            <w:bottom w:w="0" w:type="dxa"/>
            <w:right w:w="108" w:type="dxa"/>
          </w:tblCellMar>
        </w:tblPrEx>
        <w:trPr>
          <w:trHeight w:val="18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04C9EFB">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18</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C46B61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2942162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092060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车流量统计</w:t>
            </w:r>
          </w:p>
        </w:tc>
        <w:tc>
          <w:tcPr>
            <w:tcW w:w="3449" w:type="pct"/>
            <w:tcBorders>
              <w:top w:val="nil"/>
              <w:left w:val="nil"/>
              <w:bottom w:val="single" w:color="auto" w:sz="4" w:space="0"/>
              <w:right w:val="single" w:color="auto" w:sz="4" w:space="0"/>
            </w:tcBorders>
            <w:shd w:val="clear" w:color="auto" w:fill="auto"/>
            <w:vAlign w:val="center"/>
          </w:tcPr>
          <w:p w14:paraId="05485EDE">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1、车流量统计支持按卡口、按时间、按归属地、按车型、按品牌、按区域、按车道等多个统计维度；</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2、支持以时段表、日报表、周报表、月报表、年报表的方式，统计选定时间和卡口范围内车流量信息；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3、支持以柱状图数据列表等多种图表展示；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4、支持按卡口、按区域、按车道分页查询车流量统计信息；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5、支持车流量数据导出。</w:t>
            </w:r>
          </w:p>
        </w:tc>
      </w:tr>
      <w:tr w14:paraId="0E6B99F0">
        <w:tblPrEx>
          <w:tblCellMar>
            <w:top w:w="0" w:type="dxa"/>
            <w:left w:w="108" w:type="dxa"/>
            <w:bottom w:w="0" w:type="dxa"/>
            <w:right w:w="108" w:type="dxa"/>
          </w:tblCellMar>
        </w:tblPrEx>
        <w:trPr>
          <w:trHeight w:val="229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B2162E7">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19</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27CB1CB">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0E277147">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地图应用</w:t>
            </w:r>
          </w:p>
        </w:tc>
        <w:tc>
          <w:tcPr>
            <w:tcW w:w="389" w:type="pct"/>
            <w:tcBorders>
              <w:top w:val="nil"/>
              <w:left w:val="nil"/>
              <w:bottom w:val="single" w:color="auto" w:sz="4" w:space="0"/>
              <w:right w:val="single" w:color="auto" w:sz="4" w:space="0"/>
            </w:tcBorders>
            <w:shd w:val="clear" w:color="auto" w:fill="auto"/>
            <w:vAlign w:val="center"/>
          </w:tcPr>
          <w:p w14:paraId="28E3970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地图功能</w:t>
            </w:r>
          </w:p>
        </w:tc>
        <w:tc>
          <w:tcPr>
            <w:tcW w:w="3449" w:type="pct"/>
            <w:tcBorders>
              <w:top w:val="nil"/>
              <w:left w:val="nil"/>
              <w:bottom w:val="single" w:color="auto" w:sz="4" w:space="0"/>
              <w:right w:val="single" w:color="auto" w:sz="4" w:space="0"/>
            </w:tcBorders>
            <w:shd w:val="clear" w:color="auto" w:fill="auto"/>
            <w:vAlign w:val="center"/>
          </w:tcPr>
          <w:p w14:paraId="5FCB89C3">
            <w:pPr>
              <w:pStyle w:val="5"/>
              <w:widowControl/>
              <w:numPr>
                <w:ilvl w:val="0"/>
                <w:numId w:val="17"/>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地图支持拖动、滚轮放大缩小、重置恢复至地图初始化时的原始中心位置和地图层级；</w:t>
            </w:r>
          </w:p>
          <w:p w14:paraId="32244F89">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2、提供地址反查功能，通过在地图上点击来获取地图上该点的位置信息（该功能需地理资源数据支持）；</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3、支持通过绘制图形进行空间资源的查询，可在地图上绘制矩形、圆形、多边形、线状缓冲区等作为空间查询范围；</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4、支持通过关键字查询和常用标签对这些资源进行查询；</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5、对当前地图及其上的要素进行截图，支持保存为本地图片；</w:t>
            </w:r>
          </w:p>
        </w:tc>
      </w:tr>
      <w:tr w14:paraId="497F8B4C">
        <w:tblPrEx>
          <w:tblCellMar>
            <w:top w:w="0" w:type="dxa"/>
            <w:left w:w="108" w:type="dxa"/>
            <w:bottom w:w="0" w:type="dxa"/>
            <w:right w:w="108" w:type="dxa"/>
          </w:tblCellMar>
        </w:tblPrEx>
        <w:trPr>
          <w:trHeight w:val="223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B277E75">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20</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F5F17B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2EFA25FD">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4B90E9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资源查询</w:t>
            </w:r>
          </w:p>
        </w:tc>
        <w:tc>
          <w:tcPr>
            <w:tcW w:w="3449" w:type="pct"/>
            <w:tcBorders>
              <w:top w:val="nil"/>
              <w:left w:val="nil"/>
              <w:bottom w:val="single" w:color="auto" w:sz="4" w:space="0"/>
              <w:right w:val="single" w:color="auto" w:sz="4" w:space="0"/>
            </w:tcBorders>
            <w:shd w:val="clear" w:color="auto" w:fill="auto"/>
            <w:vAlign w:val="center"/>
          </w:tcPr>
          <w:p w14:paraId="64E474E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1、支持查看基础目录以及自定义的业务目录树下监控点、卡口、车载、单兵、无人机等类型资源；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2、支持在地图上，根据地图聚合级别以不同样式图标展示各类型资源；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3、支持资源定位至地图所在位置；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4、支持点位经纬度修改，并支持仅展示未标注经纬度的点位资源；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5、支持分资源类型进行关键字模糊匹配检索，同时支持对资源进行全局搜索；</w:t>
            </w:r>
          </w:p>
        </w:tc>
      </w:tr>
      <w:tr w14:paraId="36CD4CF1">
        <w:tblPrEx>
          <w:tblCellMar>
            <w:top w:w="0" w:type="dxa"/>
            <w:left w:w="108" w:type="dxa"/>
            <w:bottom w:w="0" w:type="dxa"/>
            <w:right w:w="108" w:type="dxa"/>
          </w:tblCellMar>
        </w:tblPrEx>
        <w:trPr>
          <w:trHeight w:val="59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F01C076">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21</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D0F4FC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17580D6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4E3910C">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GPS轨迹</w:t>
            </w:r>
          </w:p>
        </w:tc>
        <w:tc>
          <w:tcPr>
            <w:tcW w:w="3449" w:type="pct"/>
            <w:tcBorders>
              <w:top w:val="nil"/>
              <w:left w:val="nil"/>
              <w:bottom w:val="single" w:color="auto" w:sz="4" w:space="0"/>
              <w:right w:val="single" w:color="auto" w:sz="4" w:space="0"/>
            </w:tcBorders>
            <w:shd w:val="clear" w:color="auto" w:fill="auto"/>
            <w:vAlign w:val="center"/>
          </w:tcPr>
          <w:p w14:paraId="2F244D7B">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1、按时间查询单兵、车载等在地图上的经过的GPS位置，列表显示目标路径记录，同时将轨迹在地图上展示。可通过播放器控制播放的速度、进度等。</w:t>
            </w:r>
          </w:p>
        </w:tc>
      </w:tr>
      <w:tr w14:paraId="554A24CD">
        <w:tblPrEx>
          <w:tblCellMar>
            <w:top w:w="0" w:type="dxa"/>
            <w:left w:w="108" w:type="dxa"/>
            <w:bottom w:w="0" w:type="dxa"/>
            <w:right w:w="108" w:type="dxa"/>
          </w:tblCellMar>
        </w:tblPrEx>
        <w:trPr>
          <w:trHeight w:val="3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C327749">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651EAF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2BFAFBE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7705E7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视频监控</w:t>
            </w:r>
          </w:p>
        </w:tc>
        <w:tc>
          <w:tcPr>
            <w:tcW w:w="3449" w:type="pct"/>
            <w:tcBorders>
              <w:top w:val="nil"/>
              <w:left w:val="nil"/>
              <w:bottom w:val="single" w:color="auto" w:sz="4" w:space="0"/>
              <w:right w:val="single" w:color="auto" w:sz="4" w:space="0"/>
            </w:tcBorders>
            <w:shd w:val="clear" w:color="auto" w:fill="auto"/>
            <w:vAlign w:val="center"/>
          </w:tcPr>
          <w:p w14:paraId="316CAB04">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1、支持视频的实时预览以及录像回放；</w:t>
            </w:r>
          </w:p>
        </w:tc>
      </w:tr>
    </w:tbl>
    <w:p w14:paraId="185762CA">
      <w:pPr>
        <w:widowControl/>
        <w:spacing w:line="240" w:lineRule="auto"/>
        <w:ind w:firstLine="0" w:firstLineChars="0"/>
        <w:rPr>
          <w:rFonts w:hint="eastAsia" w:ascii="宋体" w:hAnsi="宋体"/>
          <w:b/>
          <w:bCs/>
          <w:color w:val="000000"/>
          <w:kern w:val="0"/>
          <w:sz w:val="22"/>
          <w:szCs w:val="22"/>
        </w:rPr>
      </w:pPr>
      <w:bookmarkStart w:id="3" w:name="_GoBack"/>
      <w:bookmarkEnd w:id="3"/>
    </w:p>
    <w:p w14:paraId="56B3C7C0">
      <w:pPr>
        <w:widowControl/>
        <w:spacing w:line="240" w:lineRule="auto"/>
        <w:ind w:firstLine="0" w:firstLineChars="0"/>
        <w:rPr>
          <w:rFonts w:hint="eastAsia" w:ascii="宋体" w:hAnsi="宋体"/>
          <w:b/>
          <w:bCs/>
          <w:color w:val="000000"/>
          <w:kern w:val="0"/>
          <w:sz w:val="24"/>
          <w:szCs w:val="24"/>
        </w:rPr>
      </w:pPr>
      <w:r>
        <w:rPr>
          <w:rFonts w:hint="eastAsia" w:ascii="宋体" w:hAnsi="宋体"/>
          <w:b/>
          <w:bCs/>
          <w:color w:val="000000"/>
          <w:kern w:val="0"/>
          <w:sz w:val="24"/>
          <w:szCs w:val="24"/>
        </w:rPr>
        <w:t>硬件设备采购分项表</w:t>
      </w:r>
    </w:p>
    <w:p w14:paraId="5010D357">
      <w:pPr>
        <w:widowControl/>
        <w:spacing w:line="240" w:lineRule="auto"/>
        <w:ind w:firstLine="0" w:firstLineChars="0"/>
        <w:rPr>
          <w:rFonts w:hint="eastAsia" w:ascii="宋体" w:hAnsi="宋体"/>
          <w:b/>
          <w:bCs/>
          <w:color w:val="000000"/>
          <w:kern w:val="0"/>
          <w:sz w:val="24"/>
          <w:szCs w:val="24"/>
        </w:rPr>
      </w:pPr>
    </w:p>
    <w:tbl>
      <w:tblPr>
        <w:tblStyle w:val="3"/>
        <w:tblW w:w="0" w:type="auto"/>
        <w:tblInd w:w="0" w:type="dxa"/>
        <w:shd w:val="clear" w:color="auto" w:fill="auto"/>
        <w:tblLayout w:type="autofit"/>
        <w:tblCellMar>
          <w:top w:w="0" w:type="dxa"/>
          <w:left w:w="108" w:type="dxa"/>
          <w:bottom w:w="0" w:type="dxa"/>
          <w:right w:w="108" w:type="dxa"/>
        </w:tblCellMar>
      </w:tblPr>
      <w:tblGrid>
        <w:gridCol w:w="656"/>
        <w:gridCol w:w="969"/>
        <w:gridCol w:w="5429"/>
        <w:gridCol w:w="917"/>
        <w:gridCol w:w="551"/>
      </w:tblGrid>
      <w:tr w14:paraId="205CFBB0">
        <w:tblPrEx>
          <w:shd w:val="clear" w:color="auto" w:fill="auto"/>
          <w:tblCellMar>
            <w:top w:w="0" w:type="dxa"/>
            <w:left w:w="108" w:type="dxa"/>
            <w:bottom w:w="0" w:type="dxa"/>
            <w:right w:w="108" w:type="dxa"/>
          </w:tblCellMar>
        </w:tblPrEx>
        <w:trPr>
          <w:trHeight w:val="460" w:hRule="atLeast"/>
        </w:trPr>
        <w:tc>
          <w:tcPr>
            <w:tcW w:w="468" w:type="dxa"/>
            <w:tcBorders>
              <w:top w:val="single" w:color="auto" w:sz="4" w:space="0"/>
              <w:left w:val="single" w:color="auto" w:sz="4" w:space="0"/>
              <w:bottom w:val="single" w:color="auto" w:sz="4" w:space="0"/>
              <w:right w:val="single" w:color="auto" w:sz="4" w:space="0"/>
            </w:tcBorders>
            <w:shd w:val="clear" w:color="auto" w:fill="auto"/>
            <w:vAlign w:val="center"/>
          </w:tcPr>
          <w:p w14:paraId="11949E8C">
            <w:pPr>
              <w:widowControl/>
              <w:spacing w:line="36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序号</w:t>
            </w:r>
          </w:p>
        </w:tc>
        <w:tc>
          <w:tcPr>
            <w:tcW w:w="989" w:type="dxa"/>
            <w:tcBorders>
              <w:top w:val="single" w:color="auto" w:sz="4" w:space="0"/>
              <w:left w:val="nil"/>
              <w:bottom w:val="single" w:color="auto" w:sz="4" w:space="0"/>
              <w:right w:val="single" w:color="auto" w:sz="4" w:space="0"/>
            </w:tcBorders>
            <w:shd w:val="clear" w:color="auto" w:fill="auto"/>
            <w:vAlign w:val="center"/>
          </w:tcPr>
          <w:p w14:paraId="0AE9C151">
            <w:pPr>
              <w:widowControl/>
              <w:spacing w:line="36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设备名称</w:t>
            </w:r>
          </w:p>
        </w:tc>
        <w:tc>
          <w:tcPr>
            <w:tcW w:w="5581" w:type="dxa"/>
            <w:tcBorders>
              <w:top w:val="single" w:color="auto" w:sz="4" w:space="0"/>
              <w:left w:val="nil"/>
              <w:bottom w:val="single" w:color="auto" w:sz="4" w:space="0"/>
              <w:right w:val="single" w:color="auto" w:sz="4" w:space="0"/>
            </w:tcBorders>
            <w:shd w:val="clear" w:color="auto" w:fill="auto"/>
            <w:vAlign w:val="center"/>
          </w:tcPr>
          <w:p w14:paraId="512724F0">
            <w:pPr>
              <w:widowControl/>
              <w:spacing w:line="36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主要技术指标</w:t>
            </w:r>
          </w:p>
        </w:tc>
        <w:tc>
          <w:tcPr>
            <w:tcW w:w="926" w:type="dxa"/>
            <w:tcBorders>
              <w:top w:val="single" w:color="auto" w:sz="4" w:space="0"/>
              <w:left w:val="nil"/>
              <w:bottom w:val="single" w:color="auto" w:sz="4" w:space="0"/>
              <w:right w:val="single" w:color="auto" w:sz="4" w:space="0"/>
            </w:tcBorders>
            <w:shd w:val="clear" w:color="auto" w:fill="auto"/>
            <w:vAlign w:val="center"/>
          </w:tcPr>
          <w:p w14:paraId="299C2766">
            <w:pPr>
              <w:widowControl/>
              <w:spacing w:line="36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数量</w:t>
            </w:r>
          </w:p>
        </w:tc>
        <w:tc>
          <w:tcPr>
            <w:tcW w:w="558" w:type="dxa"/>
            <w:tcBorders>
              <w:top w:val="single" w:color="auto" w:sz="4" w:space="0"/>
              <w:left w:val="nil"/>
              <w:bottom w:val="single" w:color="auto" w:sz="4" w:space="0"/>
              <w:right w:val="single" w:color="auto" w:sz="4" w:space="0"/>
            </w:tcBorders>
            <w:shd w:val="clear" w:color="auto" w:fill="auto"/>
            <w:vAlign w:val="center"/>
          </w:tcPr>
          <w:p w14:paraId="36F0F15C">
            <w:pPr>
              <w:widowControl/>
              <w:spacing w:line="36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单位</w:t>
            </w:r>
          </w:p>
        </w:tc>
      </w:tr>
      <w:tr w14:paraId="24C3769D">
        <w:tblPrEx>
          <w:shd w:val="clear" w:color="auto" w:fill="auto"/>
          <w:tblCellMar>
            <w:top w:w="0" w:type="dxa"/>
            <w:left w:w="108" w:type="dxa"/>
            <w:bottom w:w="0" w:type="dxa"/>
            <w:right w:w="108" w:type="dxa"/>
          </w:tblCellMar>
        </w:tblPrEx>
        <w:trPr>
          <w:trHeight w:val="753"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5E67AA0">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color w:val="000000"/>
                <w:kern w:val="0"/>
                <w:sz w:val="22"/>
                <w:szCs w:val="22"/>
              </w:rPr>
              <w:t>1</w:t>
            </w:r>
          </w:p>
        </w:tc>
        <w:tc>
          <w:tcPr>
            <w:tcW w:w="989" w:type="dxa"/>
            <w:tcBorders>
              <w:top w:val="nil"/>
              <w:left w:val="nil"/>
              <w:bottom w:val="single" w:color="auto" w:sz="4" w:space="0"/>
              <w:right w:val="single" w:color="auto" w:sz="4" w:space="0"/>
            </w:tcBorders>
            <w:shd w:val="clear" w:color="auto" w:fill="auto"/>
            <w:vAlign w:val="center"/>
          </w:tcPr>
          <w:p w14:paraId="562A8AA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出入口人脸车牌抓拍单元</w:t>
            </w:r>
          </w:p>
        </w:tc>
        <w:tc>
          <w:tcPr>
            <w:tcW w:w="5581" w:type="dxa"/>
            <w:tcBorders>
              <w:top w:val="nil"/>
              <w:left w:val="nil"/>
              <w:bottom w:val="single" w:color="auto" w:sz="4" w:space="0"/>
              <w:right w:val="single" w:color="auto" w:sz="4" w:space="0"/>
            </w:tcBorders>
            <w:shd w:val="clear" w:color="auto" w:fill="auto"/>
            <w:vAlign w:val="center"/>
          </w:tcPr>
          <w:p w14:paraId="6A9947D5">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详见参数1.1-1.6</w:t>
            </w:r>
          </w:p>
        </w:tc>
        <w:tc>
          <w:tcPr>
            <w:tcW w:w="926" w:type="dxa"/>
            <w:tcBorders>
              <w:top w:val="nil"/>
              <w:left w:val="nil"/>
              <w:bottom w:val="single" w:color="auto" w:sz="4" w:space="0"/>
              <w:right w:val="single" w:color="auto" w:sz="4" w:space="0"/>
            </w:tcBorders>
            <w:shd w:val="clear" w:color="auto" w:fill="auto"/>
            <w:vAlign w:val="center"/>
          </w:tcPr>
          <w:p w14:paraId="4851BAB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57</w:t>
            </w:r>
          </w:p>
        </w:tc>
        <w:tc>
          <w:tcPr>
            <w:tcW w:w="558" w:type="dxa"/>
            <w:tcBorders>
              <w:top w:val="nil"/>
              <w:left w:val="nil"/>
              <w:bottom w:val="single" w:color="auto" w:sz="4" w:space="0"/>
              <w:right w:val="single" w:color="auto" w:sz="4" w:space="0"/>
            </w:tcBorders>
            <w:shd w:val="clear" w:color="auto" w:fill="auto"/>
            <w:vAlign w:val="center"/>
          </w:tcPr>
          <w:p w14:paraId="1AFDB9C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284BD41A">
        <w:tblPrEx>
          <w:shd w:val="clear" w:color="auto" w:fill="auto"/>
          <w:tblCellMar>
            <w:top w:w="0" w:type="dxa"/>
            <w:left w:w="108" w:type="dxa"/>
            <w:bottom w:w="0" w:type="dxa"/>
            <w:right w:w="108" w:type="dxa"/>
          </w:tblCellMar>
        </w:tblPrEx>
        <w:trPr>
          <w:trHeight w:val="753"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80BAA0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b/>
                <w:bCs/>
                <w:kern w:val="0"/>
                <w:sz w:val="22"/>
                <w:szCs w:val="22"/>
              </w:rPr>
              <w:t>1.1</w:t>
            </w:r>
          </w:p>
        </w:tc>
        <w:tc>
          <w:tcPr>
            <w:tcW w:w="989" w:type="dxa"/>
            <w:tcBorders>
              <w:top w:val="nil"/>
              <w:left w:val="nil"/>
              <w:bottom w:val="single" w:color="auto" w:sz="4" w:space="0"/>
              <w:right w:val="single" w:color="auto" w:sz="4" w:space="0"/>
            </w:tcBorders>
            <w:shd w:val="clear" w:color="auto" w:fill="auto"/>
            <w:vAlign w:val="center"/>
          </w:tcPr>
          <w:p w14:paraId="579DF9A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人脸车牌卡口抓拍机</w:t>
            </w:r>
          </w:p>
        </w:tc>
        <w:tc>
          <w:tcPr>
            <w:tcW w:w="5581" w:type="dxa"/>
            <w:tcBorders>
              <w:top w:val="nil"/>
              <w:left w:val="nil"/>
              <w:bottom w:val="single" w:color="auto" w:sz="4" w:space="0"/>
              <w:right w:val="single" w:color="auto" w:sz="4" w:space="0"/>
            </w:tcBorders>
            <w:shd w:val="clear" w:color="auto" w:fill="auto"/>
            <w:vAlign w:val="center"/>
          </w:tcPr>
          <w:p w14:paraId="3702AA98">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内置摄像机采用2/3英寸高帧率全局曝光CMOS传感器，分辨率可达2448 × 2048，帧率高达25帧，具有清晰度高、照度低、帧率高、色彩还原度好等特点</w:t>
            </w:r>
          </w:p>
          <w:p w14:paraId="4A49801D">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帧率不低于25 fps；</w:t>
            </w:r>
          </w:p>
          <w:p w14:paraId="2524CB94">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▲支持对25×10 像素～1100×3000 像素的机动车车牌进行抓拍并识别号码； 支持抓拍并识别垂直倾斜角度≤45°、水平倾斜角度≤35°、俯仰角度≤40°的机动车车牌号码。</w:t>
            </w:r>
          </w:p>
          <w:p w14:paraId="765C6F1E">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车牌识别准确率不低于99%；</w:t>
            </w:r>
          </w:p>
          <w:p w14:paraId="4533A278">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▲支持对25×10 像素～1100×3000 像素的机动车车牌进行抓拍并识别号码； 支持抓拍并识别垂直倾斜角度≤45°、水平倾斜角度≤35°、俯仰角度≤40°的机动车车牌号码。</w:t>
            </w:r>
          </w:p>
          <w:p w14:paraId="3E3E3FF7">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▲在满足GA/T 1202-2022一级补光标准，补光≤20lx 的前提下，抓拍图片满足 GA/T 832-2014标准中3.6.1要求。 配套符合GA/T 1202-2022标准的一级补光灯，设备抓拍车牌、车身颜色、车内前排人脸及衣着均清晰可见抓拍图片可看清司乘人员人脸，并能够用于后端人脸比对。</w:t>
            </w:r>
          </w:p>
          <w:p w14:paraId="3AFF740A">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▲支持检测并跟踪指定区域内不少于 245 个目标，目标包括机动车、非机动车以及行人。</w:t>
            </w:r>
          </w:p>
          <w:p w14:paraId="39179EB4">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3个RS-485接口，1个RS-232接口，2个RJ45 10M/100M/1000M自适应以太网口</w:t>
            </w:r>
          </w:p>
          <w:p w14:paraId="0BA0D59D">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支持检测并跟踪指定区域内不少于 245 个目标，目标包括机动车、非机动车以及行人。</w:t>
            </w:r>
          </w:p>
          <w:p w14:paraId="791D2885">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支持远程数据上传，GB/T 28181-2016视频联网标准、GA/T 1400视图库标准、FTP协议，可将抓拍的图片上传给终端服务器、FTP服务器或者后端平台；</w:t>
            </w:r>
          </w:p>
          <w:p w14:paraId="6DA5FF19">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支持TF插卡本地存储，可支持至256G，抓拍图片可断网续传。</w:t>
            </w:r>
          </w:p>
          <w:p w14:paraId="6A39E25D">
            <w:pPr>
              <w:pStyle w:val="5"/>
              <w:widowControl/>
              <w:numPr>
                <w:ilvl w:val="0"/>
                <w:numId w:val="18"/>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▲支持车辆子品牌识别，对车头图片进行分析抓拍，可分析输出OSD叠加7200种车辆子品牌并显示相应的年款，对车尾图片进行分析抓拍，可分析输出 OSD 叠加3900 种车辆子品牌并显示相应的年款。</w:t>
            </w:r>
          </w:p>
        </w:tc>
        <w:tc>
          <w:tcPr>
            <w:tcW w:w="926" w:type="dxa"/>
            <w:tcBorders>
              <w:top w:val="nil"/>
              <w:left w:val="nil"/>
              <w:bottom w:val="single" w:color="auto" w:sz="4" w:space="0"/>
              <w:right w:val="single" w:color="auto" w:sz="4" w:space="0"/>
            </w:tcBorders>
            <w:shd w:val="clear" w:color="auto" w:fill="auto"/>
            <w:vAlign w:val="center"/>
          </w:tcPr>
          <w:p w14:paraId="13C05EA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38E5715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14BEEF6D">
        <w:tblPrEx>
          <w:tblCellMar>
            <w:top w:w="0" w:type="dxa"/>
            <w:left w:w="108" w:type="dxa"/>
            <w:bottom w:w="0" w:type="dxa"/>
            <w:right w:w="108" w:type="dxa"/>
          </w:tblCellMar>
        </w:tblPrEx>
        <w:trPr>
          <w:trHeight w:val="146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4B2ACE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b/>
                <w:bCs/>
                <w:kern w:val="0"/>
                <w:sz w:val="22"/>
                <w:szCs w:val="22"/>
              </w:rPr>
              <w:t>1.2</w:t>
            </w:r>
          </w:p>
        </w:tc>
        <w:tc>
          <w:tcPr>
            <w:tcW w:w="989" w:type="dxa"/>
            <w:tcBorders>
              <w:top w:val="nil"/>
              <w:left w:val="nil"/>
              <w:bottom w:val="single" w:color="auto" w:sz="4" w:space="0"/>
              <w:right w:val="single" w:color="auto" w:sz="4" w:space="0"/>
            </w:tcBorders>
            <w:shd w:val="clear" w:color="auto" w:fill="auto"/>
            <w:vAlign w:val="center"/>
          </w:tcPr>
          <w:p w14:paraId="2B3F5B3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网络配电箱</w:t>
            </w:r>
          </w:p>
        </w:tc>
        <w:tc>
          <w:tcPr>
            <w:tcW w:w="5581" w:type="dxa"/>
            <w:tcBorders>
              <w:top w:val="nil"/>
              <w:left w:val="nil"/>
              <w:bottom w:val="single" w:color="auto" w:sz="4" w:space="0"/>
              <w:right w:val="single" w:color="auto" w:sz="4" w:space="0"/>
            </w:tcBorders>
            <w:shd w:val="clear" w:color="auto" w:fill="auto"/>
            <w:vAlign w:val="center"/>
          </w:tcPr>
          <w:p w14:paraId="76A3E38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1、220V/2kW；进线：16A/2P漏电保护微断开关，防雷模块；出线：5*10A/1P微断开关，5口国标插排；</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2、12芯光缆终端模块（含LC尾纤）；</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3、预留网络交换机安装模块；</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4、防雷接地。</w:t>
            </w:r>
          </w:p>
        </w:tc>
        <w:tc>
          <w:tcPr>
            <w:tcW w:w="926" w:type="dxa"/>
            <w:tcBorders>
              <w:top w:val="nil"/>
              <w:left w:val="nil"/>
              <w:bottom w:val="single" w:color="auto" w:sz="4" w:space="0"/>
              <w:right w:val="single" w:color="auto" w:sz="4" w:space="0"/>
            </w:tcBorders>
            <w:shd w:val="clear" w:color="auto" w:fill="auto"/>
            <w:vAlign w:val="center"/>
          </w:tcPr>
          <w:p w14:paraId="6F45CDB5">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64CB2B5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6BFCF2E1">
        <w:tblPrEx>
          <w:shd w:val="clear" w:color="auto" w:fill="auto"/>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BC44885">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1.3</w:t>
            </w:r>
          </w:p>
        </w:tc>
        <w:tc>
          <w:tcPr>
            <w:tcW w:w="989" w:type="dxa"/>
            <w:tcBorders>
              <w:top w:val="nil"/>
              <w:left w:val="nil"/>
              <w:bottom w:val="single" w:color="auto" w:sz="4" w:space="0"/>
              <w:right w:val="single" w:color="auto" w:sz="4" w:space="0"/>
            </w:tcBorders>
            <w:shd w:val="clear" w:color="auto" w:fill="auto"/>
            <w:vAlign w:val="center"/>
          </w:tcPr>
          <w:p w14:paraId="62388A5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杆件</w:t>
            </w:r>
          </w:p>
        </w:tc>
        <w:tc>
          <w:tcPr>
            <w:tcW w:w="5581" w:type="dxa"/>
            <w:tcBorders>
              <w:top w:val="nil"/>
              <w:left w:val="nil"/>
              <w:bottom w:val="single" w:color="auto" w:sz="4" w:space="0"/>
              <w:right w:val="single" w:color="auto" w:sz="4" w:space="0"/>
            </w:tcBorders>
            <w:shd w:val="clear" w:color="auto" w:fill="auto"/>
            <w:vAlign w:val="center"/>
          </w:tcPr>
          <w:p w14:paraId="5AC9385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6*4米，立杆150*190*6含滑槽 横臂90*120*4 底法兰450*20 热镀锌喷塑</w:t>
            </w:r>
          </w:p>
        </w:tc>
        <w:tc>
          <w:tcPr>
            <w:tcW w:w="926" w:type="dxa"/>
            <w:tcBorders>
              <w:top w:val="nil"/>
              <w:left w:val="nil"/>
              <w:bottom w:val="single" w:color="auto" w:sz="4" w:space="0"/>
              <w:right w:val="single" w:color="auto" w:sz="4" w:space="0"/>
            </w:tcBorders>
            <w:shd w:val="clear" w:color="auto" w:fill="auto"/>
            <w:vAlign w:val="center"/>
          </w:tcPr>
          <w:p w14:paraId="23D4D62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2D971D0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根</w:t>
            </w:r>
          </w:p>
        </w:tc>
      </w:tr>
      <w:tr w14:paraId="050FF76A">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7F653F4">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1.4</w:t>
            </w:r>
          </w:p>
        </w:tc>
        <w:tc>
          <w:tcPr>
            <w:tcW w:w="989" w:type="dxa"/>
            <w:tcBorders>
              <w:top w:val="nil"/>
              <w:left w:val="nil"/>
              <w:bottom w:val="single" w:color="auto" w:sz="4" w:space="0"/>
              <w:right w:val="single" w:color="auto" w:sz="4" w:space="0"/>
            </w:tcBorders>
            <w:shd w:val="clear" w:color="auto" w:fill="auto"/>
            <w:vAlign w:val="center"/>
          </w:tcPr>
          <w:p w14:paraId="096425B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地笼</w:t>
            </w:r>
          </w:p>
        </w:tc>
        <w:tc>
          <w:tcPr>
            <w:tcW w:w="5581" w:type="dxa"/>
            <w:tcBorders>
              <w:top w:val="nil"/>
              <w:left w:val="nil"/>
              <w:bottom w:val="single" w:color="auto" w:sz="4" w:space="0"/>
              <w:right w:val="single" w:color="auto" w:sz="4" w:space="0"/>
            </w:tcBorders>
            <w:shd w:val="clear" w:color="auto" w:fill="auto"/>
            <w:vAlign w:val="center"/>
          </w:tcPr>
          <w:p w14:paraId="7132F8CF">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500*5，M24*1300-6</w:t>
            </w:r>
          </w:p>
        </w:tc>
        <w:tc>
          <w:tcPr>
            <w:tcW w:w="926" w:type="dxa"/>
            <w:tcBorders>
              <w:top w:val="nil"/>
              <w:left w:val="nil"/>
              <w:bottom w:val="single" w:color="auto" w:sz="4" w:space="0"/>
              <w:right w:val="single" w:color="auto" w:sz="4" w:space="0"/>
            </w:tcBorders>
            <w:shd w:val="clear" w:color="auto" w:fill="auto"/>
            <w:vAlign w:val="center"/>
          </w:tcPr>
          <w:p w14:paraId="1C29D42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473C13C1">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7D568064">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4891201">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1.5</w:t>
            </w:r>
          </w:p>
        </w:tc>
        <w:tc>
          <w:tcPr>
            <w:tcW w:w="989" w:type="dxa"/>
            <w:tcBorders>
              <w:top w:val="nil"/>
              <w:left w:val="nil"/>
              <w:bottom w:val="single" w:color="auto" w:sz="4" w:space="0"/>
              <w:right w:val="single" w:color="auto" w:sz="4" w:space="0"/>
            </w:tcBorders>
            <w:shd w:val="clear" w:color="auto" w:fill="auto"/>
            <w:vAlign w:val="center"/>
          </w:tcPr>
          <w:p w14:paraId="28C3C84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基础开挖</w:t>
            </w:r>
          </w:p>
        </w:tc>
        <w:tc>
          <w:tcPr>
            <w:tcW w:w="5581" w:type="dxa"/>
            <w:tcBorders>
              <w:top w:val="nil"/>
              <w:left w:val="nil"/>
              <w:bottom w:val="single" w:color="auto" w:sz="4" w:space="0"/>
              <w:right w:val="single" w:color="auto" w:sz="4" w:space="0"/>
            </w:tcBorders>
            <w:shd w:val="clear" w:color="auto" w:fill="auto"/>
            <w:vAlign w:val="center"/>
          </w:tcPr>
          <w:p w14:paraId="3105BBC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1.2*1.2*1.4m</w:t>
            </w:r>
          </w:p>
        </w:tc>
        <w:tc>
          <w:tcPr>
            <w:tcW w:w="926" w:type="dxa"/>
            <w:tcBorders>
              <w:top w:val="nil"/>
              <w:left w:val="nil"/>
              <w:bottom w:val="single" w:color="auto" w:sz="4" w:space="0"/>
              <w:right w:val="single" w:color="auto" w:sz="4" w:space="0"/>
            </w:tcBorders>
            <w:shd w:val="clear" w:color="auto" w:fill="auto"/>
            <w:vAlign w:val="center"/>
          </w:tcPr>
          <w:p w14:paraId="0077C793">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2.016</w:t>
            </w:r>
          </w:p>
        </w:tc>
        <w:tc>
          <w:tcPr>
            <w:tcW w:w="558" w:type="dxa"/>
            <w:tcBorders>
              <w:top w:val="nil"/>
              <w:left w:val="nil"/>
              <w:bottom w:val="single" w:color="auto" w:sz="4" w:space="0"/>
              <w:right w:val="single" w:color="auto" w:sz="4" w:space="0"/>
            </w:tcBorders>
            <w:shd w:val="clear" w:color="auto" w:fill="auto"/>
            <w:vAlign w:val="center"/>
          </w:tcPr>
          <w:p w14:paraId="620C3A5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3</w:t>
            </w:r>
          </w:p>
        </w:tc>
      </w:tr>
      <w:tr w14:paraId="0A1D5431">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8B5CB25">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1.6</w:t>
            </w:r>
          </w:p>
        </w:tc>
        <w:tc>
          <w:tcPr>
            <w:tcW w:w="989" w:type="dxa"/>
            <w:tcBorders>
              <w:top w:val="nil"/>
              <w:left w:val="nil"/>
              <w:bottom w:val="single" w:color="auto" w:sz="4" w:space="0"/>
              <w:right w:val="single" w:color="auto" w:sz="4" w:space="0"/>
            </w:tcBorders>
            <w:shd w:val="clear" w:color="auto" w:fill="auto"/>
            <w:vAlign w:val="center"/>
          </w:tcPr>
          <w:p w14:paraId="6E81B89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商混</w:t>
            </w:r>
          </w:p>
        </w:tc>
        <w:tc>
          <w:tcPr>
            <w:tcW w:w="5581" w:type="dxa"/>
            <w:tcBorders>
              <w:top w:val="nil"/>
              <w:left w:val="nil"/>
              <w:bottom w:val="single" w:color="auto" w:sz="4" w:space="0"/>
              <w:right w:val="single" w:color="auto" w:sz="4" w:space="0"/>
            </w:tcBorders>
            <w:shd w:val="clear" w:color="auto" w:fill="auto"/>
            <w:vAlign w:val="center"/>
          </w:tcPr>
          <w:p w14:paraId="54A1E873">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商品混凝土C25</w:t>
            </w:r>
          </w:p>
        </w:tc>
        <w:tc>
          <w:tcPr>
            <w:tcW w:w="926" w:type="dxa"/>
            <w:tcBorders>
              <w:top w:val="nil"/>
              <w:left w:val="nil"/>
              <w:bottom w:val="single" w:color="auto" w:sz="4" w:space="0"/>
              <w:right w:val="single" w:color="auto" w:sz="4" w:space="0"/>
            </w:tcBorders>
            <w:shd w:val="clear" w:color="auto" w:fill="auto"/>
            <w:vAlign w:val="center"/>
          </w:tcPr>
          <w:p w14:paraId="4DE8A61C">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2.016</w:t>
            </w:r>
          </w:p>
        </w:tc>
        <w:tc>
          <w:tcPr>
            <w:tcW w:w="558" w:type="dxa"/>
            <w:tcBorders>
              <w:top w:val="nil"/>
              <w:left w:val="nil"/>
              <w:bottom w:val="single" w:color="auto" w:sz="4" w:space="0"/>
              <w:right w:val="single" w:color="auto" w:sz="4" w:space="0"/>
            </w:tcBorders>
            <w:shd w:val="clear" w:color="auto" w:fill="auto"/>
            <w:vAlign w:val="center"/>
          </w:tcPr>
          <w:p w14:paraId="11720D41">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3</w:t>
            </w:r>
          </w:p>
        </w:tc>
      </w:tr>
      <w:tr w14:paraId="757FB20D">
        <w:tblPrEx>
          <w:tblCellMar>
            <w:top w:w="0" w:type="dxa"/>
            <w:left w:w="108" w:type="dxa"/>
            <w:bottom w:w="0" w:type="dxa"/>
            <w:right w:w="108" w:type="dxa"/>
          </w:tblCellMar>
        </w:tblPrEx>
        <w:trPr>
          <w:trHeight w:val="177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412497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w:t>
            </w:r>
          </w:p>
        </w:tc>
        <w:tc>
          <w:tcPr>
            <w:tcW w:w="989" w:type="dxa"/>
            <w:tcBorders>
              <w:top w:val="nil"/>
              <w:left w:val="nil"/>
              <w:bottom w:val="single" w:color="auto" w:sz="4" w:space="0"/>
              <w:right w:val="single" w:color="auto" w:sz="4" w:space="0"/>
            </w:tcBorders>
            <w:shd w:val="clear" w:color="auto" w:fill="auto"/>
            <w:vAlign w:val="center"/>
          </w:tcPr>
          <w:p w14:paraId="77EB068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多合一补光灯</w:t>
            </w:r>
          </w:p>
        </w:tc>
        <w:tc>
          <w:tcPr>
            <w:tcW w:w="5581" w:type="dxa"/>
            <w:tcBorders>
              <w:top w:val="nil"/>
              <w:left w:val="nil"/>
              <w:bottom w:val="single" w:color="auto" w:sz="4" w:space="0"/>
              <w:right w:val="single" w:color="auto" w:sz="4" w:space="0"/>
            </w:tcBorders>
            <w:shd w:val="clear" w:color="auto" w:fill="auto"/>
            <w:vAlign w:val="center"/>
          </w:tcPr>
          <w:p w14:paraId="18E2AEA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1、小功率气体补光灯，用于牌识系统及出入口系统中，白天可看清前排司乘人员面部特征；</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2、回电时间＜400ms，兼容开关量及低电平触发；</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3、有效补光距离4m～10m；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4、工作环境-25～+60℃；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5、闪光次数≥2000万次；</w:t>
            </w:r>
          </w:p>
        </w:tc>
        <w:tc>
          <w:tcPr>
            <w:tcW w:w="926" w:type="dxa"/>
            <w:tcBorders>
              <w:top w:val="nil"/>
              <w:left w:val="nil"/>
              <w:bottom w:val="single" w:color="auto" w:sz="4" w:space="0"/>
              <w:right w:val="single" w:color="auto" w:sz="4" w:space="0"/>
            </w:tcBorders>
            <w:shd w:val="clear" w:color="auto" w:fill="auto"/>
            <w:vAlign w:val="center"/>
          </w:tcPr>
          <w:p w14:paraId="6DE3731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57</w:t>
            </w:r>
          </w:p>
        </w:tc>
        <w:tc>
          <w:tcPr>
            <w:tcW w:w="558" w:type="dxa"/>
            <w:tcBorders>
              <w:top w:val="nil"/>
              <w:left w:val="nil"/>
              <w:bottom w:val="single" w:color="auto" w:sz="4" w:space="0"/>
              <w:right w:val="single" w:color="auto" w:sz="4" w:space="0"/>
            </w:tcBorders>
            <w:shd w:val="clear" w:color="auto" w:fill="auto"/>
            <w:vAlign w:val="center"/>
          </w:tcPr>
          <w:p w14:paraId="7D1176A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52A09EF2">
        <w:tblPrEx>
          <w:tblCellMar>
            <w:top w:w="0" w:type="dxa"/>
            <w:left w:w="108" w:type="dxa"/>
            <w:bottom w:w="0" w:type="dxa"/>
            <w:right w:w="108" w:type="dxa"/>
          </w:tblCellMar>
        </w:tblPrEx>
        <w:trPr>
          <w:trHeight w:val="213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91F16B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w:t>
            </w:r>
          </w:p>
        </w:tc>
        <w:tc>
          <w:tcPr>
            <w:tcW w:w="989" w:type="dxa"/>
            <w:tcBorders>
              <w:top w:val="nil"/>
              <w:left w:val="nil"/>
              <w:bottom w:val="single" w:color="auto" w:sz="4" w:space="0"/>
              <w:right w:val="single" w:color="auto" w:sz="4" w:space="0"/>
            </w:tcBorders>
            <w:shd w:val="clear" w:color="auto" w:fill="auto"/>
            <w:vAlign w:val="center"/>
          </w:tcPr>
          <w:p w14:paraId="5F34B489">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智能分析服务器终端</w:t>
            </w:r>
          </w:p>
        </w:tc>
        <w:tc>
          <w:tcPr>
            <w:tcW w:w="5581" w:type="dxa"/>
            <w:tcBorders>
              <w:top w:val="nil"/>
              <w:left w:val="nil"/>
              <w:bottom w:val="single" w:color="auto" w:sz="4" w:space="0"/>
              <w:right w:val="single" w:color="auto" w:sz="4" w:space="0"/>
            </w:tcBorders>
            <w:shd w:val="clear" w:color="auto" w:fill="auto"/>
            <w:vAlign w:val="center"/>
          </w:tcPr>
          <w:p w14:paraId="4924A6C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1、支持对接入的视频进行车辆捕获、车牌识别、车辆特征识别、人体捕获、目标抓拍和人体属性识别。</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2、支持最大4路1080P网络相机视频接入分析。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3、支持SDK、RTSP、ONVIF和GB28181方式接入相机或者NVR视频资源。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4、支持SDK、GB1400、FTP、ISUP和云存储上传图片数据。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5、支持SDK、RTSP、ONVIF、ISUP、GB28181和萤石上传视频数据。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6、支持抓拍图片独立配置字符叠加功能。</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7、支持GB35114协议。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8、支持车牌黑白名单比对功能，最大支持10万条记录。</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9、内置32G存储卡，支持图片录像本地存储与查询。</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10、3个RJ45 百兆千兆自适应以太网口，1个RS232接口，1个485接口;1个USB 3.0接口</w:t>
            </w:r>
          </w:p>
        </w:tc>
        <w:tc>
          <w:tcPr>
            <w:tcW w:w="926" w:type="dxa"/>
            <w:tcBorders>
              <w:top w:val="nil"/>
              <w:left w:val="nil"/>
              <w:bottom w:val="single" w:color="auto" w:sz="4" w:space="0"/>
              <w:right w:val="single" w:color="auto" w:sz="4" w:space="0"/>
            </w:tcBorders>
            <w:shd w:val="clear" w:color="auto" w:fill="auto"/>
            <w:vAlign w:val="center"/>
          </w:tcPr>
          <w:p w14:paraId="0EE119E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32</w:t>
            </w:r>
          </w:p>
        </w:tc>
        <w:tc>
          <w:tcPr>
            <w:tcW w:w="558" w:type="dxa"/>
            <w:tcBorders>
              <w:top w:val="nil"/>
              <w:left w:val="nil"/>
              <w:bottom w:val="single" w:color="auto" w:sz="4" w:space="0"/>
              <w:right w:val="single" w:color="auto" w:sz="4" w:space="0"/>
            </w:tcBorders>
            <w:shd w:val="clear" w:color="auto" w:fill="auto"/>
            <w:vAlign w:val="center"/>
          </w:tcPr>
          <w:p w14:paraId="0941FD1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7358EC93">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836157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w:t>
            </w:r>
          </w:p>
        </w:tc>
        <w:tc>
          <w:tcPr>
            <w:tcW w:w="989" w:type="dxa"/>
            <w:tcBorders>
              <w:top w:val="nil"/>
              <w:left w:val="nil"/>
              <w:bottom w:val="single" w:color="auto" w:sz="4" w:space="0"/>
              <w:right w:val="single" w:color="auto" w:sz="4" w:space="0"/>
            </w:tcBorders>
            <w:shd w:val="clear" w:color="auto" w:fill="auto"/>
            <w:vAlign w:val="center"/>
          </w:tcPr>
          <w:p w14:paraId="0C20DE9B">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接入交换机</w:t>
            </w:r>
          </w:p>
        </w:tc>
        <w:tc>
          <w:tcPr>
            <w:tcW w:w="5581" w:type="dxa"/>
            <w:tcBorders>
              <w:top w:val="nil"/>
              <w:left w:val="nil"/>
              <w:bottom w:val="single" w:color="auto" w:sz="4" w:space="0"/>
              <w:right w:val="single" w:color="auto" w:sz="4" w:space="0"/>
            </w:tcBorders>
            <w:shd w:val="clear" w:color="auto" w:fill="auto"/>
            <w:vAlign w:val="center"/>
          </w:tcPr>
          <w:p w14:paraId="52881F3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1、8口交换机；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2、交换容量1.6Gbps；</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3、包转发率1.2Mpps；</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4、坚固式高强度金属外壳。</w:t>
            </w:r>
          </w:p>
        </w:tc>
        <w:tc>
          <w:tcPr>
            <w:tcW w:w="926" w:type="dxa"/>
            <w:tcBorders>
              <w:top w:val="nil"/>
              <w:left w:val="nil"/>
              <w:bottom w:val="single" w:color="auto" w:sz="4" w:space="0"/>
              <w:right w:val="single" w:color="auto" w:sz="4" w:space="0"/>
            </w:tcBorders>
            <w:shd w:val="clear" w:color="auto" w:fill="auto"/>
            <w:vAlign w:val="center"/>
          </w:tcPr>
          <w:p w14:paraId="65DFECC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70</w:t>
            </w:r>
          </w:p>
        </w:tc>
        <w:tc>
          <w:tcPr>
            <w:tcW w:w="558" w:type="dxa"/>
            <w:tcBorders>
              <w:top w:val="nil"/>
              <w:left w:val="nil"/>
              <w:bottom w:val="single" w:color="auto" w:sz="4" w:space="0"/>
              <w:right w:val="single" w:color="auto" w:sz="4" w:space="0"/>
            </w:tcBorders>
            <w:shd w:val="clear" w:color="auto" w:fill="auto"/>
            <w:vAlign w:val="center"/>
          </w:tcPr>
          <w:p w14:paraId="0C3EBED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01470149">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807C2A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989" w:type="dxa"/>
            <w:tcBorders>
              <w:top w:val="nil"/>
              <w:left w:val="nil"/>
              <w:bottom w:val="single" w:color="auto" w:sz="4" w:space="0"/>
              <w:right w:val="single" w:color="auto" w:sz="4" w:space="0"/>
            </w:tcBorders>
            <w:shd w:val="clear" w:color="auto" w:fill="auto"/>
            <w:vAlign w:val="center"/>
          </w:tcPr>
          <w:p w14:paraId="07CB193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全点阵屏</w:t>
            </w:r>
          </w:p>
        </w:tc>
        <w:tc>
          <w:tcPr>
            <w:tcW w:w="5581" w:type="dxa"/>
            <w:tcBorders>
              <w:top w:val="nil"/>
              <w:left w:val="nil"/>
              <w:bottom w:val="single" w:color="auto" w:sz="4" w:space="0"/>
              <w:right w:val="single" w:color="auto" w:sz="4" w:space="0"/>
            </w:tcBorders>
            <w:shd w:val="clear" w:color="auto" w:fill="auto"/>
            <w:vAlign w:val="center"/>
          </w:tcPr>
          <w:p w14:paraId="595E2F8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P10全彩交通诱导屏（2.88*2.72m），详见参数5.1-5.7</w:t>
            </w:r>
          </w:p>
        </w:tc>
        <w:tc>
          <w:tcPr>
            <w:tcW w:w="926" w:type="dxa"/>
            <w:tcBorders>
              <w:top w:val="nil"/>
              <w:left w:val="nil"/>
              <w:bottom w:val="single" w:color="auto" w:sz="4" w:space="0"/>
              <w:right w:val="single" w:color="auto" w:sz="4" w:space="0"/>
            </w:tcBorders>
            <w:shd w:val="clear" w:color="auto" w:fill="auto"/>
            <w:vAlign w:val="center"/>
          </w:tcPr>
          <w:p w14:paraId="6466A59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558" w:type="dxa"/>
            <w:tcBorders>
              <w:top w:val="nil"/>
              <w:left w:val="nil"/>
              <w:bottom w:val="single" w:color="auto" w:sz="4" w:space="0"/>
              <w:right w:val="single" w:color="auto" w:sz="4" w:space="0"/>
            </w:tcBorders>
            <w:shd w:val="clear" w:color="auto" w:fill="auto"/>
            <w:vAlign w:val="center"/>
          </w:tcPr>
          <w:p w14:paraId="043CA9E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2D72BB26">
        <w:tblPrEx>
          <w:shd w:val="clear" w:color="auto" w:fill="auto"/>
          <w:tblCellMar>
            <w:top w:w="0" w:type="dxa"/>
            <w:left w:w="108" w:type="dxa"/>
            <w:bottom w:w="0" w:type="dxa"/>
            <w:right w:w="108" w:type="dxa"/>
          </w:tblCellMar>
        </w:tblPrEx>
        <w:trPr>
          <w:trHeight w:val="274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7651D2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5.1</w:t>
            </w:r>
          </w:p>
        </w:tc>
        <w:tc>
          <w:tcPr>
            <w:tcW w:w="989" w:type="dxa"/>
            <w:tcBorders>
              <w:top w:val="nil"/>
              <w:left w:val="nil"/>
              <w:bottom w:val="single" w:color="auto" w:sz="4" w:space="0"/>
              <w:right w:val="single" w:color="auto" w:sz="4" w:space="0"/>
            </w:tcBorders>
            <w:shd w:val="clear" w:color="auto" w:fill="auto"/>
            <w:vAlign w:val="center"/>
          </w:tcPr>
          <w:p w14:paraId="17DC78C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LED显示屏</w:t>
            </w:r>
          </w:p>
        </w:tc>
        <w:tc>
          <w:tcPr>
            <w:tcW w:w="5581" w:type="dxa"/>
            <w:tcBorders>
              <w:top w:val="nil"/>
              <w:left w:val="nil"/>
              <w:bottom w:val="single" w:color="auto" w:sz="4" w:space="0"/>
              <w:right w:val="single" w:color="auto" w:sz="4" w:space="0"/>
            </w:tcBorders>
            <w:shd w:val="clear" w:color="auto" w:fill="auto"/>
            <w:vAlign w:val="center"/>
          </w:tcPr>
          <w:p w14:paraId="3C021D90">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 xml:space="preserve">全点阵屏 </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P10全彩诱导屏（2.88*2.72m）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 像素间距 10mm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 像素组成 1R1G1B 全彩</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 像素密度 10000 点 /㎡</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 模组尺寸 320mm × 160mm（标准模组）</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 白平衡亮度 ≥8000 cd/㎡（交通级高亮）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 亮度调节范围 50–8000 cd/㎡，支持自动 / 手动调节</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 对比度 ≥1000:1</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 水平视角 ≥100°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 垂直视角 ≥50°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 刷新率 ≥1920Hz（防监控摄像头水波纹）</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11 灰度等级 16bit，支持 65536 级灰度</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12 色温 3000–9500K 可调</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13 显示颜色 ≥1677 万色</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14 工作环境温度 -30℃ ~ +60℃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15 相对湿度 10% ~ 95% RH（无凝露）</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16 供电方式 AC220V ±15%，50Hz</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17 平均无故障时间 ≥100000 小时</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18 使用寿命 ≥100000 小时</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19 系统控制方式 同步 / 异步双控，支持远程在线控制</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20 通讯方式 支持光纤 / 以太网 / 4G/5G 可选</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21 显示内容 支持文字、图片、动画、视频、交通标志等</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22 防雷等级 电源及信号端口均满足二级防雷标准</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23 接地电阻 ≤4Ω</w:t>
            </w:r>
          </w:p>
        </w:tc>
        <w:tc>
          <w:tcPr>
            <w:tcW w:w="926" w:type="dxa"/>
            <w:tcBorders>
              <w:top w:val="nil"/>
              <w:left w:val="nil"/>
              <w:bottom w:val="single" w:color="auto" w:sz="4" w:space="0"/>
              <w:right w:val="single" w:color="auto" w:sz="4" w:space="0"/>
            </w:tcBorders>
            <w:shd w:val="clear" w:color="auto" w:fill="auto"/>
            <w:vAlign w:val="center"/>
          </w:tcPr>
          <w:p w14:paraId="71F396EC">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7.83</w:t>
            </w:r>
          </w:p>
        </w:tc>
        <w:tc>
          <w:tcPr>
            <w:tcW w:w="558" w:type="dxa"/>
            <w:tcBorders>
              <w:top w:val="nil"/>
              <w:left w:val="nil"/>
              <w:bottom w:val="single" w:color="auto" w:sz="4" w:space="0"/>
              <w:right w:val="single" w:color="auto" w:sz="4" w:space="0"/>
            </w:tcBorders>
            <w:shd w:val="clear" w:color="auto" w:fill="auto"/>
            <w:vAlign w:val="center"/>
          </w:tcPr>
          <w:p w14:paraId="237BC56A">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2</w:t>
            </w:r>
          </w:p>
        </w:tc>
      </w:tr>
      <w:tr w14:paraId="419237B5">
        <w:tblPrEx>
          <w:shd w:val="clear" w:color="auto" w:fill="auto"/>
          <w:tblCellMar>
            <w:top w:w="0" w:type="dxa"/>
            <w:left w:w="108" w:type="dxa"/>
            <w:bottom w:w="0" w:type="dxa"/>
            <w:right w:w="108" w:type="dxa"/>
          </w:tblCellMar>
        </w:tblPrEx>
        <w:trPr>
          <w:trHeight w:val="262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B6A6DF6">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5.2</w:t>
            </w:r>
          </w:p>
        </w:tc>
        <w:tc>
          <w:tcPr>
            <w:tcW w:w="989" w:type="dxa"/>
            <w:tcBorders>
              <w:top w:val="nil"/>
              <w:left w:val="nil"/>
              <w:bottom w:val="single" w:color="auto" w:sz="4" w:space="0"/>
              <w:right w:val="single" w:color="auto" w:sz="4" w:space="0"/>
            </w:tcBorders>
            <w:shd w:val="clear" w:color="auto" w:fill="auto"/>
            <w:vAlign w:val="center"/>
          </w:tcPr>
          <w:p w14:paraId="2D63C78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控制器</w:t>
            </w:r>
          </w:p>
        </w:tc>
        <w:tc>
          <w:tcPr>
            <w:tcW w:w="5581" w:type="dxa"/>
            <w:tcBorders>
              <w:top w:val="nil"/>
              <w:left w:val="nil"/>
              <w:bottom w:val="single" w:color="auto" w:sz="4" w:space="0"/>
              <w:right w:val="single" w:color="auto" w:sz="4" w:space="0"/>
            </w:tcBorders>
            <w:shd w:val="clear" w:color="auto" w:fill="auto"/>
            <w:vAlign w:val="center"/>
          </w:tcPr>
          <w:p w14:paraId="3DF5791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1、适用于中小型全彩屏。最大带载65万点，最高2048点，不折行超长带载7968点；1个千兆网口输出；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2、硬件配置：1.2GHz双核处理器，4GByte存储容量，支持USB扩展至256GB。支持1080P高清硬解码播放，支持H.265超强视频解码；1路AUDIO音频输出；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3、支持各种LED驱动芯片和译码芯片，支持静态至1/128扫描之间的任意扫描类型。支持SM16188B模组；</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4、板载通讯接口：100M网口+USB接口+WiFi接口+4G接口+GPS接口；</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5、标配亮度、温度、温湿度传感器接口；标配独立GPS接口，支持校时、定位和测速；</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6、支持16级亮度调整，支持三种亮度调整模式：手动调亮、分时段自动调亮和环境自适应调亮；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7、支持网口单机直连、局域网和互联网通讯。标配无线wifi，支持手机APP，满足无线局域网应用；选配4G，选配GPS；</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8、支持网络自检功能。支持IP在线配置和群组设置，MAC冲突和IP冲突自动检测；</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9、支持MQTT协议，无缝链接物联网平台；</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10、内置LINUX系统。更稳定，更安全；</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11、适配国产操作系统，Ledshow Suite软件、iLEDSys信息发布平台全面支持麒麟、统信国产操作系统，支持TiDB国产数据库；</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12、节目数量不限。支持节目任意位置开窗分区，支持32个区域，特殊需求可定制扩展。支持天气区、图文区、字幕区、视频区、农历区、时间区、模拟表盘、正负计时、传感器区、动态区、网络数据分区等；</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13、支持区域炫彩边框、炫彩字幕和炫动背景；移动速度任意调节。画面移动平滑流畅，左移速度可达600点/秒；支持32bit真彩OSD，实现视频区和图文区叠加播放，256级透明显示；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14、支持节目顺序播放、节目定时播放；支持紧急通知；支持32个动态区域，支持信息实时刷新； 支持NTP校时功能，精准同步时间；</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15、支持国内国外天气预报自动更新。国外超过21000个城市，国内支持到所有县区；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16、支持多屏同步、背景音乐、日志记录、截屏监视等功能；</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17、支持网络数据分区功能，通过服务器端URL并指定字段，动态获取JSON文件数据和JSON字段值；</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18、支持对播放器设置通讯密码； 支持SSL/TLS加密协议，保障通讯信息安全。支持数字签名认证技术，保障素材传输正确和安全；</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19、支持配置参数回读、工厂复位、固件升级功能，支持远程维护LED显示屏；极大方便系统维护和功能升级，为客户有效节约成本，降低项目风险；</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20、强大的二次开发配套能力。提供支持WINDOWS/LINUX/ANDROID/iOS 等主要操作系统的二次开发包，包括各种动态库、通讯协议、测试例程等 支持JAVA/C/C++/C#/Delphi等主流编程语言，支持用户在各种平台进行二次开发，最大程度满足用户的个性化定制。</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21、专业级的云应用和信息安全管控。提供配套的专业级云平台发布软件和手机App，通过国家信息安全等级保护三级认证；具备用户实名认证、多级角色权限管理、节目编辑/审核/发布、显示屏自适应节目发布等功能；具备远程LED显示屏管理功能、显示屏状态监测功能；具备节目发布报表生成、屏幕信息在线监控、应急多级审核机制的信息安全保障功能。</w:t>
            </w:r>
          </w:p>
        </w:tc>
        <w:tc>
          <w:tcPr>
            <w:tcW w:w="926" w:type="dxa"/>
            <w:tcBorders>
              <w:top w:val="nil"/>
              <w:left w:val="nil"/>
              <w:bottom w:val="single" w:color="auto" w:sz="4" w:space="0"/>
              <w:right w:val="single" w:color="auto" w:sz="4" w:space="0"/>
            </w:tcBorders>
            <w:shd w:val="clear" w:color="auto" w:fill="auto"/>
            <w:vAlign w:val="center"/>
          </w:tcPr>
          <w:p w14:paraId="2355505B">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0AC76BA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3E6CA620">
        <w:tblPrEx>
          <w:shd w:val="clear" w:color="auto" w:fill="auto"/>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9A435B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5.3</w:t>
            </w:r>
          </w:p>
        </w:tc>
        <w:tc>
          <w:tcPr>
            <w:tcW w:w="989" w:type="dxa"/>
            <w:tcBorders>
              <w:top w:val="nil"/>
              <w:left w:val="nil"/>
              <w:bottom w:val="single" w:color="auto" w:sz="4" w:space="0"/>
              <w:right w:val="single" w:color="auto" w:sz="4" w:space="0"/>
            </w:tcBorders>
            <w:shd w:val="clear" w:color="auto" w:fill="auto"/>
            <w:vAlign w:val="center"/>
          </w:tcPr>
          <w:p w14:paraId="61B3B4F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接收卡</w:t>
            </w:r>
          </w:p>
        </w:tc>
        <w:tc>
          <w:tcPr>
            <w:tcW w:w="5581" w:type="dxa"/>
            <w:tcBorders>
              <w:top w:val="nil"/>
              <w:left w:val="nil"/>
              <w:bottom w:val="single" w:color="auto" w:sz="4" w:space="0"/>
              <w:right w:val="single" w:color="auto" w:sz="4" w:space="0"/>
            </w:tcBorders>
            <w:shd w:val="clear" w:color="auto" w:fill="auto"/>
            <w:vAlign w:val="center"/>
          </w:tcPr>
          <w:p w14:paraId="0ABE024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1、集成12组75接口，24组RGB信号输出，无需转接板；</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2、支持静态至1/128扫描之间的任意扫描类型，支持各种LED驱动芯片和译码芯片，支持各种LED显示模组，支持SM16188B特殊模组；</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3、支持低亮高灰、低灰补偿、色彩还原、逐点校正、快速修缝、RGB独立Gamma调节技术，大幅提升显示屏的画质</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4、支持数据对开，有助于显著提升刷新率，；支持数据组任意交换，有助于合理布局接收卡，提升显示屏质量；</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5、支持数据偏移，支持从左到右、从右到左、从上到下、从下到上任意数据走线，支持异形箱体功能、复杂调屏功能，灵活实现各种不规则异形屏幕构造和创意显示控制；</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6、支持画面旋转功能和3D显示功能，满足特殊显示需求；</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7、支持快捷模组配置、智能扫描、智能向导设置、Mapping功能、接收卡定位、内置画布调试等功能模块，调试软件集成各品牌厂家模组配置文件，云端备份，极大方便显示屏快捷安装调试，保障显示屏后期维护；</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8、支持配置参数备份、环路备份功能、自动断电功能，最大程度地保障系统的稳定运行，保障显示屏安全；</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9、支持误码率检测、指示灯状态监控、电源监测、盐雾监测、温湿度监测，提供完备的显示屏运行状态监控功能；</w:t>
            </w:r>
          </w:p>
        </w:tc>
        <w:tc>
          <w:tcPr>
            <w:tcW w:w="926" w:type="dxa"/>
            <w:tcBorders>
              <w:top w:val="nil"/>
              <w:left w:val="nil"/>
              <w:bottom w:val="single" w:color="auto" w:sz="4" w:space="0"/>
              <w:right w:val="single" w:color="auto" w:sz="4" w:space="0"/>
            </w:tcBorders>
            <w:shd w:val="clear" w:color="auto" w:fill="auto"/>
            <w:vAlign w:val="center"/>
          </w:tcPr>
          <w:p w14:paraId="1CDF67E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558" w:type="dxa"/>
            <w:tcBorders>
              <w:top w:val="nil"/>
              <w:left w:val="nil"/>
              <w:bottom w:val="single" w:color="auto" w:sz="4" w:space="0"/>
              <w:right w:val="single" w:color="auto" w:sz="4" w:space="0"/>
            </w:tcBorders>
            <w:shd w:val="clear" w:color="auto" w:fill="auto"/>
            <w:vAlign w:val="center"/>
          </w:tcPr>
          <w:p w14:paraId="55942B2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块</w:t>
            </w:r>
          </w:p>
        </w:tc>
      </w:tr>
      <w:tr w14:paraId="340E94DE">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88EBBA8">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5.4</w:t>
            </w:r>
          </w:p>
        </w:tc>
        <w:tc>
          <w:tcPr>
            <w:tcW w:w="989" w:type="dxa"/>
            <w:tcBorders>
              <w:top w:val="nil"/>
              <w:left w:val="nil"/>
              <w:bottom w:val="single" w:color="auto" w:sz="4" w:space="0"/>
              <w:right w:val="single" w:color="auto" w:sz="4" w:space="0"/>
            </w:tcBorders>
            <w:shd w:val="clear" w:color="auto" w:fill="auto"/>
            <w:vAlign w:val="center"/>
          </w:tcPr>
          <w:p w14:paraId="1434DF3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电源</w:t>
            </w:r>
          </w:p>
        </w:tc>
        <w:tc>
          <w:tcPr>
            <w:tcW w:w="5581" w:type="dxa"/>
            <w:tcBorders>
              <w:top w:val="nil"/>
              <w:left w:val="nil"/>
              <w:bottom w:val="single" w:color="auto" w:sz="4" w:space="0"/>
              <w:right w:val="single" w:color="auto" w:sz="4" w:space="0"/>
            </w:tcBorders>
            <w:shd w:val="clear" w:color="auto" w:fill="auto"/>
            <w:vAlign w:val="center"/>
          </w:tcPr>
          <w:p w14:paraId="7222A4E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5V40A200W  输入电压范围：176-264VAC</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输入频率范围：47-63HZ</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额定输入(Vac):200V-240V</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输出(vdc):5V/60A</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输出电压范围：4.85V-5.15V</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负载调整率：±2%</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稳压精度：±3%</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工作温度：-40℃-70℃</w:t>
            </w:r>
          </w:p>
        </w:tc>
        <w:tc>
          <w:tcPr>
            <w:tcW w:w="926" w:type="dxa"/>
            <w:tcBorders>
              <w:top w:val="nil"/>
              <w:left w:val="nil"/>
              <w:bottom w:val="single" w:color="auto" w:sz="4" w:space="0"/>
              <w:right w:val="single" w:color="auto" w:sz="4" w:space="0"/>
            </w:tcBorders>
            <w:shd w:val="clear" w:color="auto" w:fill="auto"/>
            <w:vAlign w:val="center"/>
          </w:tcPr>
          <w:p w14:paraId="251D3FB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45</w:t>
            </w:r>
          </w:p>
        </w:tc>
        <w:tc>
          <w:tcPr>
            <w:tcW w:w="558" w:type="dxa"/>
            <w:tcBorders>
              <w:top w:val="nil"/>
              <w:left w:val="nil"/>
              <w:bottom w:val="single" w:color="auto" w:sz="4" w:space="0"/>
              <w:right w:val="single" w:color="auto" w:sz="4" w:space="0"/>
            </w:tcBorders>
            <w:shd w:val="clear" w:color="auto" w:fill="auto"/>
            <w:vAlign w:val="center"/>
          </w:tcPr>
          <w:p w14:paraId="792BDBA2">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个</w:t>
            </w:r>
          </w:p>
        </w:tc>
      </w:tr>
      <w:tr w14:paraId="2EFFF287">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FABA2E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5.5</w:t>
            </w:r>
          </w:p>
        </w:tc>
        <w:tc>
          <w:tcPr>
            <w:tcW w:w="989" w:type="dxa"/>
            <w:tcBorders>
              <w:top w:val="nil"/>
              <w:left w:val="nil"/>
              <w:bottom w:val="single" w:color="auto" w:sz="4" w:space="0"/>
              <w:right w:val="single" w:color="auto" w:sz="4" w:space="0"/>
            </w:tcBorders>
            <w:shd w:val="clear" w:color="auto" w:fill="auto"/>
            <w:vAlign w:val="center"/>
          </w:tcPr>
          <w:p w14:paraId="0D9207A3">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防水箱体</w:t>
            </w:r>
          </w:p>
        </w:tc>
        <w:tc>
          <w:tcPr>
            <w:tcW w:w="5581" w:type="dxa"/>
            <w:tcBorders>
              <w:top w:val="nil"/>
              <w:left w:val="nil"/>
              <w:bottom w:val="single" w:color="auto" w:sz="4" w:space="0"/>
              <w:right w:val="single" w:color="auto" w:sz="4" w:space="0"/>
            </w:tcBorders>
            <w:shd w:val="clear" w:color="auto" w:fill="auto"/>
            <w:vAlign w:val="center"/>
          </w:tcPr>
          <w:p w14:paraId="676AE13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材质spcc镀锌钢板，材料厚度1.2mm，双层机箱，内置风扇，防风防水，表面静电喷塑，防水ip65</w:t>
            </w:r>
          </w:p>
        </w:tc>
        <w:tc>
          <w:tcPr>
            <w:tcW w:w="926" w:type="dxa"/>
            <w:tcBorders>
              <w:top w:val="nil"/>
              <w:left w:val="nil"/>
              <w:bottom w:val="single" w:color="auto" w:sz="4" w:space="0"/>
              <w:right w:val="single" w:color="auto" w:sz="4" w:space="0"/>
            </w:tcBorders>
            <w:shd w:val="clear" w:color="auto" w:fill="auto"/>
            <w:vAlign w:val="center"/>
          </w:tcPr>
          <w:p w14:paraId="3A9AAF4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7.83</w:t>
            </w:r>
          </w:p>
        </w:tc>
        <w:tc>
          <w:tcPr>
            <w:tcW w:w="558" w:type="dxa"/>
            <w:tcBorders>
              <w:top w:val="nil"/>
              <w:left w:val="nil"/>
              <w:bottom w:val="single" w:color="auto" w:sz="4" w:space="0"/>
              <w:right w:val="single" w:color="auto" w:sz="4" w:space="0"/>
            </w:tcBorders>
            <w:shd w:val="clear" w:color="auto" w:fill="auto"/>
            <w:vAlign w:val="center"/>
          </w:tcPr>
          <w:p w14:paraId="1B0FA0C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2</w:t>
            </w:r>
          </w:p>
        </w:tc>
      </w:tr>
      <w:tr w14:paraId="673FE8C7">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C25B1D3">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5.6</w:t>
            </w:r>
          </w:p>
        </w:tc>
        <w:tc>
          <w:tcPr>
            <w:tcW w:w="989" w:type="dxa"/>
            <w:tcBorders>
              <w:top w:val="nil"/>
              <w:left w:val="nil"/>
              <w:bottom w:val="single" w:color="auto" w:sz="4" w:space="0"/>
              <w:right w:val="single" w:color="auto" w:sz="4" w:space="0"/>
            </w:tcBorders>
            <w:shd w:val="clear" w:color="auto" w:fill="auto"/>
            <w:vAlign w:val="center"/>
          </w:tcPr>
          <w:p w14:paraId="3249519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箱体组装</w:t>
            </w:r>
          </w:p>
        </w:tc>
        <w:tc>
          <w:tcPr>
            <w:tcW w:w="5581" w:type="dxa"/>
            <w:tcBorders>
              <w:top w:val="nil"/>
              <w:left w:val="nil"/>
              <w:bottom w:val="single" w:color="auto" w:sz="4" w:space="0"/>
              <w:right w:val="single" w:color="auto" w:sz="4" w:space="0"/>
            </w:tcBorders>
            <w:shd w:val="clear" w:color="auto" w:fill="auto"/>
            <w:vAlign w:val="center"/>
          </w:tcPr>
          <w:p w14:paraId="373B6E1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箱体组装</w:t>
            </w:r>
          </w:p>
        </w:tc>
        <w:tc>
          <w:tcPr>
            <w:tcW w:w="926" w:type="dxa"/>
            <w:tcBorders>
              <w:top w:val="nil"/>
              <w:left w:val="nil"/>
              <w:bottom w:val="single" w:color="auto" w:sz="4" w:space="0"/>
              <w:right w:val="single" w:color="auto" w:sz="4" w:space="0"/>
            </w:tcBorders>
            <w:shd w:val="clear" w:color="auto" w:fill="auto"/>
            <w:vAlign w:val="center"/>
          </w:tcPr>
          <w:p w14:paraId="4B66384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7.83</w:t>
            </w:r>
          </w:p>
        </w:tc>
        <w:tc>
          <w:tcPr>
            <w:tcW w:w="558" w:type="dxa"/>
            <w:tcBorders>
              <w:top w:val="nil"/>
              <w:left w:val="nil"/>
              <w:bottom w:val="single" w:color="auto" w:sz="4" w:space="0"/>
              <w:right w:val="single" w:color="auto" w:sz="4" w:space="0"/>
            </w:tcBorders>
            <w:shd w:val="clear" w:color="auto" w:fill="auto"/>
            <w:vAlign w:val="center"/>
          </w:tcPr>
          <w:p w14:paraId="0FD6C97C">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2</w:t>
            </w:r>
          </w:p>
        </w:tc>
      </w:tr>
      <w:tr w14:paraId="42D5FD99">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A32AA8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5.7</w:t>
            </w:r>
          </w:p>
        </w:tc>
        <w:tc>
          <w:tcPr>
            <w:tcW w:w="989" w:type="dxa"/>
            <w:tcBorders>
              <w:top w:val="nil"/>
              <w:left w:val="nil"/>
              <w:bottom w:val="single" w:color="auto" w:sz="4" w:space="0"/>
              <w:right w:val="single" w:color="auto" w:sz="4" w:space="0"/>
            </w:tcBorders>
            <w:shd w:val="clear" w:color="auto" w:fill="auto"/>
            <w:vAlign w:val="center"/>
          </w:tcPr>
          <w:p w14:paraId="49CCDC90">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检修平台</w:t>
            </w:r>
          </w:p>
        </w:tc>
        <w:tc>
          <w:tcPr>
            <w:tcW w:w="5581" w:type="dxa"/>
            <w:tcBorders>
              <w:top w:val="nil"/>
              <w:left w:val="nil"/>
              <w:bottom w:val="single" w:color="auto" w:sz="4" w:space="0"/>
              <w:right w:val="single" w:color="auto" w:sz="4" w:space="0"/>
            </w:tcBorders>
            <w:shd w:val="clear" w:color="auto" w:fill="auto"/>
            <w:vAlign w:val="center"/>
          </w:tcPr>
          <w:p w14:paraId="153B314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检修平台材料:40*40-3.0，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平台尺寸:长宽2980mm*600mm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平台宽度：≥600mm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平台长度：≥屏宽 + 两侧各 300mm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平台离地：一般 6–8m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踏板：花纹钢板 / 格栅板，厚度≥4mm，防滑、排水</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踏步间距：300mm ±20mm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踏步：防滑花纹板 / 圆钢，厚度≥2.0mm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护笼：≥2m 以上必须护笼，笼直径 650–800mm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材质：Q235B，热镀锌</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平台宽：400mm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护栏高：1100mm（上中下三道横杆）</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直梯：400mm 宽，300mm 步距，带护笼</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整体：热镀锌 + 喷塑，黄色警示条</w:t>
            </w:r>
          </w:p>
        </w:tc>
        <w:tc>
          <w:tcPr>
            <w:tcW w:w="926" w:type="dxa"/>
            <w:tcBorders>
              <w:top w:val="nil"/>
              <w:left w:val="nil"/>
              <w:bottom w:val="single" w:color="auto" w:sz="4" w:space="0"/>
              <w:right w:val="single" w:color="auto" w:sz="4" w:space="0"/>
            </w:tcBorders>
            <w:shd w:val="clear" w:color="auto" w:fill="auto"/>
            <w:vAlign w:val="center"/>
          </w:tcPr>
          <w:p w14:paraId="1CEDB4B8">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738BCD7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68BB2C9C">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A4E8D7B">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5.8</w:t>
            </w:r>
          </w:p>
        </w:tc>
        <w:tc>
          <w:tcPr>
            <w:tcW w:w="989" w:type="dxa"/>
            <w:tcBorders>
              <w:top w:val="nil"/>
              <w:left w:val="nil"/>
              <w:bottom w:val="single" w:color="auto" w:sz="4" w:space="0"/>
              <w:right w:val="single" w:color="auto" w:sz="4" w:space="0"/>
            </w:tcBorders>
            <w:shd w:val="clear" w:color="auto" w:fill="auto"/>
            <w:vAlign w:val="center"/>
          </w:tcPr>
          <w:p w14:paraId="37F2646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辅材</w:t>
            </w:r>
          </w:p>
        </w:tc>
        <w:tc>
          <w:tcPr>
            <w:tcW w:w="5581" w:type="dxa"/>
            <w:tcBorders>
              <w:top w:val="nil"/>
              <w:left w:val="nil"/>
              <w:bottom w:val="single" w:color="auto" w:sz="4" w:space="0"/>
              <w:right w:val="single" w:color="auto" w:sz="4" w:space="0"/>
            </w:tcBorders>
            <w:shd w:val="clear" w:color="auto" w:fill="auto"/>
            <w:vAlign w:val="center"/>
          </w:tcPr>
          <w:p w14:paraId="5F92B30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屏体内部三芯线 短网线 轧带  长短排线</w:t>
            </w:r>
          </w:p>
        </w:tc>
        <w:tc>
          <w:tcPr>
            <w:tcW w:w="926" w:type="dxa"/>
            <w:tcBorders>
              <w:top w:val="nil"/>
              <w:left w:val="nil"/>
              <w:bottom w:val="single" w:color="auto" w:sz="4" w:space="0"/>
              <w:right w:val="single" w:color="auto" w:sz="4" w:space="0"/>
            </w:tcBorders>
            <w:shd w:val="clear" w:color="auto" w:fill="auto"/>
            <w:vAlign w:val="center"/>
          </w:tcPr>
          <w:p w14:paraId="4ABB2D6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7.83</w:t>
            </w:r>
          </w:p>
        </w:tc>
        <w:tc>
          <w:tcPr>
            <w:tcW w:w="558" w:type="dxa"/>
            <w:tcBorders>
              <w:top w:val="nil"/>
              <w:left w:val="nil"/>
              <w:bottom w:val="single" w:color="auto" w:sz="4" w:space="0"/>
              <w:right w:val="single" w:color="auto" w:sz="4" w:space="0"/>
            </w:tcBorders>
            <w:shd w:val="clear" w:color="auto" w:fill="auto"/>
            <w:vAlign w:val="center"/>
          </w:tcPr>
          <w:p w14:paraId="67C83CB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2</w:t>
            </w:r>
          </w:p>
        </w:tc>
      </w:tr>
      <w:tr w14:paraId="515849F9">
        <w:tblPrEx>
          <w:shd w:val="clear" w:color="auto" w:fill="auto"/>
          <w:tblCellMar>
            <w:top w:w="0" w:type="dxa"/>
            <w:left w:w="108" w:type="dxa"/>
            <w:bottom w:w="0" w:type="dxa"/>
            <w:right w:w="108" w:type="dxa"/>
          </w:tblCellMar>
        </w:tblPrEx>
        <w:trPr>
          <w:trHeight w:val="11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E6529C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989" w:type="dxa"/>
            <w:tcBorders>
              <w:top w:val="nil"/>
              <w:left w:val="nil"/>
              <w:bottom w:val="single" w:color="auto" w:sz="4" w:space="0"/>
              <w:right w:val="single" w:color="auto" w:sz="4" w:space="0"/>
            </w:tcBorders>
            <w:shd w:val="clear" w:color="auto" w:fill="auto"/>
            <w:vAlign w:val="center"/>
          </w:tcPr>
          <w:p w14:paraId="35D07545">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大屏监看相机</w:t>
            </w:r>
          </w:p>
        </w:tc>
        <w:tc>
          <w:tcPr>
            <w:tcW w:w="5581" w:type="dxa"/>
            <w:tcBorders>
              <w:top w:val="nil"/>
              <w:left w:val="nil"/>
              <w:bottom w:val="single" w:color="auto" w:sz="4" w:space="0"/>
              <w:right w:val="single" w:color="auto" w:sz="4" w:space="0"/>
            </w:tcBorders>
            <w:shd w:val="clear" w:color="auto" w:fill="auto"/>
            <w:vAlign w:val="center"/>
          </w:tcPr>
          <w:p w14:paraId="59674C9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1、支持输出图像分辨率不低于3840*2160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2、具有不小于1/1.8"靶面尺寸。</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3、最低照度彩色：0.006 lx，最大亮度鉴别等级不小于11级。</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4、支持H.264、H.265视频编码格式，且具有High Profile编码能力。</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5、同一静止场景相同图像质量下，设备在H.264或H.265编码方式时，开启智能编码功能和不开6、启智能编码相比，码率节约50%。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7、具有RTSP和WEB认证模式，具有RTSP认证、WEB认证摘要信息加密设置，加密算法可设置为MD5、SHA256及MD5/SHA256。</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8、▲镜头前盖采用增强透光玻璃，透过率不小于97%。</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9、▲镜头前盖玻璃有利于玻璃表面的小水珠自动聚集并易于滑落。</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10、支持DC12V供电。</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11、防护等级不小于IP67。</w:t>
            </w:r>
          </w:p>
        </w:tc>
        <w:tc>
          <w:tcPr>
            <w:tcW w:w="926" w:type="dxa"/>
            <w:tcBorders>
              <w:top w:val="nil"/>
              <w:left w:val="nil"/>
              <w:bottom w:val="single" w:color="auto" w:sz="4" w:space="0"/>
              <w:right w:val="single" w:color="auto" w:sz="4" w:space="0"/>
            </w:tcBorders>
            <w:shd w:val="clear" w:color="auto" w:fill="auto"/>
            <w:vAlign w:val="center"/>
          </w:tcPr>
          <w:p w14:paraId="5EB9BD1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558" w:type="dxa"/>
            <w:tcBorders>
              <w:top w:val="nil"/>
              <w:left w:val="nil"/>
              <w:bottom w:val="single" w:color="auto" w:sz="4" w:space="0"/>
              <w:right w:val="single" w:color="auto" w:sz="4" w:space="0"/>
            </w:tcBorders>
            <w:shd w:val="clear" w:color="auto" w:fill="auto"/>
            <w:vAlign w:val="center"/>
          </w:tcPr>
          <w:p w14:paraId="244005A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14248FFD">
        <w:tblPrEx>
          <w:shd w:val="clear" w:color="auto" w:fill="auto"/>
          <w:tblCellMar>
            <w:top w:w="0" w:type="dxa"/>
            <w:left w:w="108" w:type="dxa"/>
            <w:bottom w:w="0" w:type="dxa"/>
            <w:right w:w="108" w:type="dxa"/>
          </w:tblCellMar>
        </w:tblPrEx>
        <w:trPr>
          <w:trHeight w:val="116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F67E33C">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w:t>
            </w:r>
          </w:p>
        </w:tc>
        <w:tc>
          <w:tcPr>
            <w:tcW w:w="989" w:type="dxa"/>
            <w:tcBorders>
              <w:top w:val="nil"/>
              <w:left w:val="nil"/>
              <w:bottom w:val="single" w:color="auto" w:sz="4" w:space="0"/>
              <w:right w:val="single" w:color="auto" w:sz="4" w:space="0"/>
            </w:tcBorders>
            <w:shd w:val="clear" w:color="auto" w:fill="auto"/>
            <w:vAlign w:val="center"/>
          </w:tcPr>
          <w:p w14:paraId="2F2F531B">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内容管控</w:t>
            </w:r>
          </w:p>
        </w:tc>
        <w:tc>
          <w:tcPr>
            <w:tcW w:w="5581" w:type="dxa"/>
            <w:tcBorders>
              <w:top w:val="nil"/>
              <w:left w:val="nil"/>
              <w:bottom w:val="single" w:color="auto" w:sz="4" w:space="0"/>
              <w:right w:val="single" w:color="auto" w:sz="4" w:space="0"/>
            </w:tcBorders>
            <w:shd w:val="clear" w:color="auto" w:fill="auto"/>
            <w:vAlign w:val="center"/>
          </w:tcPr>
          <w:p w14:paraId="16D92F12">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1、1U机箱；硬盘容量≥512G，内存≥32G，千兆电口≥2个，USB接口≥4个，扩展槽≥1个，1个HDMI接口，1个DP接口，1个MIC接口，1个 L-OUT接口，250W单电源。</w:t>
            </w:r>
          </w:p>
          <w:p w14:paraId="1E81893C">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检测涉黄视频或图片10万次，识别准确率不低于99.9%；检测暴恐视频或图片10万次，识别准确率不低于99.9%；检测涉政视频或图片10万次，识别准确率不低于99.9%；检测涉赌视频或图片10万次，识别准确率不低于99.9%；检测涉毒视频或图片10万次，识别准确率不低于99.9%；检测正常视频或图片100万次，误识率不高于1%。</w:t>
            </w:r>
          </w:p>
          <w:p w14:paraId="2D865C3B">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3、检测到违规内容时执行底图遮盖阻断反应的时间≤0.5s；检测到违规内容时执行关机阻断反应的时间≤0.5s。</w:t>
            </w:r>
          </w:p>
          <w:p w14:paraId="73C0DC87">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4、支持对所管控的电子屏、网关等资产状态进行展示；支持筛选遮盖、正常、息屏状态的资产；支持人工手动将被遮盖的资产恢复至正常状态；可显示资产在/离线状态，支持远程一键关机功能。</w:t>
            </w:r>
          </w:p>
          <w:p w14:paraId="3C9A58BD">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5、支持本地上传素材进行检测，检测类型包括压缩包、视频、图片、文本等类型，检测格式包括zip、tar、7z、mp4、mov、m4a、3gp、avi、flv、mpg、asf、jpg、png、pdf、txt等格式。</w:t>
            </w:r>
          </w:p>
          <w:p w14:paraId="0218DC42">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支持对素材进行敏感内容与敏感词检测，并对敏感内容与敏感词进行告警，告警内容包括文件名称、敏感类型、敏感词、敏感词类型、任务状态、素材来源、启动时间、告警场景、关键信息、异常统计、更新时间、白名单状态；支持用户输入密码查看与下载敏感素材；支持导出素材检测报告。</w:t>
            </w:r>
          </w:p>
          <w:p w14:paraId="55282F61">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7、支持通过本地挂载、远程挂载的方式上传素材进行检测。支持FTP文件扫描，支持定时扫描和周期扫描</w:t>
            </w:r>
          </w:p>
          <w:p w14:paraId="6693AB63">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8、可输入自定义敏感词，输入字符需大于等于2个字符；默认开启底线敏感词模式，自定义的敏感词不允许再添加进敏感词白名单中。</w:t>
            </w:r>
          </w:p>
          <w:p w14:paraId="6523A441">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支持对终端屏幕播放的敏感内容与敏感词进行告警，敏感内容告警包括告警时间、资产IP、敏感类型、告警场景、拦截策略、白名单状态；敏感词告警包括告警时间、资产IP、敏感词、敏感词类型、告警场景、拦截策略、白名单状态；用户可通过输入密码查看敏感内容与敏感词详情。</w:t>
            </w:r>
          </w:p>
          <w:p w14:paraId="755A299A">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10支持对终端屏幕设置内容检测开关、敏感词检测开关，并支持配置相似度阈值，当检测画面与敏感模型检测相似度高于阈值时可触发告警。</w:t>
            </w:r>
          </w:p>
          <w:p w14:paraId="1FFEAD57">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支持配置告警时间间隔与拦截策略，拦截策略包含忽略、屏幕遮盖、关机，当检测到屏上内容出现敏感内容或敏感词时，屏幕可播放预置图片或者关机进行处理；预置图片可由用户上传，支持横屏与竖屏展示预览效果。</w:t>
            </w:r>
          </w:p>
        </w:tc>
        <w:tc>
          <w:tcPr>
            <w:tcW w:w="926" w:type="dxa"/>
            <w:tcBorders>
              <w:top w:val="nil"/>
              <w:left w:val="nil"/>
              <w:bottom w:val="single" w:color="auto" w:sz="4" w:space="0"/>
              <w:right w:val="single" w:color="auto" w:sz="4" w:space="0"/>
            </w:tcBorders>
            <w:shd w:val="clear" w:color="auto" w:fill="auto"/>
            <w:vAlign w:val="center"/>
          </w:tcPr>
          <w:p w14:paraId="61B2F9F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79E3805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05BBBB55">
        <w:tblPrEx>
          <w:shd w:val="clear" w:color="auto" w:fill="auto"/>
          <w:tblCellMar>
            <w:top w:w="0" w:type="dxa"/>
            <w:left w:w="108" w:type="dxa"/>
            <w:bottom w:w="0" w:type="dxa"/>
            <w:right w:w="108" w:type="dxa"/>
          </w:tblCellMar>
        </w:tblPrEx>
        <w:trPr>
          <w:trHeight w:val="116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2FF01B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w:t>
            </w:r>
          </w:p>
        </w:tc>
        <w:tc>
          <w:tcPr>
            <w:tcW w:w="989" w:type="dxa"/>
            <w:tcBorders>
              <w:top w:val="nil"/>
              <w:left w:val="nil"/>
              <w:bottom w:val="single" w:color="auto" w:sz="4" w:space="0"/>
              <w:right w:val="single" w:color="auto" w:sz="4" w:space="0"/>
            </w:tcBorders>
            <w:shd w:val="clear" w:color="auto" w:fill="auto"/>
            <w:vAlign w:val="center"/>
          </w:tcPr>
          <w:p w14:paraId="7C95EE2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框架-交通诱导屏F型（定制）</w:t>
            </w:r>
          </w:p>
        </w:tc>
        <w:tc>
          <w:tcPr>
            <w:tcW w:w="5581" w:type="dxa"/>
            <w:tcBorders>
              <w:top w:val="nil"/>
              <w:left w:val="nil"/>
              <w:bottom w:val="single" w:color="auto" w:sz="4" w:space="0"/>
              <w:right w:val="single" w:color="auto" w:sz="4" w:space="0"/>
            </w:tcBorders>
            <w:shd w:val="clear" w:color="auto" w:fill="auto"/>
            <w:vAlign w:val="center"/>
          </w:tcPr>
          <w:p w14:paraId="083870A4">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交通诱导屏F型用框架，整体热浸锌，具备优秀的耐腐蚀性，结构稳定，牢固可靠；支持定制颜色，默认颜色银白色；</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国标Q235B，材料厚度T3.0-T10不等</w:t>
            </w:r>
          </w:p>
        </w:tc>
        <w:tc>
          <w:tcPr>
            <w:tcW w:w="926" w:type="dxa"/>
            <w:tcBorders>
              <w:top w:val="nil"/>
              <w:left w:val="nil"/>
              <w:bottom w:val="single" w:color="auto" w:sz="4" w:space="0"/>
              <w:right w:val="single" w:color="auto" w:sz="4" w:space="0"/>
            </w:tcBorders>
            <w:shd w:val="clear" w:color="auto" w:fill="auto"/>
            <w:vAlign w:val="center"/>
          </w:tcPr>
          <w:p w14:paraId="79D6883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558" w:type="dxa"/>
            <w:tcBorders>
              <w:top w:val="nil"/>
              <w:left w:val="nil"/>
              <w:bottom w:val="single" w:color="auto" w:sz="4" w:space="0"/>
              <w:right w:val="single" w:color="auto" w:sz="4" w:space="0"/>
            </w:tcBorders>
            <w:shd w:val="clear" w:color="auto" w:fill="auto"/>
            <w:vAlign w:val="center"/>
          </w:tcPr>
          <w:p w14:paraId="58A6820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2D52D202">
        <w:tblPrEx>
          <w:shd w:val="clear" w:color="auto" w:fill="auto"/>
          <w:tblCellMar>
            <w:top w:w="0" w:type="dxa"/>
            <w:left w:w="108" w:type="dxa"/>
            <w:bottom w:w="0" w:type="dxa"/>
            <w:right w:w="108" w:type="dxa"/>
          </w:tblCellMar>
        </w:tblPrEx>
        <w:trPr>
          <w:trHeight w:val="144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E8F1B8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w:t>
            </w:r>
          </w:p>
        </w:tc>
        <w:tc>
          <w:tcPr>
            <w:tcW w:w="989" w:type="dxa"/>
            <w:tcBorders>
              <w:top w:val="nil"/>
              <w:left w:val="nil"/>
              <w:bottom w:val="single" w:color="auto" w:sz="4" w:space="0"/>
              <w:right w:val="single" w:color="auto" w:sz="4" w:space="0"/>
            </w:tcBorders>
            <w:shd w:val="clear" w:color="auto" w:fill="auto"/>
            <w:vAlign w:val="center"/>
          </w:tcPr>
          <w:p w14:paraId="7194FC8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F杆件</w:t>
            </w:r>
          </w:p>
        </w:tc>
        <w:tc>
          <w:tcPr>
            <w:tcW w:w="5581" w:type="dxa"/>
            <w:tcBorders>
              <w:top w:val="nil"/>
              <w:left w:val="nil"/>
              <w:bottom w:val="single" w:color="auto" w:sz="4" w:space="0"/>
              <w:right w:val="single" w:color="auto" w:sz="4" w:space="0"/>
            </w:tcBorders>
            <w:shd w:val="clear" w:color="auto" w:fill="auto"/>
            <w:vAlign w:val="center"/>
          </w:tcPr>
          <w:p w14:paraId="238C917E">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立柱DN425*12</w:t>
            </w:r>
          </w:p>
          <w:p w14:paraId="55C76C9B">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对接钢板20mm</w:t>
            </w:r>
          </w:p>
          <w:p w14:paraId="5CE91989">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导视屏框架材质200*100*8.0</w:t>
            </w:r>
          </w:p>
          <w:p w14:paraId="2299B070">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立柱高度8米</w:t>
            </w:r>
          </w:p>
          <w:p w14:paraId="3B49733D">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杆体形式 单悬臂式（F 型），锥形 / 等径杆.适配 P10 诱导屏</w:t>
            </w:r>
          </w:p>
          <w:p w14:paraId="19D6B4EE">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立柱规格: 主杆底部 Φ273~Φ325mm，壁厚≥8mm；顶部 Φ165~Φ219mm 材质 Q345B 低合金钢，抗弯强度更高</w:t>
            </w:r>
          </w:p>
          <w:p w14:paraId="093E954F">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悬臂规格 悬臂 Φ165~Φ219mm，壁厚≥6mm；长度 3~8m</w:t>
            </w:r>
          </w:p>
          <w:p w14:paraId="2C812253">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超出最外侧车道≥1.5m，满足视距要求</w:t>
            </w:r>
          </w:p>
          <w:p w14:paraId="0CD7F339">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总高度 地面至悬臂最低点≥5.5m（高速）/≥5.0m（城市道路）;</w:t>
            </w:r>
          </w:p>
          <w:p w14:paraId="1040588A">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满足车辆净空要求，无刮擦风险</w:t>
            </w:r>
          </w:p>
          <w:p w14:paraId="0209FF4B">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安装方式;</w:t>
            </w:r>
          </w:p>
          <w:p w14:paraId="0EBDB59B">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法兰盘连接 + 混凝土基础 法兰盘规格≥Φ450mm，螺栓采用 8.8 级高强螺栓</w:t>
            </w:r>
          </w:p>
          <w:p w14:paraId="7CFE6AB2">
            <w:pPr>
              <w:pStyle w:val="5"/>
              <w:widowControl/>
              <w:numPr>
                <w:ilvl w:val="0"/>
                <w:numId w:val="1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本项目 F 杆采用 Q345B 低合金高强度钢制造，采用热浸镀锌 + 静电喷塑双重防腐工艺，按 50 年一遇基本风压设计，抗风等级≥12 级，悬臂端部挠度≤悬臂长度的 1/150，防腐年限≥15 年，满足 GB/T 23827-2021、JTG D81-2017 等国家及行业标准，可稳定适配 P10 高亮交通诱导屏的户外安装需求。</w:t>
            </w:r>
          </w:p>
        </w:tc>
        <w:tc>
          <w:tcPr>
            <w:tcW w:w="926" w:type="dxa"/>
            <w:tcBorders>
              <w:top w:val="nil"/>
              <w:left w:val="nil"/>
              <w:bottom w:val="single" w:color="auto" w:sz="4" w:space="0"/>
              <w:right w:val="single" w:color="auto" w:sz="4" w:space="0"/>
            </w:tcBorders>
            <w:shd w:val="clear" w:color="auto" w:fill="auto"/>
            <w:vAlign w:val="center"/>
          </w:tcPr>
          <w:p w14:paraId="564ACD3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558" w:type="dxa"/>
            <w:tcBorders>
              <w:top w:val="nil"/>
              <w:left w:val="nil"/>
              <w:bottom w:val="single" w:color="auto" w:sz="4" w:space="0"/>
              <w:right w:val="single" w:color="auto" w:sz="4" w:space="0"/>
            </w:tcBorders>
            <w:shd w:val="clear" w:color="auto" w:fill="auto"/>
            <w:vAlign w:val="center"/>
          </w:tcPr>
          <w:p w14:paraId="665FA0E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1A261ABA">
        <w:tblPrEx>
          <w:shd w:val="clear" w:color="auto" w:fill="auto"/>
          <w:tblCellMar>
            <w:top w:w="0" w:type="dxa"/>
            <w:left w:w="108" w:type="dxa"/>
            <w:bottom w:w="0" w:type="dxa"/>
            <w:right w:w="108" w:type="dxa"/>
          </w:tblCellMar>
        </w:tblPrEx>
        <w:trPr>
          <w:trHeight w:val="10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9CD27F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w:t>
            </w:r>
          </w:p>
        </w:tc>
        <w:tc>
          <w:tcPr>
            <w:tcW w:w="989" w:type="dxa"/>
            <w:tcBorders>
              <w:top w:val="nil"/>
              <w:left w:val="nil"/>
              <w:bottom w:val="single" w:color="auto" w:sz="4" w:space="0"/>
              <w:right w:val="single" w:color="auto" w:sz="4" w:space="0"/>
            </w:tcBorders>
            <w:shd w:val="clear" w:color="auto" w:fill="auto"/>
            <w:vAlign w:val="center"/>
          </w:tcPr>
          <w:p w14:paraId="427851F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地笼</w:t>
            </w:r>
          </w:p>
        </w:tc>
        <w:tc>
          <w:tcPr>
            <w:tcW w:w="5581" w:type="dxa"/>
            <w:tcBorders>
              <w:top w:val="nil"/>
              <w:left w:val="nil"/>
              <w:bottom w:val="single" w:color="auto" w:sz="4" w:space="0"/>
              <w:right w:val="single" w:color="auto" w:sz="4" w:space="0"/>
            </w:tcBorders>
            <w:shd w:val="clear" w:color="auto" w:fill="auto"/>
            <w:vAlign w:val="center"/>
          </w:tcPr>
          <w:p w14:paraId="520110A0">
            <w:pPr>
              <w:pStyle w:val="5"/>
              <w:widowControl/>
              <w:numPr>
                <w:ilvl w:val="0"/>
                <w:numId w:val="20"/>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基础规格 混凝土基础尺寸≥2m×2m×2m（根据杆体重量调整） 采用 C30 混凝土，含预埋螺栓笼</w:t>
            </w:r>
          </w:p>
          <w:p w14:paraId="3880FA8E">
            <w:pPr>
              <w:pStyle w:val="5"/>
              <w:widowControl/>
              <w:numPr>
                <w:ilvl w:val="0"/>
                <w:numId w:val="20"/>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安装误差 杆体倾斜度≤1°，悬臂水平偏差≤2° 保证屏体视角与车道夹角≤15°，不反光、不刺眼</w:t>
            </w:r>
          </w:p>
          <w:p w14:paraId="45D4D5E2">
            <w:pPr>
              <w:pStyle w:val="5"/>
              <w:widowControl/>
              <w:numPr>
                <w:ilvl w:val="0"/>
                <w:numId w:val="20"/>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配件材质 螺栓、螺母、垫片均采用不锈钢 / 镀锌高强件 防松动、防腐蚀，适配户外环境</w:t>
            </w:r>
          </w:p>
          <w:p w14:paraId="160BF8C4">
            <w:pPr>
              <w:pStyle w:val="5"/>
              <w:widowControl/>
              <w:numPr>
                <w:ilvl w:val="0"/>
                <w:numId w:val="20"/>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屏体安装 预留屏体安装法兰，四周预留≥20mm 安装缝隙 便于后期维护，防止热胀冷缩变形地笼 钢筋</w:t>
            </w:r>
          </w:p>
        </w:tc>
        <w:tc>
          <w:tcPr>
            <w:tcW w:w="926" w:type="dxa"/>
            <w:tcBorders>
              <w:top w:val="nil"/>
              <w:left w:val="nil"/>
              <w:bottom w:val="single" w:color="auto" w:sz="4" w:space="0"/>
              <w:right w:val="single" w:color="auto" w:sz="4" w:space="0"/>
            </w:tcBorders>
            <w:shd w:val="clear" w:color="auto" w:fill="auto"/>
            <w:vAlign w:val="center"/>
          </w:tcPr>
          <w:p w14:paraId="5D1FE60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558" w:type="dxa"/>
            <w:tcBorders>
              <w:top w:val="nil"/>
              <w:left w:val="nil"/>
              <w:bottom w:val="single" w:color="auto" w:sz="4" w:space="0"/>
              <w:right w:val="single" w:color="auto" w:sz="4" w:space="0"/>
            </w:tcBorders>
            <w:shd w:val="clear" w:color="auto" w:fill="auto"/>
            <w:vAlign w:val="center"/>
          </w:tcPr>
          <w:p w14:paraId="2A51115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1731230F">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39FEDE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w:t>
            </w:r>
          </w:p>
        </w:tc>
        <w:tc>
          <w:tcPr>
            <w:tcW w:w="989" w:type="dxa"/>
            <w:tcBorders>
              <w:top w:val="nil"/>
              <w:left w:val="nil"/>
              <w:bottom w:val="single" w:color="auto" w:sz="4" w:space="0"/>
              <w:right w:val="single" w:color="auto" w:sz="4" w:space="0"/>
            </w:tcBorders>
            <w:shd w:val="clear" w:color="auto" w:fill="auto"/>
            <w:vAlign w:val="center"/>
          </w:tcPr>
          <w:p w14:paraId="4ADFDB34">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商混</w:t>
            </w:r>
          </w:p>
        </w:tc>
        <w:tc>
          <w:tcPr>
            <w:tcW w:w="5581" w:type="dxa"/>
            <w:tcBorders>
              <w:top w:val="nil"/>
              <w:left w:val="nil"/>
              <w:bottom w:val="single" w:color="auto" w:sz="4" w:space="0"/>
              <w:right w:val="single" w:color="auto" w:sz="4" w:space="0"/>
            </w:tcBorders>
            <w:shd w:val="clear" w:color="auto" w:fill="auto"/>
            <w:vAlign w:val="center"/>
          </w:tcPr>
          <w:p w14:paraId="25BAB7A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商品混凝土C25</w:t>
            </w:r>
          </w:p>
        </w:tc>
        <w:tc>
          <w:tcPr>
            <w:tcW w:w="926" w:type="dxa"/>
            <w:tcBorders>
              <w:top w:val="nil"/>
              <w:left w:val="nil"/>
              <w:bottom w:val="single" w:color="auto" w:sz="4" w:space="0"/>
              <w:right w:val="single" w:color="auto" w:sz="4" w:space="0"/>
            </w:tcBorders>
            <w:shd w:val="clear" w:color="auto" w:fill="auto"/>
            <w:vAlign w:val="center"/>
          </w:tcPr>
          <w:p w14:paraId="3A29BE5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55</w:t>
            </w:r>
          </w:p>
        </w:tc>
        <w:tc>
          <w:tcPr>
            <w:tcW w:w="558" w:type="dxa"/>
            <w:tcBorders>
              <w:top w:val="nil"/>
              <w:left w:val="nil"/>
              <w:bottom w:val="single" w:color="auto" w:sz="4" w:space="0"/>
              <w:right w:val="single" w:color="auto" w:sz="4" w:space="0"/>
            </w:tcBorders>
            <w:shd w:val="clear" w:color="auto" w:fill="auto"/>
            <w:vAlign w:val="center"/>
          </w:tcPr>
          <w:p w14:paraId="3C97F77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3</w:t>
            </w:r>
          </w:p>
        </w:tc>
      </w:tr>
      <w:tr w14:paraId="3F7D822C">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7166BD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989" w:type="dxa"/>
            <w:tcBorders>
              <w:top w:val="nil"/>
              <w:left w:val="nil"/>
              <w:bottom w:val="single" w:color="auto" w:sz="4" w:space="0"/>
              <w:right w:val="single" w:color="auto" w:sz="4" w:space="0"/>
            </w:tcBorders>
            <w:shd w:val="clear" w:color="auto" w:fill="auto"/>
            <w:vAlign w:val="center"/>
          </w:tcPr>
          <w:p w14:paraId="2CD278B2">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诱导屏配电柜</w:t>
            </w:r>
          </w:p>
        </w:tc>
        <w:tc>
          <w:tcPr>
            <w:tcW w:w="5581" w:type="dxa"/>
            <w:tcBorders>
              <w:top w:val="nil"/>
              <w:left w:val="nil"/>
              <w:bottom w:val="single" w:color="auto" w:sz="4" w:space="0"/>
              <w:right w:val="single" w:color="auto" w:sz="4" w:space="0"/>
            </w:tcBorders>
            <w:shd w:val="clear" w:color="auto" w:fill="auto"/>
            <w:vAlign w:val="center"/>
          </w:tcPr>
          <w:p w14:paraId="7FACD74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挂杆式，镀锌钢板，含空开，模数化插座，接线端子等配件。</w:t>
            </w:r>
          </w:p>
        </w:tc>
        <w:tc>
          <w:tcPr>
            <w:tcW w:w="926" w:type="dxa"/>
            <w:tcBorders>
              <w:top w:val="nil"/>
              <w:left w:val="nil"/>
              <w:bottom w:val="single" w:color="auto" w:sz="4" w:space="0"/>
              <w:right w:val="single" w:color="auto" w:sz="4" w:space="0"/>
            </w:tcBorders>
            <w:shd w:val="clear" w:color="auto" w:fill="auto"/>
            <w:vAlign w:val="center"/>
          </w:tcPr>
          <w:p w14:paraId="24F4C8D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558" w:type="dxa"/>
            <w:tcBorders>
              <w:top w:val="nil"/>
              <w:left w:val="nil"/>
              <w:bottom w:val="single" w:color="auto" w:sz="4" w:space="0"/>
              <w:right w:val="single" w:color="auto" w:sz="4" w:space="0"/>
            </w:tcBorders>
            <w:shd w:val="clear" w:color="auto" w:fill="auto"/>
            <w:vAlign w:val="center"/>
          </w:tcPr>
          <w:p w14:paraId="3947207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447E3654">
        <w:tblPrEx>
          <w:shd w:val="clear" w:color="auto" w:fill="auto"/>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03451E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989" w:type="dxa"/>
            <w:tcBorders>
              <w:top w:val="nil"/>
              <w:left w:val="nil"/>
              <w:bottom w:val="single" w:color="auto" w:sz="4" w:space="0"/>
              <w:right w:val="single" w:color="auto" w:sz="4" w:space="0"/>
            </w:tcBorders>
            <w:shd w:val="clear" w:color="auto" w:fill="auto"/>
            <w:vAlign w:val="center"/>
          </w:tcPr>
          <w:p w14:paraId="621B58D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出入口余位显示屏</w:t>
            </w:r>
          </w:p>
        </w:tc>
        <w:tc>
          <w:tcPr>
            <w:tcW w:w="5581" w:type="dxa"/>
            <w:tcBorders>
              <w:top w:val="nil"/>
              <w:left w:val="nil"/>
              <w:bottom w:val="single" w:color="auto" w:sz="4" w:space="0"/>
              <w:right w:val="single" w:color="auto" w:sz="4" w:space="0"/>
            </w:tcBorders>
            <w:shd w:val="clear" w:color="auto" w:fill="auto"/>
            <w:vAlign w:val="center"/>
          </w:tcPr>
          <w:p w14:paraId="59D07BB0">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详见参数13.1-13.8</w:t>
            </w:r>
          </w:p>
        </w:tc>
        <w:tc>
          <w:tcPr>
            <w:tcW w:w="926" w:type="dxa"/>
            <w:tcBorders>
              <w:top w:val="nil"/>
              <w:left w:val="nil"/>
              <w:bottom w:val="single" w:color="auto" w:sz="4" w:space="0"/>
              <w:right w:val="single" w:color="auto" w:sz="4" w:space="0"/>
            </w:tcBorders>
            <w:shd w:val="clear" w:color="auto" w:fill="auto"/>
            <w:vAlign w:val="center"/>
          </w:tcPr>
          <w:p w14:paraId="0CD2F62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23</w:t>
            </w:r>
          </w:p>
        </w:tc>
        <w:tc>
          <w:tcPr>
            <w:tcW w:w="558" w:type="dxa"/>
            <w:tcBorders>
              <w:top w:val="nil"/>
              <w:left w:val="nil"/>
              <w:bottom w:val="single" w:color="auto" w:sz="4" w:space="0"/>
              <w:right w:val="single" w:color="auto" w:sz="4" w:space="0"/>
            </w:tcBorders>
            <w:shd w:val="clear" w:color="auto" w:fill="auto"/>
            <w:vAlign w:val="center"/>
          </w:tcPr>
          <w:p w14:paraId="32A6DA0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73C16DA6">
        <w:tblPrEx>
          <w:shd w:val="clear" w:color="auto" w:fill="auto"/>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E152F5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13.1</w:t>
            </w:r>
          </w:p>
        </w:tc>
        <w:tc>
          <w:tcPr>
            <w:tcW w:w="989" w:type="dxa"/>
            <w:tcBorders>
              <w:top w:val="nil"/>
              <w:left w:val="nil"/>
              <w:bottom w:val="single" w:color="auto" w:sz="4" w:space="0"/>
              <w:right w:val="single" w:color="auto" w:sz="4" w:space="0"/>
            </w:tcBorders>
            <w:shd w:val="clear" w:color="auto" w:fill="auto"/>
            <w:vAlign w:val="center"/>
          </w:tcPr>
          <w:p w14:paraId="0B87797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出入口余位显示屏</w:t>
            </w:r>
          </w:p>
        </w:tc>
        <w:tc>
          <w:tcPr>
            <w:tcW w:w="5581" w:type="dxa"/>
            <w:tcBorders>
              <w:top w:val="nil"/>
              <w:left w:val="nil"/>
              <w:bottom w:val="single" w:color="auto" w:sz="4" w:space="0"/>
              <w:right w:val="single" w:color="auto" w:sz="4" w:space="0"/>
            </w:tcBorders>
            <w:shd w:val="clear" w:color="auto" w:fill="auto"/>
            <w:vAlign w:val="center"/>
          </w:tcPr>
          <w:p w14:paraId="443412FC">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像素间距 常规采用 P10 点间距</w:t>
            </w:r>
          </w:p>
          <w:p w14:paraId="22AE71A6">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像素密度 P10：10000 点 /㎡；</w:t>
            </w:r>
          </w:p>
          <w:p w14:paraId="5044D4AC">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显示内容剩余车位数</w:t>
            </w:r>
          </w:p>
          <w:p w14:paraId="3C88C61E">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 xml:space="preserve"> 显示位数 总车位数：4 位 / 5 位数字；剩余车位数：4 位数字</w:t>
            </w:r>
          </w:p>
          <w:p w14:paraId="7B9ED902">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数字字高 ≥160mm（确保 100 米外清晰可见）</w:t>
            </w:r>
          </w:p>
          <w:p w14:paraId="3AE7A0E5">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箱体尺寸 高度 1800~2200mm，宽度 600~800mm，厚度 100~150mm（可定制）</w:t>
            </w:r>
          </w:p>
          <w:p w14:paraId="31399D6D">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标准的通讯方式为RJ45，可单独或联网使用。显示内容可以是整个车库的空余车位余数，也可以是各区的空车位余数。通过管理系统获知空车位的占用情况，并反映在入口信息引导屏上。驾车者根据入口信息引导屏可以知道空余车位的数量以及前往具有空车位停车区的行进方向。</w:t>
            </w:r>
          </w:p>
          <w:p w14:paraId="4CFFA0C2">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箱体材质 镀锌钢板 / 铝合金型材，喷塑防腐处理</w:t>
            </w:r>
          </w:p>
          <w:p w14:paraId="07B94B8F">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防护等级 IP65（正面）/IP54（背面），户外防水防尘</w:t>
            </w:r>
          </w:p>
          <w:p w14:paraId="5A0798C2">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红色≥3000cd/㎡，绿色≥4000cd/㎡，支持自动亮度调节</w:t>
            </w:r>
          </w:p>
          <w:p w14:paraId="6B362994">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工作环境 -20℃ ~ +60℃，湿度 10%~95% RH（无凝露）</w:t>
            </w:r>
          </w:p>
          <w:p w14:paraId="71E16EDB">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供电方式 AC220V±15%，50Hz，单台功率≤150W</w:t>
            </w:r>
          </w:p>
          <w:p w14:paraId="1BBD2450">
            <w:pPr>
              <w:pStyle w:val="5"/>
              <w:widowControl/>
              <w:numPr>
                <w:ilvl w:val="0"/>
                <w:numId w:val="21"/>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10、通讯协议 支持与主流停车场管理系统对接（如韦根、RS485 协议）</w:t>
            </w:r>
          </w:p>
        </w:tc>
        <w:tc>
          <w:tcPr>
            <w:tcW w:w="926" w:type="dxa"/>
            <w:tcBorders>
              <w:top w:val="nil"/>
              <w:left w:val="nil"/>
              <w:bottom w:val="single" w:color="auto" w:sz="4" w:space="0"/>
              <w:right w:val="single" w:color="auto" w:sz="4" w:space="0"/>
            </w:tcBorders>
            <w:shd w:val="clear" w:color="auto" w:fill="auto"/>
            <w:vAlign w:val="center"/>
          </w:tcPr>
          <w:p w14:paraId="43BF0AD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702E839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4F2D370C">
        <w:tblPrEx>
          <w:shd w:val="clear" w:color="auto" w:fill="auto"/>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34D67EB">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13.2</w:t>
            </w:r>
          </w:p>
        </w:tc>
        <w:tc>
          <w:tcPr>
            <w:tcW w:w="989" w:type="dxa"/>
            <w:tcBorders>
              <w:top w:val="nil"/>
              <w:left w:val="nil"/>
              <w:bottom w:val="single" w:color="auto" w:sz="4" w:space="0"/>
              <w:right w:val="single" w:color="auto" w:sz="4" w:space="0"/>
            </w:tcBorders>
            <w:shd w:val="clear" w:color="auto" w:fill="auto"/>
            <w:vAlign w:val="center"/>
          </w:tcPr>
          <w:p w14:paraId="22FAAB0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控制器</w:t>
            </w:r>
          </w:p>
        </w:tc>
        <w:tc>
          <w:tcPr>
            <w:tcW w:w="5581" w:type="dxa"/>
            <w:tcBorders>
              <w:top w:val="nil"/>
              <w:left w:val="nil"/>
              <w:bottom w:val="single" w:color="auto" w:sz="4" w:space="0"/>
              <w:right w:val="single" w:color="auto" w:sz="4" w:space="0"/>
            </w:tcBorders>
            <w:shd w:val="clear" w:color="auto" w:fill="auto"/>
            <w:vAlign w:val="center"/>
          </w:tcPr>
          <w:p w14:paraId="711B2D2F">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1.亮度控制：1-100可调（逐级白平衡）；</w:t>
            </w:r>
          </w:p>
          <w:p w14:paraId="1DAD4BF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2.输入帧率：25Hz-60Hz；</w:t>
            </w:r>
          </w:p>
          <w:p w14:paraId="6DC4CFB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3.显示颜色：1600w；</w:t>
            </w:r>
          </w:p>
          <w:p w14:paraId="1B3318D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4.处理深度：8bit；</w:t>
            </w:r>
          </w:p>
          <w:p w14:paraId="76388F4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5.支持图像缩放；</w:t>
            </w:r>
          </w:p>
          <w:p w14:paraId="2366B62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6.平均功耗≤11W；</w:t>
            </w:r>
          </w:p>
          <w:p w14:paraId="58C7645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7.一个电源接口；</w:t>
            </w:r>
          </w:p>
          <w:p w14:paraId="7D5F69F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8.电源接口规格：12V，Φ2.1；</w:t>
            </w:r>
          </w:p>
          <w:p w14:paraId="1EEBA463">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9.工作湿度：10% ～ 90%，无冷凝；</w:t>
            </w:r>
          </w:p>
          <w:p w14:paraId="317E9446">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10.1路HDMI音频内嵌输入接口；</w:t>
            </w:r>
          </w:p>
          <w:p w14:paraId="0840D0E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11.1路HDMI1.3或1路Android内置视频输入接口；</w:t>
            </w:r>
          </w:p>
          <w:p w14:paraId="4CEFCCB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12.最大支持分辨率：1920*1080@60Hz；</w:t>
            </w:r>
          </w:p>
          <w:p w14:paraId="6FE3AD3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13.最小支持分辨率：320*180@60Hz；</w:t>
            </w:r>
          </w:p>
          <w:p w14:paraId="2301052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14.可自定义分辨率，总分辨率不超过 207W@60；</w:t>
            </w:r>
          </w:p>
          <w:p w14:paraId="0CFF192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15.极限宽度：320~2048 对齐方式：4对齐；</w:t>
            </w:r>
          </w:p>
          <w:p w14:paraId="5179CE46">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16.极限高度：180~2048 对齐方式：2对齐；</w:t>
            </w:r>
          </w:p>
          <w:p w14:paraId="6B077206">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17.视频输出LED带载能力：单网口带载65W；</w:t>
            </w:r>
          </w:p>
          <w:p w14:paraId="59ED65B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18.宽度32~2048;对齐方式：2对齐；</w:t>
            </w:r>
          </w:p>
          <w:p w14:paraId="75527B0F">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19.高度16~2048;对齐方式：1对齐；</w:t>
            </w:r>
          </w:p>
          <w:p w14:paraId="3962D9B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20.最大带载不超过65W；</w:t>
            </w:r>
          </w:p>
          <w:p w14:paraId="396544C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21.LED带载接口数：1；</w:t>
            </w:r>
          </w:p>
          <w:p w14:paraId="10E6808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22.LED带载接口类型：RJ45；</w:t>
            </w:r>
          </w:p>
          <w:p w14:paraId="0B3887A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23.音频输出接口类型：3.5mm 音频输出；</w:t>
            </w:r>
          </w:p>
          <w:p w14:paraId="0C7D21D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24.运行系统：Android14；</w:t>
            </w:r>
          </w:p>
          <w:p w14:paraId="002A9533">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25.内存容量：2GB；</w:t>
            </w:r>
          </w:p>
          <w:p w14:paraId="3DD5F41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26.存储容量：64GB；</w:t>
            </w:r>
          </w:p>
          <w:p w14:paraId="15B2F712">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27.CPU：4核64位ARM cortex-A53 2.0GHz；</w:t>
            </w:r>
          </w:p>
          <w:p w14:paraId="059050A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28.USB口：1路USB 2.0；</w:t>
            </w:r>
          </w:p>
          <w:p w14:paraId="6E1A5E6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29.支持HDMI和Android源切换；</w:t>
            </w:r>
          </w:p>
          <w:p w14:paraId="40A77500">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30.控制网口：1个RJ45，10M/100M/1000M自适应以太网口；</w:t>
            </w:r>
          </w:p>
        </w:tc>
        <w:tc>
          <w:tcPr>
            <w:tcW w:w="926" w:type="dxa"/>
            <w:tcBorders>
              <w:top w:val="nil"/>
              <w:left w:val="nil"/>
              <w:bottom w:val="single" w:color="auto" w:sz="4" w:space="0"/>
              <w:right w:val="single" w:color="auto" w:sz="4" w:space="0"/>
            </w:tcBorders>
            <w:shd w:val="clear" w:color="auto" w:fill="auto"/>
            <w:vAlign w:val="center"/>
          </w:tcPr>
          <w:p w14:paraId="5069872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7D08439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0A119682">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C15ED80">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13.3</w:t>
            </w:r>
          </w:p>
        </w:tc>
        <w:tc>
          <w:tcPr>
            <w:tcW w:w="989" w:type="dxa"/>
            <w:tcBorders>
              <w:top w:val="nil"/>
              <w:left w:val="nil"/>
              <w:bottom w:val="single" w:color="auto" w:sz="4" w:space="0"/>
              <w:right w:val="single" w:color="auto" w:sz="4" w:space="0"/>
            </w:tcBorders>
            <w:shd w:val="clear" w:color="auto" w:fill="auto"/>
            <w:vAlign w:val="center"/>
          </w:tcPr>
          <w:p w14:paraId="581D522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接收卡</w:t>
            </w:r>
          </w:p>
        </w:tc>
        <w:tc>
          <w:tcPr>
            <w:tcW w:w="5581" w:type="dxa"/>
            <w:tcBorders>
              <w:top w:val="nil"/>
              <w:left w:val="nil"/>
              <w:bottom w:val="single" w:color="auto" w:sz="4" w:space="0"/>
              <w:right w:val="single" w:color="auto" w:sz="4" w:space="0"/>
            </w:tcBorders>
            <w:shd w:val="clear" w:color="auto" w:fill="auto"/>
            <w:vAlign w:val="center"/>
          </w:tcPr>
          <w:p w14:paraId="6BC6241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1、单卡最大带载512*512@60HZ</w:t>
            </w:r>
          </w:p>
          <w:p w14:paraId="4961BC8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2、支持配合3D功能控制器，输出3D画面实现主动式3D效果</w:t>
            </w:r>
          </w:p>
          <w:p w14:paraId="252996A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3、支持调价图像Gamma参数，有效控制显示屏低灰不均匀等问题，使画面更加真实</w:t>
            </w:r>
          </w:p>
          <w:p w14:paraId="5BA55D58">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4、支持控制画面以90度的倍数旋转显示</w:t>
            </w:r>
          </w:p>
          <w:p w14:paraId="703BA01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5、支持在现实屏上标识颜色和编号，使用户清晰获取接收卡位置和走线方式，快速完成配屏操作</w:t>
            </w:r>
          </w:p>
          <w:p w14:paraId="4C9FFF8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6、支持接收卡程序和配置一键复制到其他接收卡，快速完成配置</w:t>
            </w:r>
          </w:p>
          <w:p w14:paraId="02FD65F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7、支持系统环路备份链接，链路节点异常时自动切换数据方向，维持屏幕正常显示</w:t>
            </w:r>
          </w:p>
          <w:p w14:paraId="2B6D9B5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8、支持程序双备份，防止程序更新过程异常导致接收卡死锁问题</w:t>
            </w:r>
          </w:p>
          <w:p w14:paraId="52EF126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9、HUB接口：12路HUB75E</w:t>
            </w:r>
          </w:p>
          <w:p w14:paraId="173DBF0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10、支持千兆网直连功能，可在PC端客户端进行调试和显示</w:t>
            </w:r>
          </w:p>
        </w:tc>
        <w:tc>
          <w:tcPr>
            <w:tcW w:w="926" w:type="dxa"/>
            <w:tcBorders>
              <w:top w:val="nil"/>
              <w:left w:val="nil"/>
              <w:bottom w:val="single" w:color="auto" w:sz="4" w:space="0"/>
              <w:right w:val="single" w:color="auto" w:sz="4" w:space="0"/>
            </w:tcBorders>
            <w:shd w:val="clear" w:color="auto" w:fill="auto"/>
            <w:vAlign w:val="center"/>
          </w:tcPr>
          <w:p w14:paraId="5B8F34E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14C1AF86">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块</w:t>
            </w:r>
          </w:p>
        </w:tc>
      </w:tr>
      <w:tr w14:paraId="3ED5B956">
        <w:tblPrEx>
          <w:shd w:val="clear" w:color="auto" w:fill="auto"/>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2D686F2">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13.4</w:t>
            </w:r>
          </w:p>
        </w:tc>
        <w:tc>
          <w:tcPr>
            <w:tcW w:w="989" w:type="dxa"/>
            <w:tcBorders>
              <w:top w:val="nil"/>
              <w:left w:val="nil"/>
              <w:bottom w:val="single" w:color="auto" w:sz="4" w:space="0"/>
              <w:right w:val="single" w:color="auto" w:sz="4" w:space="0"/>
            </w:tcBorders>
            <w:shd w:val="clear" w:color="auto" w:fill="auto"/>
            <w:vAlign w:val="center"/>
          </w:tcPr>
          <w:p w14:paraId="29B0C8A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电源</w:t>
            </w:r>
          </w:p>
        </w:tc>
        <w:tc>
          <w:tcPr>
            <w:tcW w:w="5581" w:type="dxa"/>
            <w:tcBorders>
              <w:top w:val="nil"/>
              <w:left w:val="nil"/>
              <w:bottom w:val="single" w:color="auto" w:sz="4" w:space="0"/>
              <w:right w:val="single" w:color="auto" w:sz="4" w:space="0"/>
            </w:tcBorders>
            <w:shd w:val="clear" w:color="auto" w:fill="auto"/>
            <w:vAlign w:val="center"/>
          </w:tcPr>
          <w:p w14:paraId="393BBE77">
            <w:pPr>
              <w:pStyle w:val="5"/>
              <w:widowControl/>
              <w:numPr>
                <w:ilvl w:val="0"/>
                <w:numId w:val="22"/>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5V40A200W  输入电压范围：176-264VAC</w:t>
            </w:r>
          </w:p>
          <w:p w14:paraId="02AD0C8B">
            <w:pPr>
              <w:pStyle w:val="5"/>
              <w:widowControl/>
              <w:numPr>
                <w:ilvl w:val="0"/>
                <w:numId w:val="22"/>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输入频率范围：47-63HZ</w:t>
            </w:r>
          </w:p>
          <w:p w14:paraId="4939E702">
            <w:pPr>
              <w:pStyle w:val="5"/>
              <w:widowControl/>
              <w:numPr>
                <w:ilvl w:val="0"/>
                <w:numId w:val="22"/>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额定输入(Vac):200V-240V</w:t>
            </w:r>
          </w:p>
          <w:p w14:paraId="6BBDDE3A">
            <w:pPr>
              <w:pStyle w:val="5"/>
              <w:widowControl/>
              <w:numPr>
                <w:ilvl w:val="0"/>
                <w:numId w:val="22"/>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输出(vdc):5V/60A</w:t>
            </w:r>
          </w:p>
          <w:p w14:paraId="619979C8">
            <w:pPr>
              <w:pStyle w:val="5"/>
              <w:widowControl/>
              <w:numPr>
                <w:ilvl w:val="0"/>
                <w:numId w:val="22"/>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输出电压范围：4.85V-5.15V</w:t>
            </w:r>
          </w:p>
          <w:p w14:paraId="1DF81D9F">
            <w:pPr>
              <w:pStyle w:val="5"/>
              <w:widowControl/>
              <w:numPr>
                <w:ilvl w:val="0"/>
                <w:numId w:val="22"/>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负载调整率：±2%</w:t>
            </w:r>
          </w:p>
          <w:p w14:paraId="73C17D00">
            <w:pPr>
              <w:pStyle w:val="5"/>
              <w:widowControl/>
              <w:numPr>
                <w:ilvl w:val="0"/>
                <w:numId w:val="22"/>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稳压精度：±3%</w:t>
            </w:r>
          </w:p>
          <w:p w14:paraId="250DDD51">
            <w:pPr>
              <w:pStyle w:val="5"/>
              <w:widowControl/>
              <w:numPr>
                <w:ilvl w:val="0"/>
                <w:numId w:val="22"/>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工作温度：-40℃-70℃</w:t>
            </w:r>
          </w:p>
        </w:tc>
        <w:tc>
          <w:tcPr>
            <w:tcW w:w="926" w:type="dxa"/>
            <w:tcBorders>
              <w:top w:val="nil"/>
              <w:left w:val="nil"/>
              <w:bottom w:val="single" w:color="auto" w:sz="4" w:space="0"/>
              <w:right w:val="single" w:color="auto" w:sz="4" w:space="0"/>
            </w:tcBorders>
            <w:shd w:val="clear" w:color="auto" w:fill="auto"/>
            <w:vAlign w:val="center"/>
          </w:tcPr>
          <w:p w14:paraId="3C5DC825">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558" w:type="dxa"/>
            <w:tcBorders>
              <w:top w:val="nil"/>
              <w:left w:val="nil"/>
              <w:bottom w:val="single" w:color="auto" w:sz="4" w:space="0"/>
              <w:right w:val="single" w:color="auto" w:sz="4" w:space="0"/>
            </w:tcBorders>
            <w:shd w:val="clear" w:color="auto" w:fill="auto"/>
            <w:vAlign w:val="center"/>
          </w:tcPr>
          <w:p w14:paraId="72FF88A9">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个</w:t>
            </w:r>
          </w:p>
        </w:tc>
      </w:tr>
      <w:tr w14:paraId="60658A86">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AA59A00">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13.5</w:t>
            </w:r>
          </w:p>
        </w:tc>
        <w:tc>
          <w:tcPr>
            <w:tcW w:w="989" w:type="dxa"/>
            <w:tcBorders>
              <w:top w:val="nil"/>
              <w:left w:val="nil"/>
              <w:bottom w:val="single" w:color="auto" w:sz="4" w:space="0"/>
              <w:right w:val="single" w:color="auto" w:sz="4" w:space="0"/>
            </w:tcBorders>
            <w:shd w:val="clear" w:color="auto" w:fill="auto"/>
            <w:vAlign w:val="center"/>
          </w:tcPr>
          <w:p w14:paraId="45C312C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防水箱体（定制）</w:t>
            </w:r>
          </w:p>
        </w:tc>
        <w:tc>
          <w:tcPr>
            <w:tcW w:w="5581" w:type="dxa"/>
            <w:tcBorders>
              <w:top w:val="nil"/>
              <w:left w:val="nil"/>
              <w:bottom w:val="single" w:color="auto" w:sz="4" w:space="0"/>
              <w:right w:val="single" w:color="auto" w:sz="4" w:space="0"/>
            </w:tcBorders>
            <w:shd w:val="clear" w:color="auto" w:fill="auto"/>
            <w:vAlign w:val="center"/>
          </w:tcPr>
          <w:p w14:paraId="4BD0CB1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材质spcc镀锌钢板，材料厚度1.2mm，双色，内置灯带，表面静电喷塑，防水ip65，地面配8mm固定钢板</w:t>
            </w:r>
          </w:p>
        </w:tc>
        <w:tc>
          <w:tcPr>
            <w:tcW w:w="926" w:type="dxa"/>
            <w:tcBorders>
              <w:top w:val="nil"/>
              <w:left w:val="nil"/>
              <w:bottom w:val="single" w:color="auto" w:sz="4" w:space="0"/>
              <w:right w:val="single" w:color="auto" w:sz="4" w:space="0"/>
            </w:tcBorders>
            <w:shd w:val="clear" w:color="auto" w:fill="auto"/>
            <w:vAlign w:val="center"/>
          </w:tcPr>
          <w:p w14:paraId="34D6632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04625019">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7981AB9B">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C0BA6D0">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13.6</w:t>
            </w:r>
          </w:p>
        </w:tc>
        <w:tc>
          <w:tcPr>
            <w:tcW w:w="989" w:type="dxa"/>
            <w:tcBorders>
              <w:top w:val="nil"/>
              <w:left w:val="nil"/>
              <w:bottom w:val="single" w:color="auto" w:sz="4" w:space="0"/>
              <w:right w:val="single" w:color="auto" w:sz="4" w:space="0"/>
            </w:tcBorders>
            <w:shd w:val="clear" w:color="auto" w:fill="auto"/>
            <w:vAlign w:val="center"/>
          </w:tcPr>
          <w:p w14:paraId="5736E95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箱体组装</w:t>
            </w:r>
          </w:p>
        </w:tc>
        <w:tc>
          <w:tcPr>
            <w:tcW w:w="5581" w:type="dxa"/>
            <w:tcBorders>
              <w:top w:val="nil"/>
              <w:left w:val="nil"/>
              <w:bottom w:val="single" w:color="auto" w:sz="4" w:space="0"/>
              <w:right w:val="single" w:color="auto" w:sz="4" w:space="0"/>
            </w:tcBorders>
            <w:shd w:val="clear" w:color="auto" w:fill="auto"/>
            <w:vAlign w:val="center"/>
          </w:tcPr>
          <w:p w14:paraId="720E687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箱体组装</w:t>
            </w:r>
          </w:p>
        </w:tc>
        <w:tc>
          <w:tcPr>
            <w:tcW w:w="926" w:type="dxa"/>
            <w:tcBorders>
              <w:top w:val="nil"/>
              <w:left w:val="nil"/>
              <w:bottom w:val="single" w:color="auto" w:sz="4" w:space="0"/>
              <w:right w:val="single" w:color="auto" w:sz="4" w:space="0"/>
            </w:tcBorders>
            <w:shd w:val="clear" w:color="auto" w:fill="auto"/>
            <w:vAlign w:val="center"/>
          </w:tcPr>
          <w:p w14:paraId="05C72F8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70331DF8">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1EFCA287">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4F06022">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13.7</w:t>
            </w:r>
          </w:p>
        </w:tc>
        <w:tc>
          <w:tcPr>
            <w:tcW w:w="989" w:type="dxa"/>
            <w:tcBorders>
              <w:top w:val="nil"/>
              <w:left w:val="nil"/>
              <w:bottom w:val="single" w:color="auto" w:sz="4" w:space="0"/>
              <w:right w:val="single" w:color="auto" w:sz="4" w:space="0"/>
            </w:tcBorders>
            <w:shd w:val="clear" w:color="auto" w:fill="auto"/>
            <w:vAlign w:val="center"/>
          </w:tcPr>
          <w:p w14:paraId="65C68DB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混凝土基础</w:t>
            </w:r>
          </w:p>
        </w:tc>
        <w:tc>
          <w:tcPr>
            <w:tcW w:w="5581" w:type="dxa"/>
            <w:tcBorders>
              <w:top w:val="nil"/>
              <w:left w:val="nil"/>
              <w:bottom w:val="single" w:color="auto" w:sz="4" w:space="0"/>
              <w:right w:val="single" w:color="auto" w:sz="4" w:space="0"/>
            </w:tcBorders>
            <w:shd w:val="clear" w:color="auto" w:fill="auto"/>
            <w:vAlign w:val="center"/>
          </w:tcPr>
          <w:p w14:paraId="41DE06B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基础尺寸：1.0*0.8*0.8</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基础材质：C25混凝土</w:t>
            </w:r>
          </w:p>
        </w:tc>
        <w:tc>
          <w:tcPr>
            <w:tcW w:w="926" w:type="dxa"/>
            <w:tcBorders>
              <w:top w:val="nil"/>
              <w:left w:val="nil"/>
              <w:bottom w:val="single" w:color="auto" w:sz="4" w:space="0"/>
              <w:right w:val="single" w:color="auto" w:sz="4" w:space="0"/>
            </w:tcBorders>
            <w:shd w:val="clear" w:color="auto" w:fill="auto"/>
            <w:vAlign w:val="center"/>
          </w:tcPr>
          <w:p w14:paraId="28CC451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2F5FFE11">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619FB2A4">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82C1FC1">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13.8</w:t>
            </w:r>
          </w:p>
        </w:tc>
        <w:tc>
          <w:tcPr>
            <w:tcW w:w="989" w:type="dxa"/>
            <w:tcBorders>
              <w:top w:val="nil"/>
              <w:left w:val="nil"/>
              <w:bottom w:val="single" w:color="auto" w:sz="4" w:space="0"/>
              <w:right w:val="single" w:color="auto" w:sz="4" w:space="0"/>
            </w:tcBorders>
            <w:shd w:val="clear" w:color="auto" w:fill="auto"/>
            <w:vAlign w:val="center"/>
          </w:tcPr>
          <w:p w14:paraId="5956C76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辅材</w:t>
            </w:r>
          </w:p>
        </w:tc>
        <w:tc>
          <w:tcPr>
            <w:tcW w:w="5581" w:type="dxa"/>
            <w:tcBorders>
              <w:top w:val="nil"/>
              <w:left w:val="nil"/>
              <w:bottom w:val="single" w:color="auto" w:sz="4" w:space="0"/>
              <w:right w:val="single" w:color="auto" w:sz="4" w:space="0"/>
            </w:tcBorders>
            <w:shd w:val="clear" w:color="auto" w:fill="auto"/>
            <w:vAlign w:val="center"/>
          </w:tcPr>
          <w:p w14:paraId="11335FA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屏体内部三芯线 短网线 轧带  长短排线</w:t>
            </w:r>
          </w:p>
        </w:tc>
        <w:tc>
          <w:tcPr>
            <w:tcW w:w="926" w:type="dxa"/>
            <w:tcBorders>
              <w:top w:val="nil"/>
              <w:left w:val="nil"/>
              <w:bottom w:val="single" w:color="auto" w:sz="4" w:space="0"/>
              <w:right w:val="single" w:color="auto" w:sz="4" w:space="0"/>
            </w:tcBorders>
            <w:shd w:val="clear" w:color="auto" w:fill="auto"/>
            <w:vAlign w:val="center"/>
          </w:tcPr>
          <w:p w14:paraId="62A6751A">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538B7DFE">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4EABA639">
        <w:tblPrEx>
          <w:tblCellMar>
            <w:top w:w="0" w:type="dxa"/>
            <w:left w:w="108" w:type="dxa"/>
            <w:bottom w:w="0" w:type="dxa"/>
            <w:right w:w="108" w:type="dxa"/>
          </w:tblCellMar>
        </w:tblPrEx>
        <w:trPr>
          <w:trHeight w:val="4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5A5EB2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w:t>
            </w:r>
          </w:p>
        </w:tc>
        <w:tc>
          <w:tcPr>
            <w:tcW w:w="989" w:type="dxa"/>
            <w:tcBorders>
              <w:top w:val="nil"/>
              <w:left w:val="nil"/>
              <w:bottom w:val="single" w:color="auto" w:sz="4" w:space="0"/>
              <w:right w:val="single" w:color="auto" w:sz="4" w:space="0"/>
            </w:tcBorders>
            <w:shd w:val="clear" w:color="auto" w:fill="auto"/>
            <w:vAlign w:val="center"/>
          </w:tcPr>
          <w:p w14:paraId="4C106BE7">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配套线缆</w:t>
            </w:r>
          </w:p>
        </w:tc>
        <w:tc>
          <w:tcPr>
            <w:tcW w:w="5581" w:type="dxa"/>
            <w:tcBorders>
              <w:top w:val="nil"/>
              <w:left w:val="nil"/>
              <w:bottom w:val="single" w:color="auto" w:sz="4" w:space="0"/>
              <w:right w:val="single" w:color="auto" w:sz="4" w:space="0"/>
            </w:tcBorders>
            <w:shd w:val="clear" w:color="auto" w:fill="auto"/>
            <w:vAlign w:val="center"/>
          </w:tcPr>
          <w:p w14:paraId="2A98753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详见参数14.1-14.4</w:t>
            </w:r>
          </w:p>
        </w:tc>
        <w:tc>
          <w:tcPr>
            <w:tcW w:w="926" w:type="dxa"/>
            <w:tcBorders>
              <w:top w:val="nil"/>
              <w:left w:val="nil"/>
              <w:bottom w:val="single" w:color="auto" w:sz="4" w:space="0"/>
              <w:right w:val="single" w:color="auto" w:sz="4" w:space="0"/>
            </w:tcBorders>
            <w:shd w:val="clear" w:color="auto" w:fill="auto"/>
            <w:vAlign w:val="center"/>
          </w:tcPr>
          <w:p w14:paraId="3A32383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195</w:t>
            </w:r>
          </w:p>
        </w:tc>
        <w:tc>
          <w:tcPr>
            <w:tcW w:w="558" w:type="dxa"/>
            <w:tcBorders>
              <w:top w:val="nil"/>
              <w:left w:val="nil"/>
              <w:bottom w:val="single" w:color="auto" w:sz="4" w:space="0"/>
              <w:right w:val="single" w:color="auto" w:sz="4" w:space="0"/>
            </w:tcBorders>
            <w:shd w:val="clear" w:color="auto" w:fill="auto"/>
            <w:vAlign w:val="center"/>
          </w:tcPr>
          <w:p w14:paraId="5A6D3EF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点位</w:t>
            </w:r>
          </w:p>
        </w:tc>
      </w:tr>
      <w:tr w14:paraId="20497B22">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902017B">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14.1</w:t>
            </w:r>
          </w:p>
        </w:tc>
        <w:tc>
          <w:tcPr>
            <w:tcW w:w="989" w:type="dxa"/>
            <w:tcBorders>
              <w:top w:val="nil"/>
              <w:left w:val="nil"/>
              <w:bottom w:val="single" w:color="auto" w:sz="4" w:space="0"/>
              <w:right w:val="single" w:color="auto" w:sz="4" w:space="0"/>
            </w:tcBorders>
            <w:shd w:val="clear" w:color="auto" w:fill="auto"/>
            <w:vAlign w:val="center"/>
          </w:tcPr>
          <w:p w14:paraId="46D03CA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电力电缆</w:t>
            </w:r>
          </w:p>
        </w:tc>
        <w:tc>
          <w:tcPr>
            <w:tcW w:w="5581" w:type="dxa"/>
            <w:tcBorders>
              <w:top w:val="nil"/>
              <w:left w:val="nil"/>
              <w:bottom w:val="single" w:color="auto" w:sz="4" w:space="0"/>
              <w:right w:val="single" w:color="auto" w:sz="4" w:space="0"/>
            </w:tcBorders>
            <w:shd w:val="clear" w:color="auto" w:fill="auto"/>
            <w:vAlign w:val="center"/>
          </w:tcPr>
          <w:p w14:paraId="5CF6A00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ZR-YJV5*10mm2</w:t>
            </w:r>
          </w:p>
        </w:tc>
        <w:tc>
          <w:tcPr>
            <w:tcW w:w="926" w:type="dxa"/>
            <w:tcBorders>
              <w:top w:val="nil"/>
              <w:left w:val="nil"/>
              <w:bottom w:val="single" w:color="auto" w:sz="4" w:space="0"/>
              <w:right w:val="single" w:color="auto" w:sz="4" w:space="0"/>
            </w:tcBorders>
            <w:shd w:val="clear" w:color="auto" w:fill="auto"/>
            <w:vAlign w:val="center"/>
          </w:tcPr>
          <w:p w14:paraId="7D6DF40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2600</w:t>
            </w:r>
          </w:p>
        </w:tc>
        <w:tc>
          <w:tcPr>
            <w:tcW w:w="558" w:type="dxa"/>
            <w:tcBorders>
              <w:top w:val="nil"/>
              <w:left w:val="nil"/>
              <w:bottom w:val="single" w:color="auto" w:sz="4" w:space="0"/>
              <w:right w:val="single" w:color="auto" w:sz="4" w:space="0"/>
            </w:tcBorders>
            <w:shd w:val="clear" w:color="auto" w:fill="auto"/>
            <w:vAlign w:val="center"/>
          </w:tcPr>
          <w:p w14:paraId="672065F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米</w:t>
            </w:r>
          </w:p>
        </w:tc>
      </w:tr>
      <w:tr w14:paraId="77B91D7F">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880754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14.2</w:t>
            </w:r>
          </w:p>
        </w:tc>
        <w:tc>
          <w:tcPr>
            <w:tcW w:w="989" w:type="dxa"/>
            <w:tcBorders>
              <w:top w:val="nil"/>
              <w:left w:val="nil"/>
              <w:bottom w:val="single" w:color="auto" w:sz="4" w:space="0"/>
              <w:right w:val="single" w:color="auto" w:sz="4" w:space="0"/>
            </w:tcBorders>
            <w:shd w:val="clear" w:color="auto" w:fill="auto"/>
            <w:vAlign w:val="center"/>
          </w:tcPr>
          <w:p w14:paraId="65F47F1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电力电缆</w:t>
            </w:r>
          </w:p>
        </w:tc>
        <w:tc>
          <w:tcPr>
            <w:tcW w:w="5581" w:type="dxa"/>
            <w:tcBorders>
              <w:top w:val="nil"/>
              <w:left w:val="nil"/>
              <w:bottom w:val="single" w:color="auto" w:sz="4" w:space="0"/>
              <w:right w:val="single" w:color="auto" w:sz="4" w:space="0"/>
            </w:tcBorders>
            <w:shd w:val="clear" w:color="auto" w:fill="auto"/>
            <w:vAlign w:val="center"/>
          </w:tcPr>
          <w:p w14:paraId="5917F370">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ZR-YJ5*6mm2</w:t>
            </w:r>
            <w:r>
              <w:rPr>
                <w:rFonts w:hint="eastAsia" w:asciiTheme="minorEastAsia" w:hAnsiTheme="minorEastAsia" w:eastAsiaTheme="minorEastAsia" w:cstheme="minorEastAsia"/>
                <w:color w:val="000000"/>
                <w:kern w:val="0"/>
                <w:sz w:val="22"/>
                <w:szCs w:val="22"/>
                <w:vertAlign w:val="superscript"/>
              </w:rPr>
              <w:t>2</w:t>
            </w:r>
            <w:r>
              <w:rPr>
                <w:rFonts w:hint="eastAsia" w:asciiTheme="minorEastAsia" w:hAnsiTheme="minorEastAsia" w:eastAsiaTheme="minorEastAsia" w:cstheme="minorEastAsia"/>
                <w:color w:val="000000"/>
                <w:kern w:val="0"/>
                <w:sz w:val="22"/>
                <w:szCs w:val="22"/>
              </w:rPr>
              <w:t xml:space="preserve"> </w:t>
            </w:r>
          </w:p>
        </w:tc>
        <w:tc>
          <w:tcPr>
            <w:tcW w:w="926" w:type="dxa"/>
            <w:tcBorders>
              <w:top w:val="nil"/>
              <w:left w:val="nil"/>
              <w:bottom w:val="single" w:color="auto" w:sz="4" w:space="0"/>
              <w:right w:val="single" w:color="auto" w:sz="4" w:space="0"/>
            </w:tcBorders>
            <w:shd w:val="clear" w:color="auto" w:fill="auto"/>
            <w:vAlign w:val="center"/>
          </w:tcPr>
          <w:p w14:paraId="02F4CD13">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5440</w:t>
            </w:r>
          </w:p>
        </w:tc>
        <w:tc>
          <w:tcPr>
            <w:tcW w:w="558" w:type="dxa"/>
            <w:tcBorders>
              <w:top w:val="nil"/>
              <w:left w:val="nil"/>
              <w:bottom w:val="single" w:color="auto" w:sz="4" w:space="0"/>
              <w:right w:val="single" w:color="auto" w:sz="4" w:space="0"/>
            </w:tcBorders>
            <w:shd w:val="clear" w:color="auto" w:fill="auto"/>
            <w:vAlign w:val="center"/>
          </w:tcPr>
          <w:p w14:paraId="04FB03AA">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米</w:t>
            </w:r>
          </w:p>
        </w:tc>
      </w:tr>
      <w:tr w14:paraId="03508FB9">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7478609">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14.3</w:t>
            </w:r>
          </w:p>
        </w:tc>
        <w:tc>
          <w:tcPr>
            <w:tcW w:w="989" w:type="dxa"/>
            <w:tcBorders>
              <w:top w:val="nil"/>
              <w:left w:val="nil"/>
              <w:bottom w:val="single" w:color="auto" w:sz="4" w:space="0"/>
              <w:right w:val="single" w:color="auto" w:sz="4" w:space="0"/>
            </w:tcBorders>
            <w:shd w:val="clear" w:color="auto" w:fill="auto"/>
            <w:vAlign w:val="center"/>
          </w:tcPr>
          <w:p w14:paraId="0D980DF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电力电缆</w:t>
            </w:r>
          </w:p>
        </w:tc>
        <w:tc>
          <w:tcPr>
            <w:tcW w:w="5581" w:type="dxa"/>
            <w:tcBorders>
              <w:top w:val="nil"/>
              <w:left w:val="nil"/>
              <w:bottom w:val="single" w:color="auto" w:sz="4" w:space="0"/>
              <w:right w:val="single" w:color="auto" w:sz="4" w:space="0"/>
            </w:tcBorders>
            <w:shd w:val="clear" w:color="auto" w:fill="auto"/>
            <w:vAlign w:val="center"/>
          </w:tcPr>
          <w:p w14:paraId="4866413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ZR-YJV3*2.5mm2</w:t>
            </w:r>
          </w:p>
        </w:tc>
        <w:tc>
          <w:tcPr>
            <w:tcW w:w="926" w:type="dxa"/>
            <w:tcBorders>
              <w:top w:val="nil"/>
              <w:left w:val="nil"/>
              <w:bottom w:val="single" w:color="auto" w:sz="4" w:space="0"/>
              <w:right w:val="single" w:color="auto" w:sz="4" w:space="0"/>
            </w:tcBorders>
            <w:shd w:val="clear" w:color="auto" w:fill="auto"/>
            <w:vAlign w:val="center"/>
          </w:tcPr>
          <w:p w14:paraId="660ED556">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6400</w:t>
            </w:r>
          </w:p>
        </w:tc>
        <w:tc>
          <w:tcPr>
            <w:tcW w:w="558" w:type="dxa"/>
            <w:tcBorders>
              <w:top w:val="nil"/>
              <w:left w:val="nil"/>
              <w:bottom w:val="single" w:color="auto" w:sz="4" w:space="0"/>
              <w:right w:val="single" w:color="auto" w:sz="4" w:space="0"/>
            </w:tcBorders>
            <w:shd w:val="clear" w:color="auto" w:fill="auto"/>
            <w:vAlign w:val="center"/>
          </w:tcPr>
          <w:p w14:paraId="353E7BB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米</w:t>
            </w:r>
          </w:p>
        </w:tc>
      </w:tr>
      <w:tr w14:paraId="541C9C43">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4DEEAE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14.4</w:t>
            </w:r>
          </w:p>
        </w:tc>
        <w:tc>
          <w:tcPr>
            <w:tcW w:w="989" w:type="dxa"/>
            <w:tcBorders>
              <w:top w:val="nil"/>
              <w:left w:val="nil"/>
              <w:bottom w:val="single" w:color="auto" w:sz="4" w:space="0"/>
              <w:right w:val="single" w:color="auto" w:sz="4" w:space="0"/>
            </w:tcBorders>
            <w:shd w:val="clear" w:color="auto" w:fill="auto"/>
            <w:vAlign w:val="center"/>
          </w:tcPr>
          <w:p w14:paraId="39601528">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室外六类线</w:t>
            </w:r>
          </w:p>
        </w:tc>
        <w:tc>
          <w:tcPr>
            <w:tcW w:w="5581" w:type="dxa"/>
            <w:tcBorders>
              <w:top w:val="nil"/>
              <w:left w:val="nil"/>
              <w:bottom w:val="single" w:color="auto" w:sz="4" w:space="0"/>
              <w:right w:val="single" w:color="auto" w:sz="4" w:space="0"/>
            </w:tcBorders>
            <w:shd w:val="clear" w:color="auto" w:fill="auto"/>
            <w:vAlign w:val="center"/>
          </w:tcPr>
          <w:p w14:paraId="52E1C392">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STP.6 室外型,305m/箱</w:t>
            </w:r>
          </w:p>
        </w:tc>
        <w:tc>
          <w:tcPr>
            <w:tcW w:w="926" w:type="dxa"/>
            <w:tcBorders>
              <w:top w:val="nil"/>
              <w:left w:val="nil"/>
              <w:bottom w:val="single" w:color="auto" w:sz="4" w:space="0"/>
              <w:right w:val="single" w:color="auto" w:sz="4" w:space="0"/>
            </w:tcBorders>
            <w:shd w:val="clear" w:color="auto" w:fill="auto"/>
            <w:vAlign w:val="center"/>
          </w:tcPr>
          <w:p w14:paraId="2219F83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195</w:t>
            </w:r>
          </w:p>
        </w:tc>
        <w:tc>
          <w:tcPr>
            <w:tcW w:w="558" w:type="dxa"/>
            <w:tcBorders>
              <w:top w:val="nil"/>
              <w:left w:val="nil"/>
              <w:bottom w:val="single" w:color="auto" w:sz="4" w:space="0"/>
              <w:right w:val="single" w:color="auto" w:sz="4" w:space="0"/>
            </w:tcBorders>
            <w:shd w:val="clear" w:color="auto" w:fill="auto"/>
            <w:vAlign w:val="center"/>
          </w:tcPr>
          <w:p w14:paraId="4F5F05A2">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w:t>
            </w:r>
          </w:p>
        </w:tc>
      </w:tr>
      <w:tr w14:paraId="3806EE1B">
        <w:tblPrEx>
          <w:tblCellMar>
            <w:top w:w="0" w:type="dxa"/>
            <w:left w:w="108" w:type="dxa"/>
            <w:bottom w:w="0" w:type="dxa"/>
            <w:right w:w="108" w:type="dxa"/>
          </w:tblCellMar>
        </w:tblPrEx>
        <w:trPr>
          <w:trHeight w:val="4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6D0AA9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15</w:t>
            </w:r>
          </w:p>
        </w:tc>
        <w:tc>
          <w:tcPr>
            <w:tcW w:w="989" w:type="dxa"/>
            <w:tcBorders>
              <w:top w:val="nil"/>
              <w:left w:val="nil"/>
              <w:bottom w:val="single" w:color="auto" w:sz="4" w:space="0"/>
              <w:right w:val="single" w:color="auto" w:sz="4" w:space="0"/>
            </w:tcBorders>
            <w:shd w:val="clear" w:color="auto" w:fill="auto"/>
            <w:vAlign w:val="center"/>
          </w:tcPr>
          <w:p w14:paraId="534D715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配套管材</w:t>
            </w:r>
          </w:p>
        </w:tc>
        <w:tc>
          <w:tcPr>
            <w:tcW w:w="5581" w:type="dxa"/>
            <w:tcBorders>
              <w:top w:val="nil"/>
              <w:left w:val="nil"/>
              <w:bottom w:val="single" w:color="auto" w:sz="4" w:space="0"/>
              <w:right w:val="single" w:color="auto" w:sz="4" w:space="0"/>
            </w:tcBorders>
            <w:shd w:val="clear" w:color="auto" w:fill="auto"/>
            <w:vAlign w:val="center"/>
          </w:tcPr>
          <w:p w14:paraId="3BB5A3E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直埋PE管、引上钢管、JDG电线管</w:t>
            </w:r>
          </w:p>
        </w:tc>
        <w:tc>
          <w:tcPr>
            <w:tcW w:w="926" w:type="dxa"/>
            <w:tcBorders>
              <w:top w:val="nil"/>
              <w:left w:val="nil"/>
              <w:bottom w:val="single" w:color="auto" w:sz="4" w:space="0"/>
              <w:right w:val="single" w:color="auto" w:sz="4" w:space="0"/>
            </w:tcBorders>
            <w:shd w:val="clear" w:color="auto" w:fill="auto"/>
            <w:vAlign w:val="center"/>
          </w:tcPr>
          <w:p w14:paraId="0CC30D3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195</w:t>
            </w:r>
          </w:p>
        </w:tc>
        <w:tc>
          <w:tcPr>
            <w:tcW w:w="558" w:type="dxa"/>
            <w:tcBorders>
              <w:top w:val="nil"/>
              <w:left w:val="nil"/>
              <w:bottom w:val="single" w:color="auto" w:sz="4" w:space="0"/>
              <w:right w:val="single" w:color="auto" w:sz="4" w:space="0"/>
            </w:tcBorders>
            <w:shd w:val="clear" w:color="auto" w:fill="auto"/>
            <w:vAlign w:val="center"/>
          </w:tcPr>
          <w:p w14:paraId="07F1ED3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点位</w:t>
            </w:r>
          </w:p>
        </w:tc>
      </w:tr>
    </w:tbl>
    <w:p w14:paraId="543D98C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1B2B44"/>
    <w:multiLevelType w:val="multilevel"/>
    <w:tmpl w:val="001B2B44"/>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7626ECA"/>
    <w:multiLevelType w:val="multilevel"/>
    <w:tmpl w:val="07626EC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C9A197D"/>
    <w:multiLevelType w:val="multilevel"/>
    <w:tmpl w:val="0C9A197D"/>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9254CF2"/>
    <w:multiLevelType w:val="multilevel"/>
    <w:tmpl w:val="19254CF2"/>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12966E7"/>
    <w:multiLevelType w:val="multilevel"/>
    <w:tmpl w:val="212966E7"/>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29448DB"/>
    <w:multiLevelType w:val="multilevel"/>
    <w:tmpl w:val="229448DB"/>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2A13891"/>
    <w:multiLevelType w:val="multilevel"/>
    <w:tmpl w:val="22A13891"/>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3C9165F"/>
    <w:multiLevelType w:val="multilevel"/>
    <w:tmpl w:val="23C9165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B4E1746"/>
    <w:multiLevelType w:val="multilevel"/>
    <w:tmpl w:val="2B4E1746"/>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2C5A2F90"/>
    <w:multiLevelType w:val="multilevel"/>
    <w:tmpl w:val="2C5A2F9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35535CB0"/>
    <w:multiLevelType w:val="multilevel"/>
    <w:tmpl w:val="35535CB0"/>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6A22877"/>
    <w:multiLevelType w:val="multilevel"/>
    <w:tmpl w:val="36A22877"/>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3CCC21A9"/>
    <w:multiLevelType w:val="multilevel"/>
    <w:tmpl w:val="3CCC21A9"/>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424520E4"/>
    <w:multiLevelType w:val="multilevel"/>
    <w:tmpl w:val="424520E4"/>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45145C80"/>
    <w:multiLevelType w:val="multilevel"/>
    <w:tmpl w:val="45145C80"/>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45922F88"/>
    <w:multiLevelType w:val="multilevel"/>
    <w:tmpl w:val="45922F8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E5F3A28"/>
    <w:multiLevelType w:val="multilevel"/>
    <w:tmpl w:val="5E5F3A2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690C50DA"/>
    <w:multiLevelType w:val="multilevel"/>
    <w:tmpl w:val="690C50DA"/>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72C24153"/>
    <w:multiLevelType w:val="multilevel"/>
    <w:tmpl w:val="72C24153"/>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7C56453D"/>
    <w:multiLevelType w:val="multilevel"/>
    <w:tmpl w:val="7C56453D"/>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7EBA087F"/>
    <w:multiLevelType w:val="multilevel"/>
    <w:tmpl w:val="7EBA087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7F1B0BA9"/>
    <w:multiLevelType w:val="multilevel"/>
    <w:tmpl w:val="7F1B0BA9"/>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0"/>
  </w:num>
  <w:num w:numId="2">
    <w:abstractNumId w:val="15"/>
  </w:num>
  <w:num w:numId="3">
    <w:abstractNumId w:val="16"/>
  </w:num>
  <w:num w:numId="4">
    <w:abstractNumId w:val="7"/>
  </w:num>
  <w:num w:numId="5">
    <w:abstractNumId w:val="18"/>
  </w:num>
  <w:num w:numId="6">
    <w:abstractNumId w:val="10"/>
  </w:num>
  <w:num w:numId="7">
    <w:abstractNumId w:val="17"/>
  </w:num>
  <w:num w:numId="8">
    <w:abstractNumId w:val="5"/>
  </w:num>
  <w:num w:numId="9">
    <w:abstractNumId w:val="8"/>
  </w:num>
  <w:num w:numId="10">
    <w:abstractNumId w:val="6"/>
  </w:num>
  <w:num w:numId="11">
    <w:abstractNumId w:val="11"/>
  </w:num>
  <w:num w:numId="12">
    <w:abstractNumId w:val="2"/>
  </w:num>
  <w:num w:numId="13">
    <w:abstractNumId w:val="3"/>
  </w:num>
  <w:num w:numId="14">
    <w:abstractNumId w:val="12"/>
  </w:num>
  <w:num w:numId="15">
    <w:abstractNumId w:val="14"/>
  </w:num>
  <w:num w:numId="16">
    <w:abstractNumId w:val="21"/>
  </w:num>
  <w:num w:numId="17">
    <w:abstractNumId w:val="0"/>
  </w:num>
  <w:num w:numId="18">
    <w:abstractNumId w:val="1"/>
  </w:num>
  <w:num w:numId="19">
    <w:abstractNumId w:val="9"/>
  </w:num>
  <w:num w:numId="20">
    <w:abstractNumId w:val="13"/>
  </w:num>
  <w:num w:numId="21">
    <w:abstractNumId w:val="4"/>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9726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8" w:lineRule="auto"/>
      <w:jc w:val="center"/>
      <w:outlineLvl w:val="0"/>
    </w:pPr>
    <w:rPr>
      <w:rFonts w:ascii="Times New Roman" w:hAnsi="Times New Roman" w:eastAsia="宋体" w:cs="Times New Roman"/>
      <w:b/>
      <w:bCs/>
      <w:kern w:val="44"/>
      <w:sz w:val="28"/>
      <w:szCs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List Paragraph"/>
    <w:basedOn w:val="1"/>
    <w:qFormat/>
    <w:uiPriority w:val="0"/>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2026-07-13T07:53:09Z</dcterms:created>
  <dc:creator>admin</dc:creator>
  <cp:lastModifiedBy>admin</cp:lastModifiedBy>
  <dcterms:modified xsi:type="dcterms:W3CDTF">2026-07-13T07:56:34Z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eyJoZGlkIjoiNDFiZmZmNDQyYzUxMzhiOWVkN2IzMDRmYThlNTRhNTAiLCJ1c2VySWQiOiI3ODAwNzU1NjEifQ==</vt:lpwstr>
  </property>
  <property fmtid="{D5CDD505-2E9C-101B-9397-08002B2CF9AE}" pid="4" name="ICV">
    <vt:lpwstr>4227C79B2EBB458C879B033E192EE683_12</vt:lpwstr>
  </property>
</Properties>
</file>