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版本号：ZD0926-007ZWN20260611001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2025年市级林业专项资金渭南市松材线虫病防控项目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ZD0926-007ZWN</w:t>
      </w:r>
      <w:r>
        <w:br/>
      </w:r>
      <w:r>
        <w:br/>
      </w:r>
      <w:r>
        <w:br/>
      </w:r>
    </w:p>
    <w:p>
      <w:pPr>
        <w:pStyle w:val="null3"/>
        <w:jc w:val="center"/>
        <w:outlineLvl w:val="2"/>
      </w:pPr>
      <w:r>
        <w:rPr>
          <w:rFonts w:ascii="仿宋_GB2312" w:hAnsi="仿宋_GB2312" w:cs="仿宋_GB2312" w:eastAsia="仿宋_GB2312"/>
          <w:sz w:val="28"/>
          <w:b/>
        </w:rPr>
        <w:t>渭南市林业工作站</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渭南市林业工作站</w:t>
      </w:r>
      <w:r>
        <w:rPr>
          <w:rFonts w:ascii="仿宋_GB2312" w:hAnsi="仿宋_GB2312" w:cs="仿宋_GB2312" w:eastAsia="仿宋_GB2312"/>
        </w:rPr>
        <w:t>委托，拟对</w:t>
      </w:r>
      <w:r>
        <w:rPr>
          <w:rFonts w:ascii="仿宋_GB2312" w:hAnsi="仿宋_GB2312" w:cs="仿宋_GB2312" w:eastAsia="仿宋_GB2312"/>
        </w:rPr>
        <w:t>2025年市级林业专项资金渭南市松材线虫病防控项目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ZD0926-007ZWN</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2025年市级林业专项资金渭南市松材线虫病防控项目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市级林业专项资金渭南市松材线虫病防控项目，主要开展重大林业有害生物监测、组织开展全市重大林业有害生物防控演练会、拍摄制作渭南市林业有害生物防治工作宣传片、开展全市松树钻蛀类害虫系统调查培训及全市林业有害生物检疫执法培训，定制市林业工作站森防实验室标识牌，购置林草有害生物标本盒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采购包1（2025年市级林业专项资金渭南市松材线虫病防控项目）：属于专门面向中小企业采购。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渭南市林业工作站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渭南市临渭区朝阳大街中段林业大厦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13909133133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西安市雁塔区南二环东段22号（凯森盛世1号）A座27楼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王蕾、张钢钟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029-88892218/801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招标代理服务收费管理暂行办法的通知》（计价格〔2002〕1980号）和《关于招标代理服务收费有关问题的通知》（发改办价格〔2003〕857号）文件规定的标准收取。具体收费金额将在中标（成交）结果公告中公布。开户名称：正大方略工程咨询有限公司 开户行名称：西安银行东二环南段支行 账号：209011580000076430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渭南市林业工作站</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渭南市林业工作站</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渭南市林业工作站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联系人：王蕾、张钢钟</w:t>
      </w:r>
    </w:p>
    <w:p>
      <w:pPr>
        <w:pStyle w:val="null3"/>
      </w:pPr>
      <w:r>
        <w:rPr>
          <w:rFonts w:ascii="仿宋_GB2312" w:hAnsi="仿宋_GB2312" w:cs="仿宋_GB2312" w:eastAsia="仿宋_GB2312"/>
        </w:rPr>
        <w:t>联系电话：029-88892218/801</w:t>
      </w:r>
    </w:p>
    <w:p>
      <w:pPr>
        <w:pStyle w:val="null3"/>
      </w:pPr>
      <w:r>
        <w:rPr>
          <w:rFonts w:ascii="仿宋_GB2312" w:hAnsi="仿宋_GB2312" w:cs="仿宋_GB2312" w:eastAsia="仿宋_GB2312"/>
        </w:rPr>
        <w:t>地址：西安市雁塔区南二环东段22号（凯森盛世1号）A座27楼招标六部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市级林业专项资金渭南市松材线虫病防控项目，主要开展重大林业有害生物监测、组织开展全市重大林业有害生物防控演练会、拍摄制作渭南市林业有害生物防治工作宣传片、开展全市松树钻蛀类害虫系统调查培训及全市林业有害生物检疫执法培训，定制市林业工作站森防实验室标识牌，购置林草有害生物标本盒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342,000.00</w:t>
      </w:r>
    </w:p>
    <w:p>
      <w:pPr>
        <w:pStyle w:val="null3"/>
      </w:pPr>
      <w:r>
        <w:rPr>
          <w:rFonts w:ascii="仿宋_GB2312" w:hAnsi="仿宋_GB2312" w:cs="仿宋_GB2312" w:eastAsia="仿宋_GB2312"/>
        </w:rPr>
        <w:t>采购包最高限价（元）: 342,000.00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渭南市松材线虫病防控项目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标的名称：渭南市松材线虫病防控项目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1.在全市重点区域内开展重大林业有害生物监测。其中，购置并在秦岭重点林区悬挂天牛诱捕器60套，在蒲城县、富平县、白水县、澄城县重点林区悬挂美国白蛾诱捕器200套，在华山主景区、韩城雷寺庄林区重点林区段试点架设林业有害生物视频监测设备2套，为科学防控提供精准数据支撑，实现“早发现、早预警、早处置”。</w:t>
            </w:r>
          </w:p>
          <w:p>
            <w:pPr>
              <w:pStyle w:val="null3"/>
              <w:ind w:firstLine="560"/>
              <w:jc w:val="both"/>
            </w:pPr>
            <w:r>
              <w:rPr>
                <w:rFonts w:ascii="仿宋_GB2312" w:hAnsi="仿宋_GB2312" w:cs="仿宋_GB2312" w:eastAsia="仿宋_GB2312"/>
                <w:sz w:val="28"/>
              </w:rPr>
              <w:t>2.组织开展全市重大林业有害生物防控演练会1次。针对松材线虫病监测调查、疫情报告、检疫封锁、林业有害生物执法办案模拟及媒介昆虫防治等重点环节进行现场演练，切实提高森防专业技术人员应对和处置林业有害生物灾害能力。</w:t>
            </w:r>
          </w:p>
          <w:p>
            <w:pPr>
              <w:pStyle w:val="null3"/>
              <w:ind w:firstLine="560"/>
              <w:jc w:val="both"/>
            </w:pPr>
            <w:r>
              <w:rPr>
                <w:rFonts w:ascii="仿宋_GB2312" w:hAnsi="仿宋_GB2312" w:cs="仿宋_GB2312" w:eastAsia="仿宋_GB2312"/>
                <w:sz w:val="28"/>
              </w:rPr>
              <w:t>3.拍摄制作渭南市林业有害生物防治工作宣传片1部。重点对我市松材线虫病等重大林业有害生物综合防控工作进行展示，宣传片时长4分钟左右。</w:t>
            </w:r>
          </w:p>
          <w:p>
            <w:pPr>
              <w:pStyle w:val="null3"/>
              <w:ind w:firstLine="560"/>
              <w:jc w:val="both"/>
            </w:pPr>
            <w:r>
              <w:rPr>
                <w:rFonts w:ascii="仿宋_GB2312" w:hAnsi="仿宋_GB2312" w:cs="仿宋_GB2312" w:eastAsia="仿宋_GB2312"/>
                <w:sz w:val="28"/>
              </w:rPr>
              <w:t>4.开展全市松树钻蛀类害虫系统调查培训1次。围绕调查实施方案、害虫识别、调查方法、平台应用等内容进行系统讲解，对标准地设置、虫害木排查、诱捕器布设、标本采集与制作等环节进行现场演示操作，为全市松树钻蛀类害虫系统调查工作的统一、规范、高效开展提供坚实的人才和技术保障。</w:t>
            </w:r>
          </w:p>
          <w:p>
            <w:pPr>
              <w:pStyle w:val="null3"/>
              <w:ind w:firstLine="560"/>
              <w:jc w:val="both"/>
            </w:pPr>
            <w:r>
              <w:rPr>
                <w:rFonts w:ascii="仿宋_GB2312" w:hAnsi="仿宋_GB2312" w:cs="仿宋_GB2312" w:eastAsia="仿宋_GB2312"/>
                <w:sz w:val="28"/>
              </w:rPr>
              <w:t>5.开展全市林业有害生物检疫执法培训1次。开展松材线虫病等重大林业有害生物的识别与诊断、林业有害生物检疫法规、检疫执法案例分析等内容培训，切实提高我市森防专业技术人员开展松材线虫病等重大林业有害生物防治工作的业务水平，增强检疫执法能力。</w:t>
            </w:r>
          </w:p>
          <w:p>
            <w:pPr>
              <w:pStyle w:val="null3"/>
              <w:ind w:firstLine="560"/>
              <w:jc w:val="both"/>
            </w:pPr>
            <w:r>
              <w:rPr>
                <w:rFonts w:ascii="仿宋_GB2312" w:hAnsi="仿宋_GB2312" w:cs="仿宋_GB2312" w:eastAsia="仿宋_GB2312"/>
                <w:sz w:val="28"/>
              </w:rPr>
              <w:t>6.定制市林业工作站森防实验室标识牌，购置林草有害生物标本盒。</w:t>
            </w:r>
          </w:p>
          <w:tbl>
            <w:tblPr>
              <w:tblBorders>
                <w:top w:val="none" w:color="000000" w:sz="4"/>
                <w:left w:val="none" w:color="000000" w:sz="4"/>
                <w:bottom w:val="none" w:color="000000" w:sz="4"/>
                <w:right w:val="none" w:color="000000" w:sz="4"/>
                <w:insideH w:val="none"/>
                <w:insideV w:val="none"/>
              </w:tblBorders>
            </w:tblPr>
            <w:tblGrid>
              <w:gridCol w:w="196"/>
              <w:gridCol w:w="514"/>
              <w:gridCol w:w="531"/>
              <w:gridCol w:w="205"/>
              <w:gridCol w:w="217"/>
              <w:gridCol w:w="878"/>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04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建设内容</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重大林业有害生物监测</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购置天牛诱捕器</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一套</w:t>
                  </w:r>
                  <w:r>
                    <w:rPr>
                      <w:rFonts w:ascii="仿宋_GB2312" w:hAnsi="仿宋_GB2312" w:cs="仿宋_GB2312" w:eastAsia="仿宋_GB2312"/>
                      <w:sz w:val="22"/>
                    </w:rPr>
                    <w:t>含</w:t>
                  </w:r>
                  <w:r>
                    <w:rPr>
                      <w:rFonts w:ascii="仿宋_GB2312" w:hAnsi="仿宋_GB2312" w:cs="仿宋_GB2312" w:eastAsia="仿宋_GB2312"/>
                      <w:sz w:val="22"/>
                    </w:rPr>
                    <w:t>3个诱芯</w:t>
                  </w:r>
                </w:p>
              </w:tc>
            </w:tr>
            <w:tr>
              <w:tc>
                <w:tcPr>
                  <w:tcW w:type="dxa" w:w="196"/>
                  <w:vMerge/>
                  <w:tcBorders>
                    <w:top w:val="none" w:color="000000" w:sz="4"/>
                    <w:left w:val="single" w:color="000000" w:sz="4"/>
                    <w:bottom w:val="single" w:color="000000" w:sz="4"/>
                    <w:right w:val="single" w:color="000000" w:sz="4"/>
                  </w:tcBorders>
                </w:tcPr>
                <w:p/>
              </w:tc>
              <w:tc>
                <w:tcPr>
                  <w:tcW w:type="dxa" w:w="514"/>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购置美国白娥诱捕器</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一套</w:t>
                  </w:r>
                  <w:r>
                    <w:rPr>
                      <w:rFonts w:ascii="仿宋_GB2312" w:hAnsi="仿宋_GB2312" w:cs="仿宋_GB2312" w:eastAsia="仿宋_GB2312"/>
                      <w:sz w:val="22"/>
                    </w:rPr>
                    <w:t>含</w:t>
                  </w:r>
                  <w:r>
                    <w:rPr>
                      <w:rFonts w:ascii="仿宋_GB2312" w:hAnsi="仿宋_GB2312" w:cs="仿宋_GB2312" w:eastAsia="仿宋_GB2312"/>
                      <w:sz w:val="22"/>
                    </w:rPr>
                    <w:t>1个诱芯</w:t>
                  </w:r>
                </w:p>
              </w:tc>
            </w:tr>
            <w:tr>
              <w:tc>
                <w:tcPr>
                  <w:tcW w:type="dxa" w:w="196"/>
                  <w:vMerge/>
                  <w:tcBorders>
                    <w:top w:val="none" w:color="000000" w:sz="4"/>
                    <w:left w:val="single" w:color="000000" w:sz="4"/>
                    <w:bottom w:val="single" w:color="000000" w:sz="4"/>
                    <w:right w:val="single" w:color="000000" w:sz="4"/>
                  </w:tcBorders>
                </w:tcPr>
                <w:p/>
              </w:tc>
              <w:tc>
                <w:tcPr>
                  <w:tcW w:type="dxa" w:w="514"/>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林业有害生物视频监测设备服务</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租赁</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0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全市重大林业有害生物防控演练会</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次</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规模</w:t>
                  </w:r>
                  <w:r>
                    <w:rPr>
                      <w:rFonts w:ascii="仿宋_GB2312" w:hAnsi="仿宋_GB2312" w:cs="仿宋_GB2312" w:eastAsia="仿宋_GB2312"/>
                      <w:sz w:val="22"/>
                    </w:rPr>
                    <w:t>80人左右，为期2天。另需室外会场布量、屏幕搭建、设备租赁。</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0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林业有害生物防</w:t>
                  </w:r>
                  <w:r>
                    <w:rPr>
                      <w:rFonts w:ascii="仿宋_GB2312" w:hAnsi="仿宋_GB2312" w:cs="仿宋_GB2312" w:eastAsia="仿宋_GB2312"/>
                      <w:sz w:val="22"/>
                    </w:rPr>
                    <w:t>治</w:t>
                  </w:r>
                  <w:r>
                    <w:rPr>
                      <w:rFonts w:ascii="仿宋_GB2312" w:hAnsi="仿宋_GB2312" w:cs="仿宋_GB2312" w:eastAsia="仿宋_GB2312"/>
                      <w:sz w:val="22"/>
                    </w:rPr>
                    <w:t>工作宣传片拍摄</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部</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0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全市松树钻蛀类害虫系统调查培训</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次</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规模</w:t>
                  </w:r>
                  <w:r>
                    <w:rPr>
                      <w:rFonts w:ascii="仿宋_GB2312" w:hAnsi="仿宋_GB2312" w:cs="仿宋_GB2312" w:eastAsia="仿宋_GB2312"/>
                      <w:sz w:val="22"/>
                    </w:rPr>
                    <w:t>50人左右，为期2天。</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0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全市林业有害生物检疫执法培训</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次</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规模</w:t>
                  </w:r>
                  <w:r>
                    <w:rPr>
                      <w:rFonts w:ascii="仿宋_GB2312" w:hAnsi="仿宋_GB2312" w:cs="仿宋_GB2312" w:eastAsia="仿宋_GB2312"/>
                      <w:sz w:val="22"/>
                    </w:rPr>
                    <w:t>50人左右，为期2天。</w:t>
                  </w: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定制市林业工作站森防实验室标识牌，购置林草有害生物标本盒</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实验室标识牌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含</w:t>
                  </w:r>
                  <w:r>
                    <w:rPr>
                      <w:rFonts w:ascii="仿宋_GB2312" w:hAnsi="仿宋_GB2312" w:cs="仿宋_GB2312" w:eastAsia="仿宋_GB2312"/>
                      <w:sz w:val="22"/>
                    </w:rPr>
                    <w:t>场所标识牌、标本标识牌</w:t>
                  </w:r>
                </w:p>
              </w:tc>
            </w:tr>
            <w:tr>
              <w:tc>
                <w:tcPr>
                  <w:tcW w:type="dxa" w:w="196"/>
                  <w:vMerge/>
                  <w:tcBorders>
                    <w:top w:val="none" w:color="000000" w:sz="4"/>
                    <w:left w:val="single" w:color="000000" w:sz="4"/>
                    <w:bottom w:val="single" w:color="000000" w:sz="4"/>
                    <w:right w:val="single" w:color="000000" w:sz="4"/>
                  </w:tcBorders>
                </w:tcPr>
                <w:p/>
              </w:tc>
              <w:tc>
                <w:tcPr>
                  <w:tcW w:type="dxa" w:w="514"/>
                  <w:vMerge/>
                  <w:tcBorders>
                    <w:top w:val="non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林草有害生物标本盒</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供应商应组建专业的服务团队，负责对项目实施过程的控制及管理。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2026年6月-12月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渭南市辖区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所属行业为：其他未列明行业。从业人员300人以下的为中小微型企业。其中，从业人员100人及以上的为中型企业；从业人员10人及以上的为小型企业；从业人员10人以下的为微型企业。2.为保障政府采购电子化交易平台项目实施，供应商需要在线提交所有通过电子化交易平台实施的政府采购项目的响应文件，成交供应商在中标（成交）结果公示期结束后须向采购人及代理机构提交纸质版响应文件正本1套、副本2套、电子版(U盘1份）。纸质响应文件应与电子响应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企业响应的提供营业执照；个体工商户响应的提供个体工商户营业执照。（2）法定代表人或授权代表身份证明：法定代表人（负责人）参加磋商的提供法定代表人（负责人）身份证明及身份证；授权代表参加磋商的提供授权委托书及授权代表身份证。（3）税收缴纳证明：供应商自磋商前1年内已缴纳任意时段、任意税种凭证或税务机关开具的完税证明；依法免税的应提供相关文件证明。（4）社保资金缴纳证明：供应商自磋商前1年内已缴存的任意时段的社会保障资金缴存单据或社保机构开具的社会保险参保缴费情况证明；依法不需要缴纳社会保障资金的应提供相关文件证明。（5）供应商具备履行合同所必需的设备和专业技术能力承诺书。（6）磋商响应声明书：供应商参加本次采购活动3年内，在经营活动中没有重大违法记录以及未被列入失信被执行人、重大税收违法案件当事人名单、政府采购严重违法失信行为记录名单的书面声明。 供应商需在项目电子化交易系统中按要求填写《响应函》完成承诺后，在项目电子化交易系统中按要求上传相应证明文件并进行电子签章。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或2025年度经审计的财务报告（包括“四表一注”即《资产负债表》《利润表》《现金流量表》《所有者权益变动表》及其附注）或者提供响应文件递交截止时间6个月内其基本账户开户银行出具的资信证明；供应商成立不到1年的，可提供企业任意时段资产负债表。（供应商提供的经审计的财务报告应具有注册会计师行业统一监管平台赋予的验证码，并可通过统一监管平台或手机“扫一扫”等方式进行查验。）供应商需在项目电子化交易系统中按要求填写《响应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按照磋商文件要求签字、盖章。</w:t>
            </w:r>
          </w:p>
        </w:tc>
        <w:tc>
          <w:tcPr>
            <w:tcW w:type="dxa" w:w="1661"/>
          </w:tcPr>
          <w:p>
            <w:pPr>
              <w:pStyle w:val="null3"/>
            </w:pPr>
            <w:r>
              <w:rPr>
                <w:rFonts w:ascii="仿宋_GB2312" w:hAnsi="仿宋_GB2312" w:cs="仿宋_GB2312" w:eastAsia="仿宋_GB2312"/>
              </w:rPr>
              <w:t>响应文件封面 商务技术资料 分项报价表 中小企业声明函 残疾人福利性单位声明函 商务应答表 资格证明材料 标的清单 服务内容及服务要求应答表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报价合理性</w:t>
            </w:r>
          </w:p>
        </w:tc>
        <w:tc>
          <w:tcPr>
            <w:tcW w:type="dxa" w:w="3322"/>
          </w:tcPr>
          <w:p>
            <w:pPr>
              <w:pStyle w:val="null3"/>
            </w:pPr>
            <w:r>
              <w:rPr>
                <w:rFonts w:ascii="仿宋_GB2312" w:hAnsi="仿宋_GB2312" w:cs="仿宋_GB2312" w:eastAsia="仿宋_GB2312"/>
              </w:rPr>
              <w:t>1.唯一报价：只能有一个有效报价，不得提交选择性报价，且报价不超过采购预算金额或最高限价； 2.异常低价：按照磋商文件异常低价审查的规定。</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商务技术资料 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针对本项目特点制定总体服务方案，包括但不限于①对项目实施背景和现状、工作目标和需求分析的理解②针对本项目的实施提出重点、难点分析并给出相应的解决方案③服务质量保证措施。 二、评审标准：1.完整性：内容全面，对评审内容中的各项要求有详细描述；2.可实施性：切合本项目实际情况，实施步骤清晰、合理；3.针对性：方案能够紧扣项目实际情况，内容科学合理。 三、赋分标准：（满分18分） ①对项目实施背景和现状、工作目标和需求分析的理解：此评审项满分6分，每完全满足一条评审标准得2分；针对每条评审标准，如存在不合理的方面，扣1分；针对每条评审标准，方案内容与本项目无关或未提供的，得0分。 ②针对本项目的实施提出重点、难点分析并给出相应的解决方案：此评审项满分6分，每完全满足一条评审标准得2分；针对每条评审标准，如存在不合理的方面，扣1分；针对每条评审标准，方案内容与本项目无关或未提供的，得0分。 ③服务质量保证措施：此评审项满分6分，每完全满足一条评审标准得2分；针对每条评审标准，如存在不合理的方面，扣1分；针对每条评审标准，方案内容与本项目无关或未提供的，得0分。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商务技术资料</w:t>
            </w:r>
          </w:p>
        </w:tc>
      </w:tr>
      <w:tr>
        <w:tc>
          <w:tcPr>
            <w:tcW w:type="dxa" w:w="831"/>
            <w:vMerge/>
          </w:tcPr>
          <w:p/>
        </w:tc>
        <w:tc>
          <w:tcPr>
            <w:tcW w:type="dxa" w:w="1661"/>
          </w:tcPr>
          <w:p>
            <w:pPr>
              <w:pStyle w:val="null3"/>
            </w:pPr>
            <w:r>
              <w:rPr>
                <w:rFonts w:ascii="仿宋_GB2312" w:hAnsi="仿宋_GB2312" w:cs="仿宋_GB2312" w:eastAsia="仿宋_GB2312"/>
              </w:rPr>
              <w:t>监测服务保障方案</w:t>
            </w:r>
          </w:p>
        </w:tc>
        <w:tc>
          <w:tcPr>
            <w:tcW w:type="dxa" w:w="2492"/>
          </w:tcPr>
          <w:p>
            <w:pPr>
              <w:pStyle w:val="null3"/>
            </w:pPr>
            <w:r>
              <w:rPr>
                <w:rFonts w:ascii="仿宋_GB2312" w:hAnsi="仿宋_GB2312" w:cs="仿宋_GB2312" w:eastAsia="仿宋_GB2312"/>
              </w:rPr>
              <w:t>一、评审内容：供应商针对本项目特点制定监测服务保障方案，包括但不限于：①诱捕器布设点位、安装标准及维护计划②视频监测设备安装、调试、运行维护及故障处置方案③监测数据采集、分析及上报流程。 二、评审标准：1.完整性：内容全面，对评审内容中的各项要求有详细描述；2.可实施性：切合本项目实际情况，实施步骤清晰、合理；3.针对性：方案能够紧扣项目实际情况，内容科学合理。 三、赋分标准：（满分9分） ①诱捕器布设点位、安装标准及维护计划：此评审项满分3分，每完全满足一条评审标准得1分；针对每条评审标准，如存在不合理的方面，扣0.5分；针对每条评审标准，方案内容与本项目无关或未提供的，得0分。 ②视频监测设备安装、调试、运行维护及故障处置方案：此评审项满分3分，每完全满足一条评审标准得1分；针对每条评审标准，如存在不合理的方面，扣0.5分；针对每条评审标准，方案内容与本项目无关或未提供的，得0分。 ③监测数据采集、分析及上报流程：此评审项满分3分，每完全满足一条评审标准得1分；针对每条评审标准，如存在不合理的方面，扣0.5分；针对每条评审标准，方案内容与本项目无关或未提供的，得0分。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商务技术资料</w:t>
            </w:r>
          </w:p>
        </w:tc>
      </w:tr>
      <w:tr>
        <w:tc>
          <w:tcPr>
            <w:tcW w:type="dxa" w:w="831"/>
            <w:vMerge/>
          </w:tcPr>
          <w:p/>
        </w:tc>
        <w:tc>
          <w:tcPr>
            <w:tcW w:type="dxa" w:w="1661"/>
          </w:tcPr>
          <w:p>
            <w:pPr>
              <w:pStyle w:val="null3"/>
            </w:pPr>
            <w:r>
              <w:rPr>
                <w:rFonts w:ascii="仿宋_GB2312" w:hAnsi="仿宋_GB2312" w:cs="仿宋_GB2312" w:eastAsia="仿宋_GB2312"/>
              </w:rPr>
              <w:t>防控演练组织方案</w:t>
            </w:r>
          </w:p>
        </w:tc>
        <w:tc>
          <w:tcPr>
            <w:tcW w:type="dxa" w:w="2492"/>
          </w:tcPr>
          <w:p>
            <w:pPr>
              <w:pStyle w:val="null3"/>
            </w:pPr>
            <w:r>
              <w:rPr>
                <w:rFonts w:ascii="仿宋_GB2312" w:hAnsi="仿宋_GB2312" w:cs="仿宋_GB2312" w:eastAsia="仿宋_GB2312"/>
              </w:rPr>
              <w:t>一、评审内容：供应商针对本项目特点制定防控演练组织方案，包括但不限于：①演练流程及现场布置方案②设备租赁、场地布置、人员组织安排③安全保障及应急处置预案。 二、评审标准：1.完整性：内容全面，对评审内容中的各项要求有详细描述；2.可实施性：切合本项目实际情况，实施步骤清晰、合理；3.针对性：方案能够紧扣项目实际情况，内容科学合理。 三、赋分标准：（满分9分） ①演练流程及现场布置方案：此评审项满分3分，每完全满足一条评审标准得1分；针对每条评审标准，如存在不合理的方面，扣0.5分；针对每条评审标准，方案内容与本项目无关或未提供的，得0分。 ②设备租赁、场地布置、人员组织安排：此评审项满分3分，每完全满足一条评审标准得1分；针对每条评审标准，如存在不合理的方面，扣0.5分；针对每条评审标准，方案内容与本项目无关或未提供的，得0分。 ③安全保障及应急处置预案：此评审项满分3分，每完全满足一条评审标准得1分；针对每条评审标准，如存在不合理的方面，扣0.5分；针对每条评审标准，方案内容与本项目无关或未提供的，得0分。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商务技术资料</w:t>
            </w:r>
          </w:p>
        </w:tc>
      </w:tr>
      <w:tr>
        <w:tc>
          <w:tcPr>
            <w:tcW w:type="dxa" w:w="831"/>
            <w:vMerge/>
          </w:tcPr>
          <w:p/>
        </w:tc>
        <w:tc>
          <w:tcPr>
            <w:tcW w:type="dxa" w:w="1661"/>
          </w:tcPr>
          <w:p>
            <w:pPr>
              <w:pStyle w:val="null3"/>
            </w:pPr>
            <w:r>
              <w:rPr>
                <w:rFonts w:ascii="仿宋_GB2312" w:hAnsi="仿宋_GB2312" w:cs="仿宋_GB2312" w:eastAsia="仿宋_GB2312"/>
              </w:rPr>
              <w:t>宣传片拍摄制作方案</w:t>
            </w:r>
          </w:p>
        </w:tc>
        <w:tc>
          <w:tcPr>
            <w:tcW w:type="dxa" w:w="2492"/>
          </w:tcPr>
          <w:p>
            <w:pPr>
              <w:pStyle w:val="null3"/>
            </w:pPr>
            <w:r>
              <w:rPr>
                <w:rFonts w:ascii="仿宋_GB2312" w:hAnsi="仿宋_GB2312" w:cs="仿宋_GB2312" w:eastAsia="仿宋_GB2312"/>
              </w:rPr>
              <w:t>一、评审内容：供应商针对本项目特点制定宣传片拍摄制作方案，包括但不限于：①宣传片拍摄脚本框架及分镜方案②拍摄、制作、交付全流程时间计划③成片质量标准。 二、评审标准：1.完整性：内容全面，对评审内容中的各项要求有详细描述；2.可实施性：切合本项目实际情况，实施步骤清晰、合理；3.针对性：方案能够紧扣项目实际情况，内容科学合理。 三、赋分标准：（满分9分） ①宣传片拍摄脚本框架及分镜方案：此评审项满分3分，每完全满足一条评审标准得1分；针对每条评审标准，如存在不合理的方面，扣0.5分；针对每条评审标准，方案内容与本项目无关或未提供的，得0分。 ②拍摄、制作、交付全流程时间计划：此评审项满分3分，每完全满足一条评审标准得1分；针对每条评审标准，如存在不合理的方面，扣0.5分；针对每条评审标准，方案内容与本项目无关或未提供的，得0分。 ③成片质量标准：此评审项满分3分，每完全满足一条评审标准得1分；针对每条评审标准，如存在不合理的方面，扣0.5分；针对每条评审标准，方案内容与本项目无关或未提供的，得0分。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商务技术资料</w:t>
            </w:r>
          </w:p>
        </w:tc>
      </w:tr>
      <w:tr>
        <w:tc>
          <w:tcPr>
            <w:tcW w:type="dxa" w:w="831"/>
            <w:vMerge/>
          </w:tcPr>
          <w:p/>
        </w:tc>
        <w:tc>
          <w:tcPr>
            <w:tcW w:type="dxa" w:w="1661"/>
          </w:tcPr>
          <w:p>
            <w:pPr>
              <w:pStyle w:val="null3"/>
            </w:pPr>
            <w:r>
              <w:rPr>
                <w:rFonts w:ascii="仿宋_GB2312" w:hAnsi="仿宋_GB2312" w:cs="仿宋_GB2312" w:eastAsia="仿宋_GB2312"/>
              </w:rPr>
              <w:t>培训组织方案</w:t>
            </w:r>
          </w:p>
        </w:tc>
        <w:tc>
          <w:tcPr>
            <w:tcW w:type="dxa" w:w="2492"/>
          </w:tcPr>
          <w:p>
            <w:pPr>
              <w:pStyle w:val="null3"/>
            </w:pPr>
            <w:r>
              <w:rPr>
                <w:rFonts w:ascii="仿宋_GB2312" w:hAnsi="仿宋_GB2312" w:cs="仿宋_GB2312" w:eastAsia="仿宋_GB2312"/>
              </w:rPr>
              <w:t>一、评审内容：供应商针对本项目特点制定培训组织方案，包括但不限于：①两次培训的场地与硬件保障、食宿及后勤保障②组织流程及效果保障措施。 二、评审标准：1.完整性：内容全面，对评审内容中的各项要求有详细描述；2.可实施性：切合本项目实际情况，实施步骤清晰、合理；3.针对性：方案能够紧扣项目实际情况，内容科学合理。 三、赋分标准：（满分9分） ①两次培训的场地与硬件保障、食宿及后勤保障：此评审项满分4.5分，每完全满足一条评审标准得1.5分；针对每条评审标准，如存在不合理的方面，扣0.5分；针对每条评审标准，方案内容与本项目无关或未提供的，得0分。 ②组织流程及效果保障措施：此评审项满分4.5分，每完全满足一条评审标准得1.5分；针对每条评审标准，如存在不合理的方面，扣0.5分；针对每条评审标准，方案内容与本项目无关或未提供的，得0分。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商务技术资料</w:t>
            </w:r>
          </w:p>
        </w:tc>
      </w:tr>
      <w:tr>
        <w:tc>
          <w:tcPr>
            <w:tcW w:type="dxa" w:w="831"/>
            <w:vMerge/>
          </w:tcPr>
          <w:p/>
        </w:tc>
        <w:tc>
          <w:tcPr>
            <w:tcW w:type="dxa" w:w="1661"/>
          </w:tcPr>
          <w:p>
            <w:pPr>
              <w:pStyle w:val="null3"/>
            </w:pPr>
            <w:r>
              <w:rPr>
                <w:rFonts w:ascii="仿宋_GB2312" w:hAnsi="仿宋_GB2312" w:cs="仿宋_GB2312" w:eastAsia="仿宋_GB2312"/>
              </w:rPr>
              <w:t>物资质量与交付保障方案</w:t>
            </w:r>
          </w:p>
        </w:tc>
        <w:tc>
          <w:tcPr>
            <w:tcW w:type="dxa" w:w="2492"/>
          </w:tcPr>
          <w:p>
            <w:pPr>
              <w:pStyle w:val="null3"/>
            </w:pPr>
            <w:r>
              <w:rPr>
                <w:rFonts w:ascii="仿宋_GB2312" w:hAnsi="仿宋_GB2312" w:cs="仿宋_GB2312" w:eastAsia="仿宋_GB2312"/>
              </w:rPr>
              <w:t>一、评审内容：供应商针对本项目特点制定物资质量与交付保障方案，包括但不限于：①诱捕器、标识牌、标本盒的质量标准及检验方案②物资运输、仓储及交付保障措施。 二、评审标准：1.完整性：内容全面，对评审内容中的各项要求有详细描述；2.可实施性：切合本项目实际情况，实施步骤清晰、合理；3.针对性：方案能够紧扣项目实际情况，内容科学合理。 三、赋分标准：（满分9分） ①诱捕器、标识牌、标本盒的质量标准及检验方案：此评审项满分4.5分，每完全满足一条评审标准得1.5分；针对每条评审标准，如存在不合理的方面，扣0.5分；针对每条评审标准，方案内容与本项目无关或未提供的，得0分。 ②物资运输、仓储及交付保障措施：此评审项满分4.5分，每完全满足一条评审标准得1.5分；针对每条评审标准，如存在不合理的方面，扣0.5分；针对每条评审标准，方案内容与本项目无关或未提供的，得0分。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商务技术资料</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一、评审内容：供应商针对本项目配置专业的服务团队，包括但不限于①项目负责人②技术服务人员等，提供人员相关资格/职称/培训证书复印件。 二、赋分标准：（满分7分） 1.项目负责人（2分）：拟投入本项目负责人具有林业相关专业中级及以上职称证书的，得2分，不符合要求不得分。 2.技术服务人员（5分）： 拟投入本项目的技术服务人员（项目负责人除外），具有林业有害生物监测/防治相关专业技术人员，每配备1名得1分，最多得5分，不符合要求不得分。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一、评审内容：提供供应商2023年1月1日至今具有以下类似项目的业绩证明（时间以合同签订时间为准）。①林业有害生物监测类项目；②林业有害生物防控演练/培训类项目；③林业有害生物防治类项目。 二、赋分标准：（满分10分） 每提供一个业绩得2分，最高得10分。供应商需提供完整的业绩合同复印件并加盖公章，未按照要求提供不得分。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商务技术资料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低最后磋商报价为磋商基准价，其磋商报价为满分。供应商的价格分，统一按照下列公式计算：磋商报价得分=(磋商基准价／最后磋商报价)×100×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详见附件：商务技术资料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