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版本号：PLRH2026-GP-019F20260526001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莲湖区2026年病媒生物防制消杀服务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PLRH2026-GP-019F</w:t>
      </w:r>
      <w:r>
        <w:br/>
      </w:r>
      <w:r>
        <w:br/>
      </w:r>
      <w:r>
        <w:br/>
      </w:r>
    </w:p>
    <w:p>
      <w:pPr>
        <w:pStyle w:val="null3"/>
        <w:jc w:val="center"/>
        <w:outlineLvl w:val="2"/>
      </w:pPr>
      <w:r>
        <w:rPr>
          <w:rFonts w:ascii="仿宋_GB2312" w:hAnsi="仿宋_GB2312" w:cs="仿宋_GB2312" w:eastAsia="仿宋_GB2312"/>
          <w:sz w:val="28"/>
          <w:b/>
        </w:rPr>
        <w:t>西安市莲湖区卫生健康局</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西安市莲湖区卫生健康局</w:t>
      </w:r>
      <w:r>
        <w:rPr>
          <w:rFonts w:ascii="仿宋_GB2312" w:hAnsi="仿宋_GB2312" w:cs="仿宋_GB2312" w:eastAsia="仿宋_GB2312"/>
        </w:rPr>
        <w:t>委托，拟对</w:t>
      </w:r>
      <w:r>
        <w:rPr>
          <w:rFonts w:ascii="仿宋_GB2312" w:hAnsi="仿宋_GB2312" w:cs="仿宋_GB2312" w:eastAsia="仿宋_GB2312"/>
        </w:rPr>
        <w:t>莲湖区2026年病媒生物防制消杀服务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PLRH2026-GP-019F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莲湖区2026年病媒生物防制消杀服务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为做好2026年度莲湖区病媒生物防制工作，使辖区鼠、蚊、蝇、蟑螂的密度达到国家病媒生物密度控制水平标准C级以上要求，有效降低四害密度，遏制其病媒传播疾病的发生与流行。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采购包1（莲湖区2026年病媒生物防制消杀服务）：属于专门面向小微企业采购。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西安市莲湖区北院门159号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029-87554422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2.支付方式：成交供应商应在领取通知书的同时，支付本项目代理服务费。收款账户如下：收款单位：鹏领睿恒(陕西)项目管理有限公司；开户银行：招商银行西安枫林绿洲支行； 银行账号：129911262210701。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西安市莲湖区卫生健康局</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西安市莲湖区卫生健康局</w:t>
      </w:r>
      <w:r>
        <w:rPr>
          <w:rFonts w:ascii="仿宋_GB2312" w:hAnsi="仿宋_GB2312" w:cs="仿宋_GB2312" w:eastAsia="仿宋_GB2312"/>
        </w:rPr>
        <w:t>负责解释。除上述磋商文件内容，其他内容由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为做好2026年度莲湖区病媒生物防制工作，使辖区鼠、蚊、蝇、蟑螂的密度达到国家病媒生物密度控制水平标准C级以上要求，有效降低四害密度，遏制其病媒传播疾病的发生与流行。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消杀服务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1.全区病媒生物消杀服务：每季度对辖区公厕、垃圾转运站、水体、公园、绿地、绿化带等公共场所进行病媒生物消杀2次，全年进行8次消杀服务。接到居民对“四害”的投诉时，协助属地街办进行消杀。</w:t>
            </w:r>
          </w:p>
          <w:p>
            <w:pPr>
              <w:pStyle w:val="null3"/>
            </w:pPr>
            <w:r>
              <w:rPr>
                <w:rFonts w:ascii="仿宋_GB2312" w:hAnsi="仿宋_GB2312" w:cs="仿宋_GB2312" w:eastAsia="仿宋_GB2312"/>
              </w:rPr>
              <w:t>2.消杀药械：</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规格</w:t>
                  </w:r>
                </w:p>
              </w:tc>
              <w:tc>
                <w:tcPr>
                  <w:tcW w:type="dxa" w:w="638"/>
                </w:tcPr>
                <w:p>
                  <w:pPr>
                    <w:pStyle w:val="null3"/>
                  </w:pPr>
                  <w:r>
                    <w:rPr>
                      <w:rFonts w:ascii="仿宋_GB2312" w:hAnsi="仿宋_GB2312" w:cs="仿宋_GB2312" w:eastAsia="仿宋_GB2312"/>
                    </w:rPr>
                    <w:t>数量（件）</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0.005%溴鼠灵蜡丸</w:t>
                  </w:r>
                </w:p>
              </w:tc>
              <w:tc>
                <w:tcPr>
                  <w:tcW w:type="dxa" w:w="638"/>
                </w:tcPr>
                <w:p>
                  <w:pPr>
                    <w:pStyle w:val="null3"/>
                  </w:pPr>
                  <w:r>
                    <w:rPr>
                      <w:rFonts w:ascii="仿宋_GB2312" w:hAnsi="仿宋_GB2312" w:cs="仿宋_GB2312" w:eastAsia="仿宋_GB2312"/>
                    </w:rPr>
                    <w:t>10KG/件</w:t>
                  </w:r>
                </w:p>
              </w:tc>
              <w:tc>
                <w:tcPr>
                  <w:tcW w:type="dxa" w:w="638"/>
                </w:tcPr>
                <w:p>
                  <w:pPr>
                    <w:pStyle w:val="null3"/>
                  </w:pPr>
                  <w:r>
                    <w:rPr>
                      <w:rFonts w:ascii="仿宋_GB2312" w:hAnsi="仿宋_GB2312" w:cs="仿宋_GB2312" w:eastAsia="仿宋_GB2312"/>
                    </w:rPr>
                    <w:t>20件</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0.005%溴敌隆毒饵</w:t>
                  </w:r>
                </w:p>
              </w:tc>
              <w:tc>
                <w:tcPr>
                  <w:tcW w:type="dxa" w:w="638"/>
                </w:tcPr>
                <w:p>
                  <w:pPr>
                    <w:pStyle w:val="null3"/>
                  </w:pPr>
                  <w:r>
                    <w:rPr>
                      <w:rFonts w:ascii="仿宋_GB2312" w:hAnsi="仿宋_GB2312" w:cs="仿宋_GB2312" w:eastAsia="仿宋_GB2312"/>
                    </w:rPr>
                    <w:t>10KG/件</w:t>
                  </w:r>
                </w:p>
              </w:tc>
              <w:tc>
                <w:tcPr>
                  <w:tcW w:type="dxa" w:w="638"/>
                </w:tcPr>
                <w:p>
                  <w:pPr>
                    <w:pStyle w:val="null3"/>
                  </w:pPr>
                  <w:r>
                    <w:rPr>
                      <w:rFonts w:ascii="仿宋_GB2312" w:hAnsi="仿宋_GB2312" w:cs="仿宋_GB2312" w:eastAsia="仿宋_GB2312"/>
                    </w:rPr>
                    <w:t>20件</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10.4%氯菊·S生物烯丙菊酯水乳剂</w:t>
                  </w:r>
                </w:p>
              </w:tc>
              <w:tc>
                <w:tcPr>
                  <w:tcW w:type="dxa" w:w="638"/>
                </w:tcPr>
                <w:p>
                  <w:pPr>
                    <w:pStyle w:val="null3"/>
                  </w:pPr>
                  <w:r>
                    <w:rPr>
                      <w:rFonts w:ascii="仿宋_GB2312" w:hAnsi="仿宋_GB2312" w:cs="仿宋_GB2312" w:eastAsia="仿宋_GB2312"/>
                    </w:rPr>
                    <w:t>500ml*20瓶/件</w:t>
                  </w:r>
                </w:p>
              </w:tc>
              <w:tc>
                <w:tcPr>
                  <w:tcW w:type="dxa" w:w="638"/>
                </w:tcPr>
                <w:p>
                  <w:pPr>
                    <w:pStyle w:val="null3"/>
                  </w:pPr>
                  <w:r>
                    <w:rPr>
                      <w:rFonts w:ascii="仿宋_GB2312" w:hAnsi="仿宋_GB2312" w:cs="仿宋_GB2312" w:eastAsia="仿宋_GB2312"/>
                    </w:rPr>
                    <w:t>35件</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21％高氯氟.辛硫磷</w:t>
                  </w:r>
                </w:p>
              </w:tc>
              <w:tc>
                <w:tcPr>
                  <w:tcW w:type="dxa" w:w="638"/>
                </w:tcPr>
                <w:p>
                  <w:pPr>
                    <w:pStyle w:val="null3"/>
                  </w:pPr>
                  <w:r>
                    <w:rPr>
                      <w:rFonts w:ascii="仿宋_GB2312" w:hAnsi="仿宋_GB2312" w:cs="仿宋_GB2312" w:eastAsia="仿宋_GB2312"/>
                    </w:rPr>
                    <w:t>500ml*20瓶/件</w:t>
                  </w:r>
                </w:p>
              </w:tc>
              <w:tc>
                <w:tcPr>
                  <w:tcW w:type="dxa" w:w="638"/>
                </w:tcPr>
                <w:p>
                  <w:pPr>
                    <w:pStyle w:val="null3"/>
                  </w:pPr>
                  <w:r>
                    <w:rPr>
                      <w:rFonts w:ascii="仿宋_GB2312" w:hAnsi="仿宋_GB2312" w:cs="仿宋_GB2312" w:eastAsia="仿宋_GB2312"/>
                    </w:rPr>
                    <w:t>70件</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8%氯氰·胺菊乳油</w:t>
                  </w:r>
                </w:p>
              </w:tc>
              <w:tc>
                <w:tcPr>
                  <w:tcW w:type="dxa" w:w="638"/>
                </w:tcPr>
                <w:p>
                  <w:pPr>
                    <w:pStyle w:val="null3"/>
                  </w:pPr>
                  <w:r>
                    <w:rPr>
                      <w:rFonts w:ascii="仿宋_GB2312" w:hAnsi="仿宋_GB2312" w:cs="仿宋_GB2312" w:eastAsia="仿宋_GB2312"/>
                    </w:rPr>
                    <w:t>500ml*20瓶/件</w:t>
                  </w:r>
                </w:p>
              </w:tc>
              <w:tc>
                <w:tcPr>
                  <w:tcW w:type="dxa" w:w="638"/>
                </w:tcPr>
                <w:p>
                  <w:pPr>
                    <w:pStyle w:val="null3"/>
                  </w:pPr>
                  <w:r>
                    <w:rPr>
                      <w:rFonts w:ascii="仿宋_GB2312" w:hAnsi="仿宋_GB2312" w:cs="仿宋_GB2312" w:eastAsia="仿宋_GB2312"/>
                    </w:rPr>
                    <w:t>60件</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2.15吡虫啉饵剂</w:t>
                  </w:r>
                </w:p>
                <w:p>
                  <w:pPr>
                    <w:pStyle w:val="null3"/>
                  </w:pPr>
                  <w:r>
                    <w:rPr>
                      <w:rFonts w:ascii="仿宋_GB2312" w:hAnsi="仿宋_GB2312" w:cs="仿宋_GB2312" w:eastAsia="仿宋_GB2312"/>
                    </w:rPr>
                    <w:t>（灭蟑方便贴）</w:t>
                  </w:r>
                </w:p>
              </w:tc>
              <w:tc>
                <w:tcPr>
                  <w:tcW w:type="dxa" w:w="638"/>
                </w:tcPr>
                <w:p>
                  <w:pPr>
                    <w:pStyle w:val="null3"/>
                  </w:pPr>
                  <w:r>
                    <w:rPr>
                      <w:rFonts w:ascii="仿宋_GB2312" w:hAnsi="仿宋_GB2312" w:cs="仿宋_GB2312" w:eastAsia="仿宋_GB2312"/>
                    </w:rPr>
                    <w:t>200盒/件</w:t>
                  </w:r>
                </w:p>
              </w:tc>
              <w:tc>
                <w:tcPr>
                  <w:tcW w:type="dxa" w:w="638"/>
                </w:tcPr>
                <w:p>
                  <w:pPr>
                    <w:pStyle w:val="null3"/>
                  </w:pPr>
                  <w:r>
                    <w:rPr>
                      <w:rFonts w:ascii="仿宋_GB2312" w:hAnsi="仿宋_GB2312" w:cs="仿宋_GB2312" w:eastAsia="仿宋_GB2312"/>
                    </w:rPr>
                    <w:t>20件</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0.05%氟虫腈饵剂</w:t>
                  </w:r>
                </w:p>
                <w:p>
                  <w:pPr>
                    <w:pStyle w:val="null3"/>
                  </w:pPr>
                  <w:r>
                    <w:rPr>
                      <w:rFonts w:ascii="仿宋_GB2312" w:hAnsi="仿宋_GB2312" w:cs="仿宋_GB2312" w:eastAsia="仿宋_GB2312"/>
                    </w:rPr>
                    <w:t>（灭蟑针剂）</w:t>
                  </w:r>
                </w:p>
              </w:tc>
              <w:tc>
                <w:tcPr>
                  <w:tcW w:type="dxa" w:w="638"/>
                </w:tcPr>
                <w:p>
                  <w:pPr>
                    <w:pStyle w:val="null3"/>
                  </w:pPr>
                  <w:r>
                    <w:rPr>
                      <w:rFonts w:ascii="仿宋_GB2312" w:hAnsi="仿宋_GB2312" w:cs="仿宋_GB2312" w:eastAsia="仿宋_GB2312"/>
                    </w:rPr>
                    <w:t>100支/件</w:t>
                  </w:r>
                </w:p>
              </w:tc>
              <w:tc>
                <w:tcPr>
                  <w:tcW w:type="dxa" w:w="638"/>
                </w:tcPr>
                <w:p>
                  <w:pPr>
                    <w:pStyle w:val="null3"/>
                  </w:pPr>
                  <w:r>
                    <w:rPr>
                      <w:rFonts w:ascii="仿宋_GB2312" w:hAnsi="仿宋_GB2312" w:cs="仿宋_GB2312" w:eastAsia="仿宋_GB2312"/>
                    </w:rPr>
                    <w:t>20件</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粘鼠板</w:t>
                  </w:r>
                </w:p>
              </w:tc>
              <w:tc>
                <w:tcPr>
                  <w:tcW w:type="dxa" w:w="638"/>
                </w:tcPr>
                <w:p>
                  <w:pPr>
                    <w:pStyle w:val="null3"/>
                  </w:pPr>
                  <w:r>
                    <w:rPr>
                      <w:rFonts w:ascii="仿宋_GB2312" w:hAnsi="仿宋_GB2312" w:cs="仿宋_GB2312" w:eastAsia="仿宋_GB2312"/>
                    </w:rPr>
                    <w:t>100张/件</w:t>
                  </w:r>
                </w:p>
              </w:tc>
              <w:tc>
                <w:tcPr>
                  <w:tcW w:type="dxa" w:w="638"/>
                </w:tcPr>
                <w:p>
                  <w:pPr>
                    <w:pStyle w:val="null3"/>
                  </w:pPr>
                  <w:r>
                    <w:rPr>
                      <w:rFonts w:ascii="仿宋_GB2312" w:hAnsi="仿宋_GB2312" w:cs="仿宋_GB2312" w:eastAsia="仿宋_GB2312"/>
                    </w:rPr>
                    <w:t>20件</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鼠饵盒</w:t>
                  </w:r>
                </w:p>
              </w:tc>
              <w:tc>
                <w:tcPr>
                  <w:tcW w:type="dxa" w:w="638"/>
                </w:tcPr>
                <w:p>
                  <w:pPr>
                    <w:pStyle w:val="null3"/>
                  </w:pPr>
                  <w:r>
                    <w:rPr>
                      <w:rFonts w:ascii="仿宋_GB2312" w:hAnsi="仿宋_GB2312" w:cs="仿宋_GB2312" w:eastAsia="仿宋_GB2312"/>
                    </w:rPr>
                    <w:t>200个/件</w:t>
                  </w:r>
                </w:p>
              </w:tc>
              <w:tc>
                <w:tcPr>
                  <w:tcW w:type="dxa" w:w="638"/>
                </w:tcPr>
                <w:p>
                  <w:pPr>
                    <w:pStyle w:val="null3"/>
                  </w:pPr>
                  <w:r>
                    <w:rPr>
                      <w:rFonts w:ascii="仿宋_GB2312" w:hAnsi="仿宋_GB2312" w:cs="仿宋_GB2312" w:eastAsia="仿宋_GB2312"/>
                    </w:rPr>
                    <w:t>52件</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二、技术要求</w:t>
            </w:r>
          </w:p>
          <w:p>
            <w:pPr>
              <w:pStyle w:val="null3"/>
            </w:pPr>
            <w:r>
              <w:rPr>
                <w:rFonts w:ascii="仿宋_GB2312" w:hAnsi="仿宋_GB2312" w:cs="仿宋_GB2312" w:eastAsia="仿宋_GB2312"/>
              </w:rPr>
              <w:t>所使用的所有病媒生物防制药械必须符合国家相关要求，货物来源正规，货物要求低毒、安全、环保。供应商参与本项工作人员必须持证上岗，规范操作。</w:t>
            </w:r>
          </w:p>
          <w:p>
            <w:pPr>
              <w:pStyle w:val="null3"/>
            </w:pPr>
            <w:r>
              <w:rPr>
                <w:rFonts w:ascii="仿宋_GB2312" w:hAnsi="仿宋_GB2312" w:cs="仿宋_GB2312" w:eastAsia="仿宋_GB2312"/>
              </w:rPr>
              <w:t>1.技术资料：</w:t>
            </w:r>
          </w:p>
          <w:p>
            <w:pPr>
              <w:pStyle w:val="null3"/>
            </w:pPr>
            <w:r>
              <w:rPr>
                <w:rFonts w:ascii="仿宋_GB2312" w:hAnsi="仿宋_GB2312" w:cs="仿宋_GB2312" w:eastAsia="仿宋_GB2312"/>
              </w:rPr>
              <w:t>（1）产品合格证；</w:t>
            </w:r>
          </w:p>
          <w:p>
            <w:pPr>
              <w:pStyle w:val="null3"/>
            </w:pPr>
            <w:r>
              <w:rPr>
                <w:rFonts w:ascii="仿宋_GB2312" w:hAnsi="仿宋_GB2312" w:cs="仿宋_GB2312" w:eastAsia="仿宋_GB2312"/>
              </w:rPr>
              <w:t>（2）产品使用说明书；</w:t>
            </w:r>
          </w:p>
          <w:p>
            <w:pPr>
              <w:pStyle w:val="null3"/>
            </w:pPr>
            <w:r>
              <w:rPr>
                <w:rFonts w:ascii="仿宋_GB2312" w:hAnsi="仿宋_GB2312" w:cs="仿宋_GB2312" w:eastAsia="仿宋_GB2312"/>
              </w:rPr>
              <w:t>（3）厂家对该产品的出厂配置清单；</w:t>
            </w:r>
          </w:p>
          <w:p>
            <w:pPr>
              <w:pStyle w:val="null3"/>
            </w:pPr>
            <w:r>
              <w:rPr>
                <w:rFonts w:ascii="仿宋_GB2312" w:hAnsi="仿宋_GB2312" w:cs="仿宋_GB2312" w:eastAsia="仿宋_GB2312"/>
              </w:rPr>
              <w:t>（4）其它相关资料。</w:t>
            </w:r>
          </w:p>
          <w:p>
            <w:pPr>
              <w:pStyle w:val="null3"/>
            </w:pPr>
            <w:r>
              <w:rPr>
                <w:rFonts w:ascii="仿宋_GB2312" w:hAnsi="仿宋_GB2312" w:cs="仿宋_GB2312" w:eastAsia="仿宋_GB2312"/>
              </w:rPr>
              <w:t>2.现场培训：</w:t>
            </w:r>
          </w:p>
          <w:p>
            <w:pPr>
              <w:pStyle w:val="null3"/>
            </w:pPr>
            <w:r>
              <w:rPr>
                <w:rFonts w:ascii="仿宋_GB2312" w:hAnsi="仿宋_GB2312" w:cs="仿宋_GB2312" w:eastAsia="仿宋_GB2312"/>
              </w:rPr>
              <w:t>协助属地街办进行消杀，成交单位必须安排技术人员对使用单位人员进行培训，使其掌握基本使用技能；技术参数中有规定的，以技术参数要求为准。</w:t>
            </w:r>
          </w:p>
          <w:p>
            <w:pPr>
              <w:pStyle w:val="null3"/>
            </w:pPr>
            <w:r>
              <w:rPr>
                <w:rFonts w:ascii="仿宋_GB2312" w:hAnsi="仿宋_GB2312" w:cs="仿宋_GB2312" w:eastAsia="仿宋_GB2312"/>
              </w:rPr>
              <w:t>3.服务承诺：供应商应遵照国家规范规定的技术服务内容及要求作出明确承诺。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三、服务要求</w:t>
            </w:r>
          </w:p>
          <w:p>
            <w:pPr>
              <w:pStyle w:val="null3"/>
            </w:pPr>
            <w:r>
              <w:rPr>
                <w:rFonts w:ascii="仿宋_GB2312" w:hAnsi="仿宋_GB2312" w:cs="仿宋_GB2312" w:eastAsia="仿宋_GB2312"/>
              </w:rPr>
              <w:t>1.投标供应商除四害要求必须选用符合国家规定要求，并经采购人认定；自配药物，需向采购人提供毒饵主剂和诱饵主剂的有关证书。</w:t>
            </w:r>
          </w:p>
          <w:p>
            <w:pPr>
              <w:pStyle w:val="null3"/>
            </w:pPr>
            <w:r>
              <w:rPr>
                <w:rFonts w:ascii="仿宋_GB2312" w:hAnsi="仿宋_GB2312" w:cs="仿宋_GB2312" w:eastAsia="仿宋_GB2312"/>
              </w:rPr>
              <w:t>2.服务标准及质量：莲湖区鼠、蚊、蝇、蟑螂等病媒生物得到有效控制，鼠、蚊、蝇、蟑螂密度监测达到国家病媒生物密度控制标准（GB/T27770-2011鼠类、GB/T27771-2011蚊虫、GB/T27772-2011蝇类、GB/T27773-2011蜚蠊）C级及以上。</w:t>
            </w:r>
          </w:p>
          <w:p>
            <w:pPr>
              <w:pStyle w:val="null3"/>
            </w:pPr>
            <w:r>
              <w:rPr>
                <w:rFonts w:ascii="仿宋_GB2312" w:hAnsi="仿宋_GB2312" w:cs="仿宋_GB2312" w:eastAsia="仿宋_GB2312"/>
              </w:rPr>
              <w:t>3.配合做好病媒生物预防控制效果现场评估，通过服务单位调查群众满意率达90%。</w:t>
            </w:r>
          </w:p>
          <w:p>
            <w:pPr>
              <w:pStyle w:val="null3"/>
            </w:pPr>
            <w:r>
              <w:rPr>
                <w:rFonts w:ascii="仿宋_GB2312" w:hAnsi="仿宋_GB2312" w:cs="仿宋_GB2312" w:eastAsia="仿宋_GB2312"/>
              </w:rPr>
              <w:t>4.合同期内发生病媒疫情时，无条件服从政府的指令要求，及时响应，开展应急消杀服务。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四、消杀药具要求：</w:t>
            </w:r>
          </w:p>
          <w:p>
            <w:pPr>
              <w:pStyle w:val="null3"/>
            </w:pPr>
            <w:r>
              <w:rPr>
                <w:rFonts w:ascii="仿宋_GB2312" w:hAnsi="仿宋_GB2312" w:cs="仿宋_GB2312" w:eastAsia="仿宋_GB2312"/>
              </w:rPr>
              <w:t>1.质保期：终验合格后不少于24个月。</w:t>
            </w:r>
          </w:p>
          <w:p>
            <w:pPr>
              <w:pStyle w:val="null3"/>
            </w:pPr>
            <w:r>
              <w:rPr>
                <w:rFonts w:ascii="仿宋_GB2312" w:hAnsi="仿宋_GB2312" w:cs="仿宋_GB2312" w:eastAsia="仿宋_GB2312"/>
              </w:rPr>
              <w:t>质保期内免费维修、维护；质保期外只收取成本费。国家有规定的，优于竞争性磋商文件要求的，应以国家规定的为准。成交人承诺的质保时间超过磋商文件要求的，按其承诺时间质保。</w:t>
            </w:r>
          </w:p>
          <w:p>
            <w:pPr>
              <w:pStyle w:val="null3"/>
            </w:pPr>
            <w:r>
              <w:rPr>
                <w:rFonts w:ascii="仿宋_GB2312" w:hAnsi="仿宋_GB2312" w:cs="仿宋_GB2312" w:eastAsia="仿宋_GB2312"/>
              </w:rPr>
              <w:t>2.中标人承诺的质保期起始时间为终验合格之日。</w:t>
            </w:r>
          </w:p>
          <w:p>
            <w:pPr>
              <w:pStyle w:val="null3"/>
            </w:pPr>
            <w:r>
              <w:rPr>
                <w:rFonts w:ascii="仿宋_GB2312" w:hAnsi="仿宋_GB2312" w:cs="仿宋_GB2312" w:eastAsia="仿宋_GB2312"/>
              </w:rPr>
              <w:t>3.所有产品必须是未使用过的新产品，质量优良、渠道正当，配置合理。</w:t>
            </w:r>
          </w:p>
          <w:p>
            <w:pPr>
              <w:pStyle w:val="null3"/>
            </w:pPr>
            <w:r>
              <w:rPr>
                <w:rFonts w:ascii="仿宋_GB2312" w:hAnsi="仿宋_GB2312" w:cs="仿宋_GB2312" w:eastAsia="仿宋_GB2312"/>
              </w:rPr>
              <w:t>4.质保期出现的质量问题由成交供应商负责解决并承担所有费用。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五、商务要求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2.服务期：自合同签订之日起至2026年12月31日前完成服务。</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4.付款方式：①合同签订后支付合同金额的40%作为预付款。</w:t>
            </w:r>
          </w:p>
          <w:p>
            <w:pPr>
              <w:pStyle w:val="null3"/>
            </w:pPr>
            <w:r>
              <w:rPr>
                <w:rFonts w:ascii="仿宋_GB2312" w:hAnsi="仿宋_GB2312" w:cs="仿宋_GB2312" w:eastAsia="仿宋_GB2312"/>
              </w:rPr>
              <w:t>②服务完成后30个日历日内支付剩余合同价款。</w:t>
            </w:r>
          </w:p>
          <w:p>
            <w:pPr>
              <w:pStyle w:val="null3"/>
            </w:pPr>
            <w:r>
              <w:rPr>
                <w:rFonts w:ascii="仿宋_GB2312" w:hAnsi="仿宋_GB2312" w:cs="仿宋_GB2312" w:eastAsia="仿宋_GB2312"/>
              </w:rPr>
              <w:t>5.其他：成交供应商负责消杀药械的运输调试及使用单位人员的培训。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自合同签订之日起至2026年12月31日前完成服务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1.采购人进行验收，若认为验收不合格，供应商应重新调整且进行重新验收。 2.验收依据： ①本项目磋商文件、磋商响应文件； ②本合同及附件文本； ③合同签订时国家及行业现行的标准和技术规范。 ④供应商应向采购人提交项目实施过程中的所有资料，以便采购人日后整理汇总。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预付款，合同签订后支付合同金额的40%作为预付款。，达到付款条件起30个工作日内，支付合同总金额的40.0%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进度款，服务完成后30个日历日内支付剩余合同价款。，达到付款条件起30个工作日内，支付合同总金额的60.0%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1.按《中华人民共和国合同法》中的相关条款执行。 2.未按合同要求提供产品及服务，质量不能满足技术要求，采购人有权终止合同，并对供应商违约行为进行追究，同时按《政府采购法》的有关规定进行处罚。 解决争议的方法：合同执行中发生争议的，当事人双方应协商解决。协商不一致时，向有管辖权的人民法院提起诉讼。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1.本项目专门面向小微企业采购，供应商应为小微企业或监狱企业或残疾人福利性单位。 2.本项目合同包1采购标的所属行业为：其他未列明行业； 3.本项目是否属于信用担保试点范围：否。 4.本项目为固定总价合同。 5.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11月至今已缴纳的至少一个月的纳税证明或完税证明（任意税种），依法免税的单位应提供相关证明材料；3.提供2025年11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商务条款偏离表.docx 其他说明.docx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消杀服务方案</w:t>
            </w:r>
          </w:p>
        </w:tc>
        <w:tc>
          <w:tcPr>
            <w:tcW w:type="dxa" w:w="2492"/>
          </w:tcPr>
          <w:p>
            <w:pPr>
              <w:pStyle w:val="null3"/>
            </w:pPr>
            <w:r>
              <w:rPr>
                <w:rFonts w:ascii="仿宋_GB2312" w:hAnsi="仿宋_GB2312" w:cs="仿宋_GB2312" w:eastAsia="仿宋_GB2312"/>
              </w:rPr>
              <w:t>一、评审内容 针对于本项目的消杀服务方案，方案内容包含但不限于：①环境分析；②日常防疫消杀方案；③病媒生物防治（四害消杀）方案等内容。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药械采购服务方案</w:t>
            </w:r>
          </w:p>
        </w:tc>
        <w:tc>
          <w:tcPr>
            <w:tcW w:type="dxa" w:w="2492"/>
          </w:tcPr>
          <w:p>
            <w:pPr>
              <w:pStyle w:val="null3"/>
            </w:pPr>
            <w:r>
              <w:rPr>
                <w:rFonts w:ascii="仿宋_GB2312" w:hAnsi="仿宋_GB2312" w:cs="仿宋_GB2312" w:eastAsia="仿宋_GB2312"/>
              </w:rPr>
              <w:t>一、评审内容 针对于本项目的药械采购服务方案，方案内容包含但不限于：①需求分析；②采购与配送方案；③库存管理等内容。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拟投入的设备工具</w:t>
            </w:r>
          </w:p>
        </w:tc>
        <w:tc>
          <w:tcPr>
            <w:tcW w:type="dxa" w:w="2492"/>
          </w:tcPr>
          <w:p>
            <w:pPr>
              <w:pStyle w:val="null3"/>
            </w:pPr>
            <w:r>
              <w:rPr>
                <w:rFonts w:ascii="仿宋_GB2312" w:hAnsi="仿宋_GB2312" w:cs="仿宋_GB2312" w:eastAsia="仿宋_GB2312"/>
              </w:rPr>
              <w:t>一、评审内容 针对于本项目的拟投入的设备工具，内容包含但不限于：①消杀设备工具；②其他针对本项目有可能用到的设施设备和工具等内容。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团队人员配备：人员结构及专业配置规模适合、结构合理，与防制工作的内容和要求相适应，完全满足采购需求，得8分； 人员结构及专业配置基本适合、结构合理，与防制工作的内容和要求适应，得6分； 人员结构及专业配置规模不合适、结构不合理，与防制工作的内容和要求不适应，稍有欠缺，得4分； 人员结构及专业配置规模不合适、结构不合理，与防制工作的内容和要求不适应，无法满足采购需求，得2分；未提供不得分。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质量保证措施1</w:t>
            </w:r>
          </w:p>
        </w:tc>
        <w:tc>
          <w:tcPr>
            <w:tcW w:type="dxa" w:w="2492"/>
          </w:tcPr>
          <w:p>
            <w:pPr>
              <w:pStyle w:val="null3"/>
            </w:pPr>
            <w:r>
              <w:rPr>
                <w:rFonts w:ascii="仿宋_GB2312" w:hAnsi="仿宋_GB2312" w:cs="仿宋_GB2312" w:eastAsia="仿宋_GB2312"/>
              </w:rPr>
              <w:t>一、评审内容 针对于本项目的质量保证措施，内容包含但不限于：①质量保证措施；②防治质量标准（包括灭蚊标准、灭蝇标准、灭蟑螂标准、灭鼠标准等需达到采购内容要求）；③定期检查等内容。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质量保证措施2</w:t>
            </w:r>
          </w:p>
        </w:tc>
        <w:tc>
          <w:tcPr>
            <w:tcW w:type="dxa" w:w="2492"/>
          </w:tcPr>
          <w:p>
            <w:pPr>
              <w:pStyle w:val="null3"/>
            </w:pPr>
            <w:r>
              <w:rPr>
                <w:rFonts w:ascii="仿宋_GB2312" w:hAnsi="仿宋_GB2312" w:cs="仿宋_GB2312" w:eastAsia="仿宋_GB2312"/>
              </w:rPr>
              <w:t>供应商需提供:1.生产厂家的《农药生产许可证》、《农药登记证》； 2.供应商的《农药经营许可证》。以上证书全部提供得5分，提供不全或未提供得0分。(以上证书提供复印件或扫描件并加盖公 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一、评审内容 针对于本项目的工作进度安排，内容包含但不限于：①工作流程；②工作进度及时间安排；③工作时效保证措施等内容。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供应商需提供培训计划方案，方案包括但不限于:①培训内容②培训方式、培训目标等。要求培训内容完整、详细，培训方式可行性及针对性强得4分；培训计划方案内容较完整，培训方式可行性及针对性较强得3分；培训计划方案内容较简略，培训方式可行性及针对性较差得2分；培训计划方案内容简略，培训方式可行性及针对性差得1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针对于本项目的应急预案，方案内容包含但不限于：①突发虫害；②药剂泄漏；③人员中毒；④定期应急救援演练；⑤应急响应时间等内容。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针对于本项目的服务承诺，内容包含但不限于：①有利于本项目实施的服务承诺；②合理化建议等内容。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计2分，最高得10分；业绩证明（以合同（协议）或中标（成交）通知书或保单为准，须在磋商响应文件中附合同（协议）或中标（成交）通知书或保单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详见附件：西安市莲湖区卫生健康局莲湖区2026年病媒生物防制消杀服务采购合同.docx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