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版本号：ZJDY-HZCG-2026-0620260515004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2026年南郑区胡家营镇人居环境补短板项目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ZJDY-HZCG-2026-06</w:t>
      </w:r>
      <w:r>
        <w:br/>
      </w:r>
      <w:r>
        <w:br/>
      </w:r>
      <w:r>
        <w:br/>
      </w:r>
    </w:p>
    <w:p>
      <w:pPr>
        <w:pStyle w:val="null3"/>
        <w:jc w:val="center"/>
        <w:outlineLvl w:val="2"/>
      </w:pPr>
      <w:r>
        <w:rPr>
          <w:rFonts w:ascii="仿宋_GB2312" w:hAnsi="仿宋_GB2312" w:cs="仿宋_GB2312" w:eastAsia="仿宋_GB2312"/>
          <w:sz w:val="28"/>
          <w:b/>
        </w:rPr>
        <w:t>汉中市南郑区胡家营镇人民政府</w:t>
      </w:r>
    </w:p>
    <w:p>
      <w:pPr>
        <w:pStyle w:val="null3"/>
        <w:jc w:val="center"/>
        <w:outlineLvl w:val="2"/>
      </w:pPr>
      <w:r>
        <w:rPr>
          <w:rFonts w:ascii="仿宋_GB2312" w:hAnsi="仿宋_GB2312" w:cs="仿宋_GB2312" w:eastAsia="仿宋_GB2312"/>
          <w:sz w:val="28"/>
          <w:b/>
        </w:rPr>
        <w:t>中佳鼎运建设管理有限公司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中佳鼎运建设管理有限公司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汉中市南郑区胡家营镇人民政府</w:t>
      </w:r>
      <w:r>
        <w:rPr>
          <w:rFonts w:ascii="仿宋_GB2312" w:hAnsi="仿宋_GB2312" w:cs="仿宋_GB2312" w:eastAsia="仿宋_GB2312"/>
        </w:rPr>
        <w:t>委托，拟对</w:t>
      </w:r>
      <w:r>
        <w:rPr>
          <w:rFonts w:ascii="仿宋_GB2312" w:hAnsi="仿宋_GB2312" w:cs="仿宋_GB2312" w:eastAsia="仿宋_GB2312"/>
        </w:rPr>
        <w:t>2026年南郑区胡家营镇人居环境补短板项目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ZJDY-HZCG-2026-06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2026年南郑区胡家营镇人居环境补短板项目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南郑区胡家营镇人居环境补短板项目：简单绿化整治提升3182㎡，所有损坏路面场地修复587.02㎡，场地整治1009㎡，破损围墙整治197.5㎡，公共卫生间提升改造，环卫工人休息及环卫工具存放点改造，垃圾处理点治理2处，垃圾桶2个，安全护栏修复100m，新建挡墙100m，胡家营镇村内户外2.25公里道路边环境整治等。具体建设内容以工程量清单描述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采购包1（2026年南郑区胡家营镇人居环境补短板项目）：属于专门面向中小企业采购。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1、供应商主体要求；：供应商为具有独立承担民事责任能力的企业法人、事业法人、其他组织，提供营业执照原件（事业单位须事业单位法人证、组织机构代码证等证明文件；其他组织应提供合法证明文件）；</w:t>
      </w:r>
    </w:p>
    <w:p>
      <w:pPr>
        <w:pStyle w:val="null3"/>
      </w:pPr>
      <w:r>
        <w:rPr>
          <w:rFonts w:ascii="仿宋_GB2312" w:hAnsi="仿宋_GB2312" w:cs="仿宋_GB2312" w:eastAsia="仿宋_GB2312"/>
        </w:rPr>
        <w:t>2、法定代表人或被授权委托人身份证明：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3、供应商资格要求；：供应商具有行政主管部门核发的市政公用工程施工总承包三级（含三级）及以上资质，且具有有效的安全生产许可证；</w:t>
      </w:r>
    </w:p>
    <w:p>
      <w:pPr>
        <w:pStyle w:val="null3"/>
      </w:pPr>
      <w:r>
        <w:rPr>
          <w:rFonts w:ascii="仿宋_GB2312" w:hAnsi="仿宋_GB2312" w:cs="仿宋_GB2312" w:eastAsia="仿宋_GB2312"/>
        </w:rPr>
        <w:t>4、拟派项目负责人资格要求：拟派项目经理须具备市政公用工程专业二级（含二级）以上注册建造师资格和安全生产考核合格B证，且无在建项目（需提供无在建承诺书）；</w:t>
      </w:r>
    </w:p>
    <w:p>
      <w:pPr>
        <w:pStyle w:val="null3"/>
      </w:pPr>
      <w:r>
        <w:rPr>
          <w:rFonts w:ascii="仿宋_GB2312" w:hAnsi="仿宋_GB2312" w:cs="仿宋_GB2312" w:eastAsia="仿宋_GB2312"/>
        </w:rPr>
        <w:t>5、信誉要求；：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6、其他要求；：本项目不接受联合体磋商（提供非联合体声明）。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汉中市南郑区胡家营镇人民政府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南郑区胡家营镇王河坎村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汉中市南郑区胡家营镇人民政府经办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17609169529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中佳鼎运建设管理有限公司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陕西省汉中市汉台区东关街道办事处中饮国际办公中C区8026室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13571677736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0916-2995312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开户名称：中佳鼎运建设管理有限公司汉中分公司</w:t>
            </w:r>
          </w:p>
          <w:p>
            <w:pPr>
              <w:pStyle w:val="null3"/>
            </w:pPr>
            <w:r>
              <w:rPr>
                <w:rFonts w:ascii="仿宋_GB2312" w:hAnsi="仿宋_GB2312" w:cs="仿宋_GB2312" w:eastAsia="仿宋_GB2312"/>
              </w:rPr>
              <w:t>开户银行：中国工商银行股份有限公司汉中西环路支行</w:t>
            </w:r>
          </w:p>
          <w:p>
            <w:pPr>
              <w:pStyle w:val="null3"/>
            </w:pPr>
            <w:r>
              <w:rPr>
                <w:rFonts w:ascii="仿宋_GB2312" w:hAnsi="仿宋_GB2312" w:cs="仿宋_GB2312" w:eastAsia="仿宋_GB2312"/>
              </w:rPr>
              <w:t>银行账号：2606053909200098484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汉中市南郑区胡家营镇人民政府</w:t>
      </w:r>
      <w:r>
        <w:rPr>
          <w:rFonts w:ascii="仿宋_GB2312" w:hAnsi="仿宋_GB2312" w:cs="仿宋_GB2312" w:eastAsia="仿宋_GB2312"/>
        </w:rPr>
        <w:t>和</w:t>
      </w:r>
      <w:r>
        <w:rPr>
          <w:rFonts w:ascii="仿宋_GB2312" w:hAnsi="仿宋_GB2312" w:cs="仿宋_GB2312" w:eastAsia="仿宋_GB2312"/>
        </w:rPr>
        <w:t>中佳鼎运建设管理有限公司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汉中市南郑区胡家营镇人民政府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中佳鼎运建设管理有限公司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汉中市南郑区胡家营镇人民政府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中佳鼎运建设管理有限公司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中佳鼎运建设管理有限公司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联系电话：13571677736</w:t>
      </w:r>
    </w:p>
    <w:p>
      <w:pPr>
        <w:pStyle w:val="null3"/>
      </w:pPr>
      <w:r>
        <w:rPr>
          <w:rFonts w:ascii="仿宋_GB2312" w:hAnsi="仿宋_GB2312" w:cs="仿宋_GB2312" w:eastAsia="仿宋_GB2312"/>
        </w:rPr>
        <w:t>地址：陕西省汉中市汉台区东关街道办事处中饮国际办公中C区8026室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742,000.00</w:t>
      </w:r>
    </w:p>
    <w:p>
      <w:pPr>
        <w:pStyle w:val="null3"/>
      </w:pPr>
      <w:r>
        <w:rPr>
          <w:rFonts w:ascii="仿宋_GB2312" w:hAnsi="仿宋_GB2312" w:cs="仿宋_GB2312" w:eastAsia="仿宋_GB2312"/>
        </w:rPr>
        <w:t>采购包最高限价（元）: 741,688.66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2026年南郑区胡家营镇人居环境补短板项目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742,000.00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标的名称：2026年南郑区胡家营镇人居环境补短板项目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ind w:right="-180"/>
              <w:jc w:val="left"/>
            </w:pPr>
            <w:r>
              <w:rPr>
                <w:rFonts w:ascii="仿宋_GB2312" w:hAnsi="仿宋_GB2312" w:cs="仿宋_GB2312" w:eastAsia="仿宋_GB2312"/>
                <w:sz w:val="28"/>
                <w:b/>
              </w:rPr>
              <w:t>一、编制依据</w:t>
            </w:r>
          </w:p>
          <w:p>
            <w:pPr>
              <w:pStyle w:val="null3"/>
              <w:ind w:firstLine="560"/>
              <w:jc w:val="both"/>
            </w:pPr>
            <w:r>
              <w:rPr>
                <w:rFonts w:ascii="仿宋_GB2312" w:hAnsi="仿宋_GB2312" w:cs="仿宋_GB2312" w:eastAsia="仿宋_GB2312"/>
                <w:sz w:val="28"/>
              </w:rPr>
              <w:t>1、依据汉中市南郑区</w:t>
            </w:r>
            <w:r>
              <w:rPr>
                <w:rFonts w:ascii="仿宋_GB2312" w:hAnsi="仿宋_GB2312" w:cs="仿宋_GB2312" w:eastAsia="仿宋_GB2312"/>
                <w:sz w:val="28"/>
              </w:rPr>
              <w:t>胡家营</w:t>
            </w:r>
            <w:r>
              <w:rPr>
                <w:rFonts w:ascii="仿宋_GB2312" w:hAnsi="仿宋_GB2312" w:cs="仿宋_GB2312" w:eastAsia="仿宋_GB2312"/>
                <w:sz w:val="28"/>
              </w:rPr>
              <w:t>镇人民政府提供的</w:t>
            </w:r>
            <w:r>
              <w:rPr>
                <w:rFonts w:ascii="仿宋_GB2312" w:hAnsi="仿宋_GB2312" w:cs="仿宋_GB2312" w:eastAsia="仿宋_GB2312"/>
                <w:sz w:val="28"/>
              </w:rPr>
              <w:t>施工</w:t>
            </w:r>
            <w:r>
              <w:rPr>
                <w:rFonts w:ascii="仿宋_GB2312" w:hAnsi="仿宋_GB2312" w:cs="仿宋_GB2312" w:eastAsia="仿宋_GB2312"/>
                <w:sz w:val="28"/>
              </w:rPr>
              <w:t>图纸等</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《陕西省工程建设标准之建设工程工程量清单计价标准》</w:t>
            </w:r>
            <w:r>
              <w:rPr>
                <w:rFonts w:ascii="仿宋_GB2312" w:hAnsi="仿宋_GB2312" w:cs="仿宋_GB2312" w:eastAsia="仿宋_GB2312"/>
                <w:sz w:val="28"/>
              </w:rPr>
              <w:t>(2025)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《陕西省工程建设标准之工程量计算标准》</w:t>
            </w:r>
            <w:r>
              <w:rPr>
                <w:rFonts w:ascii="仿宋_GB2312" w:hAnsi="仿宋_GB2312" w:cs="仿宋_GB2312" w:eastAsia="仿宋_GB2312"/>
                <w:sz w:val="28"/>
              </w:rPr>
              <w:t>(2025)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4、《陕西省建设工程费用规则(2025)》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陕西省基价表(房屋建筑、装饰工程、通用安装、市政、园林绿化、地下综合管廊、绿色建筑)(2025)》、《陕西省消耗量定额(房屋建筑、装饰工程、通用安装、市政、园林绿化、地下综合管廊、绿色建筑)(2025)》、《陕西省建设工程施工机械台班费用定额(2025)》、《陕西省建设工程施工仪器仪表台班费用定额(2025)》及配套使用的相关计价文件、其他相关计价依据等</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6、主要材料价按汉中市工程造价管理办公室发布的《汉中建设工程造价信息》202</w:t>
            </w:r>
            <w:r>
              <w:rPr>
                <w:rFonts w:ascii="仿宋_GB2312" w:hAnsi="仿宋_GB2312" w:cs="仿宋_GB2312" w:eastAsia="仿宋_GB2312"/>
                <w:sz w:val="28"/>
              </w:rPr>
              <w:t>6</w:t>
            </w:r>
            <w:r>
              <w:rPr>
                <w:rFonts w:ascii="仿宋_GB2312" w:hAnsi="仿宋_GB2312" w:cs="仿宋_GB2312" w:eastAsia="仿宋_GB2312"/>
                <w:sz w:val="28"/>
              </w:rPr>
              <w:t>年第</w:t>
            </w:r>
            <w:r>
              <w:rPr>
                <w:rFonts w:ascii="仿宋_GB2312" w:hAnsi="仿宋_GB2312" w:cs="仿宋_GB2312" w:eastAsia="仿宋_GB2312"/>
                <w:sz w:val="28"/>
              </w:rPr>
              <w:t>3</w:t>
            </w:r>
            <w:r>
              <w:rPr>
                <w:rFonts w:ascii="仿宋_GB2312" w:hAnsi="仿宋_GB2312" w:cs="仿宋_GB2312" w:eastAsia="仿宋_GB2312"/>
                <w:sz w:val="28"/>
              </w:rPr>
              <w:t>期材料价、当前建筑材料市场价综合计入</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二、问题说明</w:t>
            </w:r>
          </w:p>
          <w:p>
            <w:pPr>
              <w:pStyle w:val="null3"/>
              <w:ind w:firstLine="560"/>
              <w:jc w:val="left"/>
            </w:pPr>
            <w:r>
              <w:rPr>
                <w:rFonts w:ascii="仿宋_GB2312" w:hAnsi="仿宋_GB2312" w:cs="仿宋_GB2312" w:eastAsia="仿宋_GB2312"/>
                <w:sz w:val="28"/>
              </w:rPr>
              <w:t>1、起点路面彩绘，暂定综合单价15000元/项，结算据实；</w:t>
            </w:r>
          </w:p>
          <w:p>
            <w:pPr>
              <w:pStyle w:val="null3"/>
              <w:ind w:firstLine="560"/>
              <w:jc w:val="left"/>
            </w:pPr>
            <w:r>
              <w:rPr>
                <w:rFonts w:ascii="仿宋_GB2312" w:hAnsi="仿宋_GB2312" w:cs="仿宋_GB2312" w:eastAsia="仿宋_GB2312"/>
                <w:sz w:val="28"/>
              </w:rPr>
              <w:t>2、墙面彩绘，暂定综合单价210元/㎡,结算据实；</w:t>
            </w:r>
          </w:p>
          <w:p>
            <w:pPr>
              <w:pStyle w:val="null3"/>
              <w:ind w:firstLine="560"/>
              <w:jc w:val="left"/>
            </w:pPr>
            <w:r>
              <w:rPr>
                <w:rFonts w:ascii="仿宋_GB2312" w:hAnsi="仿宋_GB2312" w:cs="仿宋_GB2312" w:eastAsia="仿宋_GB2312"/>
                <w:sz w:val="28"/>
              </w:rPr>
              <w:t>3、休闲廊架、坐凳清洗、修补，暂定综合单价2000元/项,结算据实；</w:t>
            </w:r>
          </w:p>
          <w:p>
            <w:pPr>
              <w:pStyle w:val="null3"/>
              <w:ind w:firstLine="560"/>
              <w:jc w:val="left"/>
            </w:pPr>
            <w:r>
              <w:rPr>
                <w:rFonts w:ascii="仿宋_GB2312" w:hAnsi="仿宋_GB2312" w:cs="仿宋_GB2312" w:eastAsia="仿宋_GB2312"/>
                <w:sz w:val="28"/>
              </w:rPr>
              <w:t>4、广场地面彩绘，暂定综合单价10000元/项,结算据实；</w:t>
            </w:r>
          </w:p>
          <w:p>
            <w:pPr>
              <w:pStyle w:val="null3"/>
              <w:ind w:firstLine="560"/>
              <w:jc w:val="left"/>
            </w:pPr>
            <w:r>
              <w:rPr>
                <w:rFonts w:ascii="仿宋_GB2312" w:hAnsi="仿宋_GB2312" w:cs="仿宋_GB2312" w:eastAsia="仿宋_GB2312"/>
                <w:sz w:val="28"/>
              </w:rPr>
              <w:t>5、环卫工人休息及环卫工具存放点改造，暂定综合单价20000元/项,结算据实；</w:t>
            </w:r>
          </w:p>
          <w:p>
            <w:pPr>
              <w:pStyle w:val="null3"/>
              <w:ind w:firstLine="560"/>
              <w:jc w:val="left"/>
            </w:pPr>
            <w:r>
              <w:rPr>
                <w:rFonts w:ascii="仿宋_GB2312" w:hAnsi="仿宋_GB2312" w:cs="仿宋_GB2312" w:eastAsia="仿宋_GB2312"/>
                <w:sz w:val="28"/>
              </w:rPr>
              <w:t>6、安全护栏修复，暂定综合单价100元/m,结算据实；</w:t>
            </w:r>
          </w:p>
          <w:p>
            <w:pPr>
              <w:pStyle w:val="null3"/>
              <w:ind w:firstLine="560"/>
              <w:jc w:val="left"/>
            </w:pPr>
            <w:r>
              <w:rPr>
                <w:rFonts w:ascii="仿宋_GB2312" w:hAnsi="仿宋_GB2312" w:cs="仿宋_GB2312" w:eastAsia="仿宋_GB2312"/>
                <w:sz w:val="28"/>
              </w:rPr>
              <w:t>7、弃土外运，垃圾外运，运距暂按5KM考虑；</w:t>
            </w:r>
          </w:p>
          <w:p>
            <w:pPr>
              <w:pStyle w:val="null3"/>
              <w:jc w:val="left"/>
            </w:pPr>
            <w:r>
              <w:rPr>
                <w:rFonts w:ascii="仿宋_GB2312" w:hAnsi="仿宋_GB2312" w:cs="仿宋_GB2312" w:eastAsia="仿宋_GB2312"/>
                <w:sz w:val="28"/>
                <w:b/>
              </w:rPr>
              <w:t>三、</w:t>
            </w:r>
            <w:r>
              <w:rPr>
                <w:rFonts w:ascii="仿宋_GB2312" w:hAnsi="仿宋_GB2312" w:cs="仿宋_GB2312" w:eastAsia="仿宋_GB2312"/>
                <w:sz w:val="28"/>
                <w:b/>
              </w:rPr>
              <w:t>质量标准：</w:t>
            </w:r>
            <w:r>
              <w:rPr>
                <w:rFonts w:ascii="仿宋_GB2312" w:hAnsi="仿宋_GB2312" w:cs="仿宋_GB2312" w:eastAsia="仿宋_GB2312"/>
                <w:sz w:val="28"/>
              </w:rPr>
              <w:t>合格</w:t>
            </w:r>
            <w:r>
              <w:rPr>
                <w:rFonts w:ascii="仿宋_GB2312" w:hAnsi="仿宋_GB2312" w:cs="仿宋_GB2312" w:eastAsia="仿宋_GB2312"/>
                <w:sz w:val="28"/>
              </w:rPr>
              <w:t xml:space="preserve">  </w:t>
            </w:r>
            <w:r>
              <w:rPr>
                <w:rFonts w:ascii="仿宋_GB2312" w:hAnsi="仿宋_GB2312" w:cs="仿宋_GB2312" w:eastAsia="仿宋_GB2312"/>
                <w:sz w:val="21"/>
                <w:b/>
              </w:rPr>
              <w:t xml:space="preserve"> </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8"/>
                <w:b/>
              </w:rPr>
              <w:t>四、工期：</w:t>
            </w:r>
            <w:r>
              <w:rPr>
                <w:rFonts w:ascii="仿宋_GB2312" w:hAnsi="仿宋_GB2312" w:cs="仿宋_GB2312" w:eastAsia="仿宋_GB2312"/>
                <w:sz w:val="28"/>
              </w:rPr>
              <w:t>150日历天</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符合行业相关标准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符合行业相关技术标准要求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供应商无需在开标现场提交纸质响应文件，待采购结果发布后5个工作日内成交供应商向代理机构提交纸质版响应文件以便于存档，响应文件包括:正本壹份、副本壹份，电子版U盘壹份(含响应文件全部内容)。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供应商主体要求；</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供应商为具有独立承担民事责任能力的企业法人、事业法人、其他组织，提供营业执照原件（事业单位须事业单位法人证、组织机构代码证等证明文件；其他组织应提供合法证明文件）；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法定代表人或被授权委托人身份证明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供应商具有行政主管部门核发的市政公用工程施工总承包三级（含三级）及以上资质，且具有有效的安全生产许可证；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拟派项目负责人资格要求</w:t>
            </w:r>
          </w:p>
        </w:tc>
        <w:tc>
          <w:tcPr>
            <w:tcW w:type="dxa" w:w="3322"/>
          </w:tcPr>
          <w:p>
            <w:pPr>
              <w:pStyle w:val="null3"/>
            </w:pPr>
            <w:r>
              <w:rPr>
                <w:rFonts w:ascii="仿宋_GB2312" w:hAnsi="仿宋_GB2312" w:cs="仿宋_GB2312" w:eastAsia="仿宋_GB2312"/>
              </w:rPr>
              <w:t>拟派项目经理须具备市政公用工程专业二级（含二级）以上注册建造师资格和安全生产考核合格B证，且无在建项目（需提供无在建承诺书）；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响应文件封面 中小企业声明函 残疾人福利性单位声明函 技术服务合同条款及其他商务要求应答表 标的清单 供应商应提交的相关资格证明材料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磋商保证金</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一、评审内容：供应商针对本项目编制完善的施工部署,内容包含： ①施工目标；②施工准备 ；③施工平面布置与安排。 二、评审标准 ：1、完整性：方案必须全面,对评审内容中的各项要求有详细描述；、可实施性：切合本项目实际情况，提出步清晰、合理的方案;3、针对性：方案能够紧扣项目实际情况，内容科学合理。 三、赋分标准(满分6分)：(①施工目标：每完全满足一个评审标准得 0.5分，满分 1.5分; ②施工准备：每完全满足一个评审标准得 0.5 分，满分1.5分；③施工平面布置与安排：每完全满足一个评审标准得1分，满分3分；④未提供者不得分。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1.总体施工方案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一、评审内容:供应商针对本项目编制完善的质量保证措施，内容包含:①施工质量的检验制度;②确保质量的技术组织措施;③施工质量控制措施。 二、评审标准:1、完整性:方案必须全面，对评审内容中的各项要求有详细描述;2、可实施性:切合本项目实际情况，提出步清晰、合理的方案;3、针对性:方案能够紧扣项目实际情况，内容科学合理。 三、赋分标准(满分9分):①施工质量检验制度:每完全满足一个评审标准得1分，满分3分;②确保质量的技术组织措施:每完全满足一个评审标准得1分，满分3分;③施工质量控制措施:每完全满足一个评审标准得1分，满分3分;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22.质量保证措施</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一、评审内容:供应商针对本项目编制完善的施工进度计划，内容包含:①施工进度计划横道图; ②进度计划保证措施 ;③工期保证措施。 二、评审标准 :1、完整性:方案必须全面，对评审内容中的各项要求有详细描述;2、可实施性:切合本项目实际情况，提出步清晰、合理的方案;3、针对性:方案能够紧扣项目实际情况，内容科学合理。 三、赋分标准(满分9.0分):①施工进度计划横道图:每完全满足一个评审标准得1分，满分3分;②进度计划保证措施:每完全满足一个评审标准得1分,满分3分;③工期保证措施:每完全满足一个评审标准得1分，满分3分;④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33.施工进度计划</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一、评审内容:供应商针对本项目编制完整的安全施工措施，内容包含:①安全生产管理制度; ②安全施工措施;③安全应急预案;④安全生产教育。 二、评审标准:1、完整性:方案必须全面，对评审内容中的各项要求有详细描述;2、可实施性:切合本项目实际情况，提出步骤清晰、合理的方案;3、针对性:方案能够紧扣项目实际情况，内容科学合理。 三、赋分标准(满分7.5分):①安全生产管理制度:每完全满足一个评审标准得1分，满分3分; ②安全施工措施:每完全满足一个评审标准得0.5分，满分1.5分;③安全应急预案:每完全满足一个评审标准得0.5分，满分1.5分;④安全生产教育:每完全满足一个评审标准得 0.5分，满分 1.5分;⑤未提供者不得分。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4.安全施工措施</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 ①文明施工管理目标及技术措施;②文明施工现场管理:材料管理、防扰民措施。 二、评审标准:1、完整性:方案必须全面，对评审内容中的各项要求有详细描述;2、可实施性:切合本项目实际情况,提出步骤清晰、合理的方案;3、针对性:方案能够紧扣项目实际情况，内容科学合理。 三、赋分标准(满分6分):①文明施工管理目标及技术措施:每完全满足一个评审标准得1分，满分3分;②文明施工现场管理:每完全满足一个评审标准得1分，满分3分:③未提供者不得分。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5.文明施工措施</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一、评审内容:供应商针对本项目编制完善的资源配置计划，内容包含:①劳动力资源配置计划;②施工机械设备投入计划;③主要施工材料供应计划。 二、评审标准:1、完整性:方案必须全面，对评审内容中的各项要求有详细描述;2、可实施性:切合本项目实际情况，提出步骤清晰、合理的方案;3、针对性:方案能够紧扣项目实际情况，内容科学合理。 三、赋分标准(满分 7.5 分):①劳动力资源配置计划:每完全满足一个评审标准得1分，满分3分;②施工机械设备投入计划:每完全满足一个评审标准得1分，满分3分;③主要施工材料供应计划:每完全满足一个评审标准得 0.5分，满分 1.5 分;④未提供者不得分。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6.资源配置计划</w:t>
            </w:r>
          </w:p>
        </w:tc>
      </w:tr>
      <w:tr>
        <w:tc>
          <w:tcPr>
            <w:tcW w:type="dxa" w:w="831"/>
            <w:vMerge/>
          </w:tcPr>
          <w:p/>
        </w:tc>
        <w:tc>
          <w:tcPr>
            <w:tcW w:type="dxa" w:w="1661"/>
          </w:tcPr>
          <w:p>
            <w:pPr>
              <w:pStyle w:val="null3"/>
            </w:pPr>
            <w:r>
              <w:rPr>
                <w:rFonts w:ascii="仿宋_GB2312" w:hAnsi="仿宋_GB2312" w:cs="仿宋_GB2312" w:eastAsia="仿宋_GB2312"/>
              </w:rPr>
              <w:t>针对突发事件应急保证措施</w:t>
            </w:r>
          </w:p>
        </w:tc>
        <w:tc>
          <w:tcPr>
            <w:tcW w:type="dxa" w:w="2492"/>
          </w:tcPr>
          <w:p>
            <w:pPr>
              <w:pStyle w:val="null3"/>
            </w:pPr>
            <w:r>
              <w:rPr>
                <w:rFonts w:ascii="仿宋_GB2312" w:hAnsi="仿宋_GB2312" w:cs="仿宋_GB2312" w:eastAsia="仿宋_GB2312"/>
              </w:rPr>
              <w:t>一、评审内容：针对项目实施过程中可能出现的恶劣天气、自然灾害、公共活动等突发情况，评审应急方案的针对性、可操作性及响应及时性，保障项目顺利推进。 二、评分标准：0.5-2分：仅提及制定应急方案，未区分突发事件类型，无具体处置措施、无物资清单，内容笼统；2.1-4分：按突发事件类型（恶劣天气、自然灾害等）制定专项应急方案，明确具体处置措施（如暴雨时暂停施工、启用临时排水设备；洪涝时组织设备转移），明确应急响应流程、应急物资清单及责任人，方案可直接落地执行。缺项处理：未提供应急措施的，得 0 分，视为不满足评审要求。</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7、针对突发事件应急保证措施</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提供2023年1月至今完成过类似业绩，提供一个得2.5分，最高可得5分；评审依据：提供加盖公章的中标通知书、合同协议书，时间以签订的施工合同签订时间为准，此项未提供不得分。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8、类似业绩情况表</w:t>
            </w:r>
          </w:p>
        </w:tc>
      </w:tr>
      <w:tr>
        <w:tc>
          <w:tcPr>
            <w:tcW w:type="dxa" w:w="831"/>
            <w:vMerge/>
          </w:tcPr>
          <w:p/>
        </w:tc>
        <w:tc>
          <w:tcPr>
            <w:tcW w:type="dxa" w:w="1661"/>
          </w:tcPr>
          <w:p>
            <w:pPr>
              <w:pStyle w:val="null3"/>
            </w:pPr>
            <w:r>
              <w:rPr>
                <w:rFonts w:ascii="仿宋_GB2312" w:hAnsi="仿宋_GB2312" w:cs="仿宋_GB2312" w:eastAsia="仿宋_GB2312"/>
              </w:rPr>
              <w:t>项目拟派人员安排</w:t>
            </w:r>
          </w:p>
        </w:tc>
        <w:tc>
          <w:tcPr>
            <w:tcW w:type="dxa" w:w="2492"/>
          </w:tcPr>
          <w:p>
            <w:pPr>
              <w:pStyle w:val="null3"/>
            </w:pPr>
            <w:r>
              <w:rPr>
                <w:rFonts w:ascii="仿宋_GB2312" w:hAnsi="仿宋_GB2312" w:cs="仿宋_GB2312" w:eastAsia="仿宋_GB2312"/>
              </w:rPr>
              <w:t>一、评审内容：拟派技术负责人1名及其他人员。其他人员包括但不限于施工员、质量员、材料员、安全员、资料员。 二、评审标准：（1）技术负责人：具备相关专业中级及以上技术职称，需提供职称证书复印件（加盖公章）；（2）其他人员：施工员、质量员、材料员、安全员、资料员5个专业，每个岗位至少配备1名人员，所有人员需具备对应岗位资格证书，并提供资格证书复印件(复印件需清晰可辨，加盖供应商公章)。 三、客观赋分标准：（1）技术负责人：提供相关专业有效职称证书，得1分；未提供、证书无效或专业不符的，得0分；（2）其他人员：施工员、质量员、材料员、安全员、资料员5个专业，每满足1个专业配备要求（提供对应资格证书）得0.9分，满分4.5分；同一人员满足多个专业条件的，仅按1个专业计分，不重复赋分；未配备或人员不合格（未提供对应资格证书复印件）的，该专业不计分；所有岗位均未达标得0分。</w:t>
            </w:r>
          </w:p>
        </w:tc>
        <w:tc>
          <w:tcPr>
            <w:tcW w:type="dxa" w:w="831"/>
          </w:tcPr>
          <w:p>
            <w:pPr>
              <w:pStyle w:val="null3"/>
              <w:jc w:val="right"/>
            </w:pPr>
            <w:r>
              <w:rPr>
                <w:rFonts w:ascii="仿宋_GB2312" w:hAnsi="仿宋_GB2312" w:cs="仿宋_GB2312" w:eastAsia="仿宋_GB2312"/>
              </w:rPr>
              <w:t>5.5000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9.项目拟派人员安排</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 ①工程重难点及解决措施； ②分部分项工程施工方法；③施工质量通病防治措施。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三、赋分标准（满分6分）： ①工程重难点及解决措施：每完全满足一个评审标准得1分，满分3分； ②分部分项工程施工方法：每完全满足一个评审标准得0.5分，满分1.5 分； ③施工质量通病防治措施：每完全满足一个评审标准得0.5分，满分1.5分；④未提供者不得分。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10.分部分项工程施工方案</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 ①维修措施；②保修责任；③保修承诺。 二、评审标准：1、完整性：内容必须全面，对评审内容中的各项要求有详细描述；2、落实性：合项目具体情况，提出责任明确、要求具体的方案；3、针对性：内容能够紧扣项目实际情况，内容科学合理。 三、赋分标准(满分 4.5 分)：①维修措施：每完全满足一个评审标准得 0.5分，满分 1.5分；②保修责任：每完全满足一个评审标准得0.5分，满分1.5分；(③保修承诺：每完全满足一个评审标准得 0.5分，满分 1.5 分；④未提供者不得分。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11.保修方案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经资格审查、符合性审查合格的磋商文件，其投标报价为有效投标报价。 1、上限为采购预算价，即报价大于上限价视为无效标；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 5.为保证项目质量，投标人报价若低于招标采购预算的 80%，须对报价合理性及成本构成做书面说明（如报价成本分析），如未能提供有效证明，将被视为低于成本报价而报价无效。（投标报价评审只评投标总价）。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详见附件：磋商保证金</w:t>
      </w:r>
    </w:p>
    <w:p>
      <w:pPr>
        <w:pStyle w:val="null3"/>
        <w:ind w:firstLine="960"/>
      </w:pPr>
      <w:r>
        <w:rPr>
          <w:rFonts w:ascii="仿宋_GB2312" w:hAnsi="仿宋_GB2312" w:cs="仿宋_GB2312" w:eastAsia="仿宋_GB2312"/>
        </w:rPr>
        <w:t>详见附件：1.总体施工方案</w:t>
      </w:r>
    </w:p>
    <w:p>
      <w:pPr>
        <w:pStyle w:val="null3"/>
        <w:ind w:firstLine="960"/>
      </w:pPr>
      <w:r>
        <w:rPr>
          <w:rFonts w:ascii="仿宋_GB2312" w:hAnsi="仿宋_GB2312" w:cs="仿宋_GB2312" w:eastAsia="仿宋_GB2312"/>
        </w:rPr>
        <w:t>详见附件：22.质量保证措施</w:t>
      </w:r>
    </w:p>
    <w:p>
      <w:pPr>
        <w:pStyle w:val="null3"/>
        <w:ind w:firstLine="960"/>
      </w:pPr>
      <w:r>
        <w:rPr>
          <w:rFonts w:ascii="仿宋_GB2312" w:hAnsi="仿宋_GB2312" w:cs="仿宋_GB2312" w:eastAsia="仿宋_GB2312"/>
        </w:rPr>
        <w:t>详见附件：33.施工进度计划</w:t>
      </w:r>
    </w:p>
    <w:p>
      <w:pPr>
        <w:pStyle w:val="null3"/>
        <w:ind w:firstLine="960"/>
      </w:pPr>
      <w:r>
        <w:rPr>
          <w:rFonts w:ascii="仿宋_GB2312" w:hAnsi="仿宋_GB2312" w:cs="仿宋_GB2312" w:eastAsia="仿宋_GB2312"/>
        </w:rPr>
        <w:t>详见附件：4.安全施工措施</w:t>
      </w:r>
    </w:p>
    <w:p>
      <w:pPr>
        <w:pStyle w:val="null3"/>
        <w:ind w:firstLine="960"/>
      </w:pPr>
      <w:r>
        <w:rPr>
          <w:rFonts w:ascii="仿宋_GB2312" w:hAnsi="仿宋_GB2312" w:cs="仿宋_GB2312" w:eastAsia="仿宋_GB2312"/>
        </w:rPr>
        <w:t>详见附件：5.文明施工措施</w:t>
      </w:r>
    </w:p>
    <w:p>
      <w:pPr>
        <w:pStyle w:val="null3"/>
        <w:ind w:firstLine="960"/>
      </w:pPr>
      <w:r>
        <w:rPr>
          <w:rFonts w:ascii="仿宋_GB2312" w:hAnsi="仿宋_GB2312" w:cs="仿宋_GB2312" w:eastAsia="仿宋_GB2312"/>
        </w:rPr>
        <w:t>详见附件：6.资源配置计划</w:t>
      </w:r>
    </w:p>
    <w:p>
      <w:pPr>
        <w:pStyle w:val="null3"/>
        <w:ind w:firstLine="960"/>
      </w:pPr>
      <w:r>
        <w:rPr>
          <w:rFonts w:ascii="仿宋_GB2312" w:hAnsi="仿宋_GB2312" w:cs="仿宋_GB2312" w:eastAsia="仿宋_GB2312"/>
        </w:rPr>
        <w:t>详见附件：7、针对突发事件应急保证措施</w:t>
      </w:r>
    </w:p>
    <w:p>
      <w:pPr>
        <w:pStyle w:val="null3"/>
        <w:ind w:firstLine="960"/>
      </w:pPr>
      <w:r>
        <w:rPr>
          <w:rFonts w:ascii="仿宋_GB2312" w:hAnsi="仿宋_GB2312" w:cs="仿宋_GB2312" w:eastAsia="仿宋_GB2312"/>
        </w:rPr>
        <w:t>详见附件：8、类似业绩情况表</w:t>
      </w:r>
    </w:p>
    <w:p>
      <w:pPr>
        <w:pStyle w:val="null3"/>
        <w:ind w:firstLine="960"/>
      </w:pPr>
      <w:r>
        <w:rPr>
          <w:rFonts w:ascii="仿宋_GB2312" w:hAnsi="仿宋_GB2312" w:cs="仿宋_GB2312" w:eastAsia="仿宋_GB2312"/>
        </w:rPr>
        <w:t>详见附件：9.项目拟派人员安排</w:t>
      </w:r>
    </w:p>
    <w:p>
      <w:pPr>
        <w:pStyle w:val="null3"/>
        <w:ind w:firstLine="960"/>
      </w:pPr>
      <w:r>
        <w:rPr>
          <w:rFonts w:ascii="仿宋_GB2312" w:hAnsi="仿宋_GB2312" w:cs="仿宋_GB2312" w:eastAsia="仿宋_GB2312"/>
        </w:rPr>
        <w:t>详见附件：10.分部分项工程施工方案</w:t>
      </w:r>
    </w:p>
    <w:p>
      <w:pPr>
        <w:pStyle w:val="null3"/>
        <w:ind w:firstLine="960"/>
      </w:pPr>
      <w:r>
        <w:rPr>
          <w:rFonts w:ascii="仿宋_GB2312" w:hAnsi="仿宋_GB2312" w:cs="仿宋_GB2312" w:eastAsia="仿宋_GB2312"/>
        </w:rPr>
        <w:t>详见附件：11.保修方案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