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版本号：ZCSP-合阳县-2026-0011020260709001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学生课桌椅采购项目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ZCSP-合阳县-2026-00110</w:t>
      </w:r>
      <w:r>
        <w:br/>
      </w:r>
      <w:r>
        <w:br/>
      </w:r>
      <w:r>
        <w:br/>
      </w:r>
    </w:p>
    <w:p>
      <w:pPr>
        <w:pStyle w:val="null3"/>
        <w:jc w:val="center"/>
        <w:outlineLvl w:val="2"/>
      </w:pPr>
      <w:r>
        <w:rPr>
          <w:rFonts w:ascii="仿宋_GB2312" w:hAnsi="仿宋_GB2312" w:cs="仿宋_GB2312" w:eastAsia="仿宋_GB2312"/>
          <w:sz w:val="28"/>
          <w:b/>
        </w:rPr>
        <w:t>合阳县第三初级中学</w:t>
      </w:r>
    </w:p>
    <w:p>
      <w:pPr>
        <w:pStyle w:val="null3"/>
        <w:jc w:val="center"/>
        <w:outlineLvl w:val="2"/>
      </w:pPr>
      <w:r>
        <w:rPr>
          <w:rFonts w:ascii="仿宋_GB2312" w:hAnsi="仿宋_GB2312" w:cs="仿宋_GB2312" w:eastAsia="仿宋_GB2312"/>
          <w:sz w:val="28"/>
          <w:b/>
        </w:rPr>
        <w:t>陕西盛典日工程咨询有限公司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陕西盛典日工程咨询有限公司</w:t>
      </w:r>
      <w:r>
        <w:rPr>
          <w:rFonts w:ascii="仿宋_GB2312" w:hAnsi="仿宋_GB2312" w:cs="仿宋_GB2312" w:eastAsia="仿宋_GB2312"/>
        </w:rPr>
        <w:t>（以下简称“代理机构”）受</w:t>
      </w:r>
      <w:r>
        <w:rPr>
          <w:rFonts w:ascii="仿宋_GB2312" w:hAnsi="仿宋_GB2312" w:cs="仿宋_GB2312" w:eastAsia="仿宋_GB2312"/>
        </w:rPr>
        <w:t>合阳县第三初级中学</w:t>
      </w:r>
      <w:r>
        <w:rPr>
          <w:rFonts w:ascii="仿宋_GB2312" w:hAnsi="仿宋_GB2312" w:cs="仿宋_GB2312" w:eastAsia="仿宋_GB2312"/>
        </w:rPr>
        <w:t>委托，拟对</w:t>
      </w:r>
      <w:r>
        <w:rPr>
          <w:rFonts w:ascii="仿宋_GB2312" w:hAnsi="仿宋_GB2312" w:cs="仿宋_GB2312" w:eastAsia="仿宋_GB2312"/>
        </w:rPr>
        <w:t>学生课桌椅采购项目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ZCSP-合阳县-2026-00110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学生课桌椅采购项目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合阳县第三初级中学学生课桌椅采购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采购包1（学生课桌椅采购项目）：属于专门面向中小企业采购。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为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提供2025年度的财务审计报告（至少包括资产负债表和利润表，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3、税收缴纳证明：提供投标文件递交截止时间前6个月内任意一个月的缴费凭据，依法免税的单位应提供相关证明材料；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4、社会保障资金缴纳证明：提供投标文件递交截止时间前6个月内任意一个月的社会保障资金缴存单据或社保机构开具的社会保险参保缴费情况证明，依法不需要缴纳社会保障资金的单位应提供相关证明材料；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5、无重大违法记录声明：提供参加本次政府采购活动前三年内在经营活动中没有重大违法记录的书面声明</w:t>
      </w:r>
    </w:p>
    <w:p>
      <w:pPr>
        <w:pStyle w:val="null3"/>
      </w:pPr>
      <w:r>
        <w:rPr>
          <w:rFonts w:ascii="仿宋_GB2312" w:hAnsi="仿宋_GB2312" w:cs="仿宋_GB2312" w:eastAsia="仿宋_GB2312"/>
        </w:rPr>
        <w:t>6、履行合同承诺书：提供具有履行合同所必需的设备和专业技术能力的承诺书</w:t>
      </w:r>
    </w:p>
    <w:p>
      <w:pPr>
        <w:pStyle w:val="null3"/>
      </w:pPr>
      <w:r>
        <w:rPr>
          <w:rFonts w:ascii="仿宋_GB2312" w:hAnsi="仿宋_GB2312" w:cs="仿宋_GB2312" w:eastAsia="仿宋_GB2312"/>
        </w:rPr>
        <w:t>7、无控股承诺：单位负责人为同一人或者存在直接控股、管理关系的不同供应商，不得参加同一合同项下的政府采购活动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信誉要求：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合阳县第三初级中学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合阳县建设东路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13399138082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陕西盛典日工程咨询有限公司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陕西省渭南市临渭区渭南市临渭区仓程路北段碧桂园翡翠公馆12幢商铺2层单元202号户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弥婷婷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17386960448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成文强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开户名称：陕西盛典日工程咨询有限公司</w:t>
            </w:r>
          </w:p>
          <w:p>
            <w:pPr>
              <w:pStyle w:val="null3"/>
            </w:pPr>
            <w:r>
              <w:rPr>
                <w:rFonts w:ascii="仿宋_GB2312" w:hAnsi="仿宋_GB2312" w:cs="仿宋_GB2312" w:eastAsia="仿宋_GB2312"/>
              </w:rPr>
              <w:t>开户银行：长安银行股份有限公司渭南向阳支行</w:t>
            </w:r>
          </w:p>
          <w:p>
            <w:pPr>
              <w:pStyle w:val="null3"/>
            </w:pPr>
            <w:r>
              <w:rPr>
                <w:rFonts w:ascii="仿宋_GB2312" w:hAnsi="仿宋_GB2312" w:cs="仿宋_GB2312" w:eastAsia="仿宋_GB2312"/>
              </w:rPr>
              <w:t>银行账号：806040601421008477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代理服务费收费标准：招标代理服务费以中标价为基数，参照国家计委颁发计价格[2002]1980号和国家发展和改革委员会办公厅颁发的发改办价格[2003]857号的有关规定执行。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合阳县第三初级中学</w:t>
      </w:r>
      <w:r>
        <w:rPr>
          <w:rFonts w:ascii="仿宋_GB2312" w:hAnsi="仿宋_GB2312" w:cs="仿宋_GB2312" w:eastAsia="仿宋_GB2312"/>
        </w:rPr>
        <w:t>和</w:t>
      </w:r>
      <w:r>
        <w:rPr>
          <w:rFonts w:ascii="仿宋_GB2312" w:hAnsi="仿宋_GB2312" w:cs="仿宋_GB2312" w:eastAsia="仿宋_GB2312"/>
        </w:rPr>
        <w:t>陕西盛典日工程咨询有限公司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合阳县第三初级中学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陕西盛典日工程咨询有限公司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合阳县第三初级中学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陕西盛典日工程咨询有限公司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符合国家现行技术规范和标准，达到合格要求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陕西盛典日工程咨询有限公司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陕西盛典日工程咨询有限公司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陕西盛典日工程咨询有限公司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联系人：弥婷婷</w:t>
      </w:r>
    </w:p>
    <w:p>
      <w:pPr>
        <w:pStyle w:val="null3"/>
      </w:pPr>
      <w:r>
        <w:rPr>
          <w:rFonts w:ascii="仿宋_GB2312" w:hAnsi="仿宋_GB2312" w:cs="仿宋_GB2312" w:eastAsia="仿宋_GB2312"/>
        </w:rPr>
        <w:t>联系电话：17386960448</w:t>
      </w:r>
    </w:p>
    <w:p>
      <w:pPr>
        <w:pStyle w:val="null3"/>
      </w:pPr>
      <w:r>
        <w:rPr>
          <w:rFonts w:ascii="仿宋_GB2312" w:hAnsi="仿宋_GB2312" w:cs="仿宋_GB2312" w:eastAsia="仿宋_GB2312"/>
        </w:rPr>
        <w:t>地址：渭南市临渭区仓程路北段碧桂园翡翠公馆12幢商铺2层单元202号户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合阳县第三初级中学学生课桌椅采购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340,800.00</w:t>
      </w:r>
    </w:p>
    <w:p>
      <w:pPr>
        <w:pStyle w:val="null3"/>
      </w:pPr>
      <w:r>
        <w:rPr>
          <w:rFonts w:ascii="仿宋_GB2312" w:hAnsi="仿宋_GB2312" w:cs="仿宋_GB2312" w:eastAsia="仿宋_GB2312"/>
        </w:rPr>
        <w:t>采购包最高限价（元）: 340,800.00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合阳县第三初级中学学生课桌椅购置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标的名称：合阳县第三初级中学学生课桌椅购置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7"/>
              <w:gridCol w:w="127"/>
              <w:gridCol w:w="1614"/>
              <w:gridCol w:w="221"/>
              <w:gridCol w:w="191"/>
              <w:gridCol w:w="272"/>
            </w:tblGrid>
            <w:tr>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单价限价（元）</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课桌</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桌面</w:t>
                  </w:r>
                </w:p>
                <w:p>
                  <w:pPr>
                    <w:pStyle w:val="null3"/>
                    <w:jc w:val="both"/>
                  </w:pPr>
                  <w:r>
                    <w:rPr>
                      <w:rFonts w:ascii="仿宋_GB2312" w:hAnsi="仿宋_GB2312" w:cs="仿宋_GB2312" w:eastAsia="仿宋_GB2312"/>
                      <w:sz w:val="21"/>
                      <w:color w:val="000000"/>
                    </w:rPr>
                    <w:t xml:space="preserve">1.1 </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600mm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400mm，课桌升降高度660-760mm，桌面基层板采用厚度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18mm的优质密度板，表面采用优质防火皮贴面，四边必须经模具一次性注塑包边成型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桌面上方设计笔槽一个、长度</w:t>
                  </w:r>
                  <w:r>
                    <w:rPr>
                      <w:rFonts w:ascii="仿宋_GB2312" w:hAnsi="仿宋_GB2312" w:cs="仿宋_GB2312" w:eastAsia="仿宋_GB2312"/>
                      <w:sz w:val="21"/>
                      <w:color w:val="000000"/>
                    </w:rPr>
                    <w:t>不小于</w:t>
                  </w:r>
                  <w:r>
                    <w:rPr>
                      <w:rFonts w:ascii="仿宋_GB2312" w:hAnsi="仿宋_GB2312" w:cs="仿宋_GB2312" w:eastAsia="仿宋_GB2312"/>
                      <w:sz w:val="21"/>
                      <w:color w:val="000000"/>
                    </w:rPr>
                    <w:t>200mm、四角为 R 圆弧设计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1.3 </w:t>
                  </w:r>
                  <w:r>
                    <w:rPr>
                      <w:rFonts w:ascii="仿宋_GB2312" w:hAnsi="仿宋_GB2312" w:cs="仿宋_GB2312" w:eastAsia="仿宋_GB2312"/>
                      <w:sz w:val="21"/>
                      <w:color w:val="000000"/>
                    </w:rPr>
                    <w:t>桌面颜色：白橡木色、包边颜色：蓝色。</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桌子升降侧板: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2.1 </w:t>
                  </w:r>
                  <w:r>
                    <w:rPr>
                      <w:rFonts w:ascii="仿宋_GB2312" w:hAnsi="仿宋_GB2312" w:cs="仿宋_GB2312" w:eastAsia="仿宋_GB2312"/>
                      <w:sz w:val="21"/>
                      <w:color w:val="000000"/>
                    </w:rPr>
                    <w:t>主体上部宽为335mm、下宽220mm、高380mm、折边13mm、厚度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0.9mm优质冷轧板一次模压成型升降模压件，升降孔中心距30mm一个，共9个。</w:t>
                  </w:r>
                </w:p>
                <w:p>
                  <w:pPr>
                    <w:pStyle w:val="null3"/>
                    <w:jc w:val="both"/>
                  </w:pP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6档调节，每档升降孔固定螺丝中心距为60mm。</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桌腿:</w:t>
                  </w:r>
                </w:p>
                <w:p>
                  <w:pPr>
                    <w:pStyle w:val="null3"/>
                    <w:jc w:val="both"/>
                  </w:pPr>
                  <w:r>
                    <w:rPr>
                      <w:rFonts w:ascii="仿宋_GB2312" w:hAnsi="仿宋_GB2312" w:cs="仿宋_GB2312" w:eastAsia="仿宋_GB2312"/>
                      <w:sz w:val="21"/>
                      <w:color w:val="000000"/>
                    </w:rPr>
                    <w:t xml:space="preserve">3.1 </w:t>
                  </w:r>
                  <w:r>
                    <w:rPr>
                      <w:rFonts w:ascii="仿宋_GB2312" w:hAnsi="仿宋_GB2312" w:cs="仿宋_GB2312" w:eastAsia="仿宋_GB2312"/>
                      <w:sz w:val="21"/>
                      <w:color w:val="000000"/>
                    </w:rPr>
                    <w:t>桌底横腿采用冷轧20mm*50mm*1.5mm扁圆形钢管，底腿长370mm。</w:t>
                  </w:r>
                </w:p>
                <w:p>
                  <w:pPr>
                    <w:pStyle w:val="null3"/>
                    <w:jc w:val="both"/>
                  </w:pPr>
                  <w:r>
                    <w:rPr>
                      <w:rFonts w:ascii="仿宋_GB2312" w:hAnsi="仿宋_GB2312" w:cs="仿宋_GB2312" w:eastAsia="仿宋_GB2312"/>
                      <w:sz w:val="21"/>
                      <w:color w:val="000000"/>
                    </w:rPr>
                    <w:t xml:space="preserve">3.2 </w:t>
                  </w:r>
                  <w:r>
                    <w:rPr>
                      <w:rFonts w:ascii="仿宋_GB2312" w:hAnsi="仿宋_GB2312" w:cs="仿宋_GB2312" w:eastAsia="仿宋_GB2312"/>
                      <w:sz w:val="21"/>
                      <w:color w:val="000000"/>
                    </w:rPr>
                    <w:t>底腿双立柱高400mm，双立柱间距为90mm，两侧双立柱之间距地面180mm处用长465mm扁圆形钢管20mm*50mm*1.5mm连接。</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书斗:</w:t>
                  </w:r>
                </w:p>
                <w:p>
                  <w:pPr>
                    <w:pStyle w:val="null3"/>
                    <w:jc w:val="both"/>
                  </w:pPr>
                  <w:r>
                    <w:rPr>
                      <w:rFonts w:ascii="仿宋_GB2312" w:hAnsi="仿宋_GB2312" w:cs="仿宋_GB2312" w:eastAsia="仿宋_GB2312"/>
                      <w:sz w:val="21"/>
                      <w:color w:val="000000"/>
                    </w:rPr>
                    <w:t xml:space="preserve">4.1 </w:t>
                  </w:r>
                  <w:r>
                    <w:rPr>
                      <w:rFonts w:ascii="仿宋_GB2312" w:hAnsi="仿宋_GB2312" w:cs="仿宋_GB2312" w:eastAsia="仿宋_GB2312"/>
                      <w:sz w:val="21"/>
                      <w:color w:val="000000"/>
                    </w:rPr>
                    <w:t>规格:斗高170mm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宽490mm</w:t>
                  </w:r>
                  <w:r>
                    <w:rPr>
                      <w:rFonts w:ascii="仿宋_GB2312" w:hAnsi="仿宋_GB2312" w:cs="仿宋_GB2312" w:eastAsia="仿宋_GB2312"/>
                      <w:sz w:val="21"/>
                      <w:color w:val="000000"/>
                    </w:rPr>
                    <w:t>*</w:t>
                  </w:r>
                  <w:r>
                    <w:rPr>
                      <w:rFonts w:ascii="仿宋_GB2312" w:hAnsi="仿宋_GB2312" w:cs="仿宋_GB2312" w:eastAsia="仿宋_GB2312"/>
                      <w:sz w:val="21"/>
                      <w:color w:val="000000"/>
                    </w:rPr>
                    <w:t>深330mm，采用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0.7mm优质冷轧钢板板一次冲压成型;底部距开口部位52mm有12mm宽加强筋2条，开口部位方管形卷边。</w:t>
                  </w:r>
                </w:p>
                <w:p>
                  <w:pPr>
                    <w:pStyle w:val="null3"/>
                    <w:jc w:val="both"/>
                  </w:pPr>
                  <w:r>
                    <w:rPr>
                      <w:rFonts w:ascii="仿宋_GB2312" w:hAnsi="仿宋_GB2312" w:cs="仿宋_GB2312" w:eastAsia="仿宋_GB2312"/>
                      <w:sz w:val="21"/>
                      <w:color w:val="000000"/>
                    </w:rPr>
                    <w:t xml:space="preserve">4.2 </w:t>
                  </w:r>
                  <w:r>
                    <w:rPr>
                      <w:rFonts w:ascii="仿宋_GB2312" w:hAnsi="仿宋_GB2312" w:cs="仿宋_GB2312" w:eastAsia="仿宋_GB2312"/>
                      <w:sz w:val="21"/>
                      <w:color w:val="000000"/>
                    </w:rPr>
                    <w:t>书斗底板与侧板之间用铆钉连接。</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桌脚套:</w:t>
                  </w:r>
                </w:p>
                <w:p>
                  <w:pPr>
                    <w:pStyle w:val="null3"/>
                    <w:jc w:val="both"/>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采用全新高压PE工程塑料注塑一次成型，脚套长40mm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宽61mm</w:t>
                  </w:r>
                  <w:r>
                    <w:rPr>
                      <w:rFonts w:ascii="仿宋_GB2312" w:hAnsi="仿宋_GB2312" w:cs="仿宋_GB2312" w:eastAsia="仿宋_GB2312"/>
                      <w:sz w:val="21"/>
                      <w:color w:val="000000"/>
                    </w:rPr>
                    <w:t>*</w:t>
                  </w:r>
                  <w:r>
                    <w:rPr>
                      <w:rFonts w:ascii="仿宋_GB2312" w:hAnsi="仿宋_GB2312" w:cs="仿宋_GB2312" w:eastAsia="仿宋_GB2312"/>
                      <w:sz w:val="21"/>
                      <w:color w:val="000000"/>
                    </w:rPr>
                    <w:t>厚1.5mm(上部和两侧)。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与地面接触部位厚</w:t>
                  </w:r>
                  <w:r>
                    <w:rPr>
                      <w:rFonts w:ascii="仿宋_GB2312" w:hAnsi="仿宋_GB2312" w:cs="仿宋_GB2312" w:eastAsia="仿宋_GB2312"/>
                      <w:sz w:val="21"/>
                      <w:color w:val="000000"/>
                    </w:rPr>
                    <w:t>≥</w:t>
                  </w:r>
                  <w:r>
                    <w:rPr>
                      <w:rFonts w:ascii="仿宋_GB2312" w:hAnsi="仿宋_GB2312" w:cs="仿宋_GB2312" w:eastAsia="仿宋_GB2312"/>
                      <w:sz w:val="21"/>
                      <w:color w:val="000000"/>
                    </w:rPr>
                    <w:t>8mm。脚套与扁圆形钢管连接带自锁结构，安装后脚套不脱落。</w:t>
                  </w:r>
                </w:p>
                <w:p>
                  <w:pPr>
                    <w:pStyle w:val="null3"/>
                    <w:jc w:val="both"/>
                  </w:pPr>
                  <w:r>
                    <w:rPr>
                      <w:rFonts w:ascii="仿宋_GB2312" w:hAnsi="仿宋_GB2312" w:cs="仿宋_GB2312" w:eastAsia="仿宋_GB2312"/>
                      <w:sz w:val="21"/>
                      <w:color w:val="000000"/>
                    </w:rPr>
                    <w:t xml:space="preserve">5.3 </w:t>
                  </w:r>
                  <w:r>
                    <w:rPr>
                      <w:rFonts w:ascii="仿宋_GB2312" w:hAnsi="仿宋_GB2312" w:cs="仿宋_GB2312" w:eastAsia="仿宋_GB2312"/>
                      <w:sz w:val="21"/>
                      <w:color w:val="000000"/>
                    </w:rPr>
                    <w:t>底脚脚套为天蓝色。</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课桌钢制结构:</w:t>
                  </w:r>
                </w:p>
                <w:p>
                  <w:pPr>
                    <w:pStyle w:val="null3"/>
                    <w:jc w:val="both"/>
                  </w:pPr>
                  <w:r>
                    <w:rPr>
                      <w:rFonts w:ascii="仿宋_GB2312" w:hAnsi="仿宋_GB2312" w:cs="仿宋_GB2312" w:eastAsia="仿宋_GB2312"/>
                      <w:sz w:val="21"/>
                      <w:color w:val="000000"/>
                    </w:rPr>
                    <w:t xml:space="preserve">6.1 </w:t>
                  </w:r>
                  <w:r>
                    <w:rPr>
                      <w:rFonts w:ascii="仿宋_GB2312" w:hAnsi="仿宋_GB2312" w:cs="仿宋_GB2312" w:eastAsia="仿宋_GB2312"/>
                      <w:sz w:val="21"/>
                      <w:color w:val="000000"/>
                    </w:rPr>
                    <w:t>工艺各钢件做防锈处理，采用聚酯环氧粉末喷塑等应符合国家标准。钢件表面及桌金属部分需经酸洗、磷化、表面除锈。除锈后采用高压静电喷涂。</w:t>
                  </w:r>
                  <w:r>
                    <w:rPr>
                      <w:rFonts w:ascii="仿宋_GB2312" w:hAnsi="仿宋_GB2312" w:cs="仿宋_GB2312" w:eastAsia="仿宋_GB2312"/>
                      <w:sz w:val="21"/>
                      <w:color w:val="000000"/>
                    </w:rPr>
                    <w:t>此外其他焊接件之间的连接部分均应焊接（结构不需要时除外），不允许漏焊。焊接件焊接时采用二氧化碳保护焊接。焊接件焊接处应无脱焊、虚焊、焊穿、错位；焊接处应无夹渣、气孔、焊瘤、焊丝头、咬边、飞溅。</w:t>
                  </w:r>
                </w:p>
                <w:p>
                  <w:pPr>
                    <w:pStyle w:val="null3"/>
                    <w:jc w:val="both"/>
                  </w:pPr>
                  <w:r>
                    <w:rPr>
                      <w:rFonts w:ascii="仿宋_GB2312" w:hAnsi="仿宋_GB2312" w:cs="仿宋_GB2312" w:eastAsia="仿宋_GB2312"/>
                      <w:sz w:val="21"/>
                      <w:color w:val="000000"/>
                    </w:rPr>
                    <w:t xml:space="preserve">6.2 </w:t>
                  </w:r>
                  <w:r>
                    <w:rPr>
                      <w:rFonts w:ascii="仿宋_GB2312" w:hAnsi="仿宋_GB2312" w:cs="仿宋_GB2312" w:eastAsia="仿宋_GB2312"/>
                      <w:sz w:val="21"/>
                      <w:color w:val="000000"/>
                    </w:rPr>
                    <w:t>颜色为驼灰色。</w:t>
                  </w:r>
                </w:p>
                <w:p>
                  <w:pPr>
                    <w:pStyle w:val="null3"/>
                    <w:jc w:val="both"/>
                  </w:pPr>
                  <w:r>
                    <w:rPr>
                      <w:rFonts w:ascii="仿宋_GB2312" w:hAnsi="仿宋_GB2312" w:cs="仿宋_GB2312" w:eastAsia="仿宋_GB2312"/>
                      <w:sz w:val="21"/>
                      <w:color w:val="000000"/>
                    </w:rPr>
                    <w:t xml:space="preserve">6.3 </w:t>
                  </w:r>
                  <w:r>
                    <w:rPr>
                      <w:rFonts w:ascii="仿宋_GB2312" w:hAnsi="仿宋_GB2312" w:cs="仿宋_GB2312" w:eastAsia="仿宋_GB2312"/>
                      <w:sz w:val="21"/>
                      <w:color w:val="000000"/>
                    </w:rPr>
                    <w:t>所有五金件都采用防止退螺帽。</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r>
            <w:tr>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课凳</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凳面；</w:t>
                  </w:r>
                </w:p>
                <w:p>
                  <w:pPr>
                    <w:pStyle w:val="null3"/>
                    <w:jc w:val="both"/>
                  </w:pPr>
                  <w:r>
                    <w:rPr>
                      <w:rFonts w:ascii="仿宋_GB2312" w:hAnsi="仿宋_GB2312" w:cs="仿宋_GB2312" w:eastAsia="仿宋_GB2312"/>
                      <w:sz w:val="21"/>
                      <w:color w:val="000000"/>
                    </w:rPr>
                    <w:t xml:space="preserve">1.1 </w:t>
                  </w:r>
                  <w:r>
                    <w:rPr>
                      <w:rFonts w:ascii="仿宋_GB2312" w:hAnsi="仿宋_GB2312" w:cs="仿宋_GB2312" w:eastAsia="仿宋_GB2312"/>
                      <w:sz w:val="21"/>
                      <w:color w:val="000000"/>
                    </w:rPr>
                    <w:t>长 340mm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宽 240mm凳子升降高度360-420mm ，凳面基层板采用厚度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18mm 的优质多层板板四角为 R 圆弧设计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1.2 </w:t>
                  </w:r>
                  <w:r>
                    <w:rPr>
                      <w:rFonts w:ascii="仿宋_GB2312" w:hAnsi="仿宋_GB2312" w:cs="仿宋_GB2312" w:eastAsia="仿宋_GB2312"/>
                      <w:sz w:val="21"/>
                      <w:color w:val="000000"/>
                    </w:rPr>
                    <w:t>凳面颜色：白橡木色</w:t>
                  </w:r>
                  <w:r>
                    <w:rPr>
                      <w:rFonts w:ascii="仿宋_GB2312" w:hAnsi="仿宋_GB2312" w:cs="仿宋_GB2312" w:eastAsia="仿宋_GB2312"/>
                      <w:sz w:val="21"/>
                      <w:color w:val="000000"/>
                    </w:rPr>
                    <w:t>，</w:t>
                  </w:r>
                  <w:r>
                    <w:rPr>
                      <w:rFonts w:ascii="仿宋_GB2312" w:hAnsi="仿宋_GB2312" w:cs="仿宋_GB2312" w:eastAsia="仿宋_GB2312"/>
                      <w:sz w:val="21"/>
                      <w:color w:val="000000"/>
                    </w:rPr>
                    <w:t>包边颜色：蓝色</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凳子升降侧板:</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主体上部宽为183mm、下宽170mm、高185mm、折边22mm、厚度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1.0mm优质冷轧板一次模压成型升降模压件，升降孔中心距20mm-个，共7个。</w:t>
                  </w:r>
                </w:p>
                <w:p>
                  <w:pPr>
                    <w:pStyle w:val="null3"/>
                    <w:jc w:val="both"/>
                  </w:pPr>
                  <w:r>
                    <w:rPr>
                      <w:rFonts w:ascii="仿宋_GB2312" w:hAnsi="仿宋_GB2312" w:cs="仿宋_GB2312" w:eastAsia="仿宋_GB2312"/>
                      <w:sz w:val="21"/>
                      <w:color w:val="000000"/>
                    </w:rPr>
                    <w:t xml:space="preserve">2.2 </w:t>
                  </w:r>
                  <w:r>
                    <w:rPr>
                      <w:rFonts w:ascii="仿宋_GB2312" w:hAnsi="仿宋_GB2312" w:cs="仿宋_GB2312" w:eastAsia="仿宋_GB2312"/>
                      <w:sz w:val="21"/>
                      <w:color w:val="000000"/>
                    </w:rPr>
                    <w:t>4档调节，每档升降孔固定螺丝中心距为60mm,边沿及中间部分均有加强筋。</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凳腿:</w:t>
                  </w:r>
                </w:p>
                <w:p>
                  <w:pPr>
                    <w:pStyle w:val="null3"/>
                    <w:jc w:val="both"/>
                  </w:pPr>
                  <w:r>
                    <w:rPr>
                      <w:rFonts w:ascii="仿宋_GB2312" w:hAnsi="仿宋_GB2312" w:cs="仿宋_GB2312" w:eastAsia="仿宋_GB2312"/>
                      <w:sz w:val="21"/>
                      <w:color w:val="000000"/>
                    </w:rPr>
                    <w:t xml:space="preserve">3.1 </w:t>
                  </w:r>
                  <w:r>
                    <w:rPr>
                      <w:rFonts w:ascii="仿宋_GB2312" w:hAnsi="仿宋_GB2312" w:cs="仿宋_GB2312" w:eastAsia="仿宋_GB2312"/>
                      <w:sz w:val="21"/>
                      <w:color w:val="000000"/>
                    </w:rPr>
                    <w:t>凳底横腿采用冷轧20mm*50mm*1.5mm，底腿长250mm。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3.2 </w:t>
                  </w:r>
                  <w:r>
                    <w:rPr>
                      <w:rFonts w:ascii="仿宋_GB2312" w:hAnsi="仿宋_GB2312" w:cs="仿宋_GB2312" w:eastAsia="仿宋_GB2312"/>
                      <w:sz w:val="21"/>
                      <w:color w:val="000000"/>
                    </w:rPr>
                    <w:t>底腿双立柱高260mm,双立柱间距为100mm，两侧双立柱之间距地面100mm处用长270mm扁圆形钢管20mm*50mm*1.5mm双杠连接</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凳脚套:</w:t>
                  </w:r>
                </w:p>
                <w:p>
                  <w:pPr>
                    <w:pStyle w:val="null3"/>
                    <w:jc w:val="both"/>
                  </w:pPr>
                  <w:r>
                    <w:rPr>
                      <w:rFonts w:ascii="仿宋_GB2312" w:hAnsi="仿宋_GB2312" w:cs="仿宋_GB2312" w:eastAsia="仿宋_GB2312"/>
                      <w:sz w:val="21"/>
                      <w:color w:val="000000"/>
                    </w:rPr>
                    <w:t xml:space="preserve">4.1 </w:t>
                  </w:r>
                  <w:r>
                    <w:rPr>
                      <w:rFonts w:ascii="仿宋_GB2312" w:hAnsi="仿宋_GB2312" w:cs="仿宋_GB2312" w:eastAsia="仿宋_GB2312"/>
                      <w:sz w:val="21"/>
                      <w:color w:val="000000"/>
                    </w:rPr>
                    <w:t>采用全新高压PE工程塑料注塑一次成型，脚套长40mm</w:t>
                  </w:r>
                  <w:r>
                    <w:rPr>
                      <w:rFonts w:ascii="仿宋_GB2312" w:hAnsi="仿宋_GB2312" w:cs="仿宋_GB2312" w:eastAsia="仿宋_GB2312"/>
                      <w:sz w:val="21"/>
                      <w:color w:val="000000"/>
                    </w:rPr>
                    <w:t>*</w:t>
                  </w:r>
                  <w:r>
                    <w:rPr>
                      <w:rFonts w:ascii="仿宋_GB2312" w:hAnsi="仿宋_GB2312" w:cs="仿宋_GB2312" w:eastAsia="仿宋_GB2312"/>
                      <w:sz w:val="21"/>
                      <w:color w:val="000000"/>
                    </w:rPr>
                    <w:t>宽61mm</w:t>
                  </w:r>
                  <w:r>
                    <w:rPr>
                      <w:rFonts w:ascii="仿宋_GB2312" w:hAnsi="仿宋_GB2312" w:cs="仿宋_GB2312" w:eastAsia="仿宋_GB2312"/>
                      <w:sz w:val="21"/>
                      <w:color w:val="000000"/>
                    </w:rPr>
                    <w:t>*</w:t>
                  </w:r>
                  <w:r>
                    <w:rPr>
                      <w:rFonts w:ascii="仿宋_GB2312" w:hAnsi="仿宋_GB2312" w:cs="仿宋_GB2312" w:eastAsia="仿宋_GB2312"/>
                      <w:sz w:val="21"/>
                      <w:color w:val="000000"/>
                    </w:rPr>
                    <w:t>厚1.5mm(上部和两侧)与地面接触部位厚</w:t>
                  </w:r>
                  <w:r>
                    <w:rPr>
                      <w:rFonts w:ascii="仿宋_GB2312" w:hAnsi="仿宋_GB2312" w:cs="仿宋_GB2312" w:eastAsia="仿宋_GB2312"/>
                      <w:sz w:val="21"/>
                      <w:color w:val="000000"/>
                    </w:rPr>
                    <w:t>≥</w:t>
                  </w:r>
                  <w:r>
                    <w:rPr>
                      <w:rFonts w:ascii="仿宋_GB2312" w:hAnsi="仿宋_GB2312" w:cs="仿宋_GB2312" w:eastAsia="仿宋_GB2312"/>
                      <w:sz w:val="21"/>
                      <w:color w:val="000000"/>
                    </w:rPr>
                    <w:t>9mm。</w:t>
                  </w:r>
                </w:p>
                <w:p>
                  <w:pPr>
                    <w:pStyle w:val="null3"/>
                    <w:jc w:val="both"/>
                  </w:pPr>
                  <w:r>
                    <w:rPr>
                      <w:rFonts w:ascii="仿宋_GB2312" w:hAnsi="仿宋_GB2312" w:cs="仿宋_GB2312" w:eastAsia="仿宋_GB2312"/>
                      <w:sz w:val="21"/>
                      <w:color w:val="000000"/>
                    </w:rPr>
                    <w:t xml:space="preserve">4.2 </w:t>
                  </w:r>
                  <w:r>
                    <w:rPr>
                      <w:rFonts w:ascii="仿宋_GB2312" w:hAnsi="仿宋_GB2312" w:cs="仿宋_GB2312" w:eastAsia="仿宋_GB2312"/>
                      <w:sz w:val="21"/>
                      <w:color w:val="000000"/>
                    </w:rPr>
                    <w:t>脚套与扁圆形钢管连接带自锁结构，安装后脚套不脱落。</w:t>
                  </w:r>
                </w:p>
                <w:p>
                  <w:pPr>
                    <w:pStyle w:val="null3"/>
                    <w:jc w:val="both"/>
                  </w:pPr>
                  <w:r>
                    <w:rPr>
                      <w:rFonts w:ascii="仿宋_GB2312" w:hAnsi="仿宋_GB2312" w:cs="仿宋_GB2312" w:eastAsia="仿宋_GB2312"/>
                      <w:sz w:val="21"/>
                      <w:color w:val="000000"/>
                    </w:rPr>
                    <w:t xml:space="preserve">4.3 </w:t>
                  </w:r>
                  <w:r>
                    <w:rPr>
                      <w:rFonts w:ascii="仿宋_GB2312" w:hAnsi="仿宋_GB2312" w:cs="仿宋_GB2312" w:eastAsia="仿宋_GB2312"/>
                      <w:sz w:val="21"/>
                      <w:color w:val="000000"/>
                    </w:rPr>
                    <w:t>底脚脚套为天蓝色。</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课凳钢制结构:</w:t>
                  </w:r>
                </w:p>
                <w:p>
                  <w:pPr>
                    <w:pStyle w:val="null3"/>
                    <w:jc w:val="both"/>
                  </w:pPr>
                  <w:r>
                    <w:rPr>
                      <w:rFonts w:ascii="仿宋_GB2312" w:hAnsi="仿宋_GB2312" w:cs="仿宋_GB2312" w:eastAsia="仿宋_GB2312"/>
                      <w:sz w:val="21"/>
                      <w:color w:val="000000"/>
                    </w:rPr>
                    <w:t xml:space="preserve">5.1 </w:t>
                  </w:r>
                  <w:r>
                    <w:rPr>
                      <w:rFonts w:ascii="仿宋_GB2312" w:hAnsi="仿宋_GB2312" w:cs="仿宋_GB2312" w:eastAsia="仿宋_GB2312"/>
                      <w:sz w:val="21"/>
                      <w:color w:val="000000"/>
                    </w:rPr>
                    <w:t>工艺各钢件做防锈处理，采用聚酯环氧粉末喷塑等应符合国家标准。钢件表面及凳金属部分需经酸洗、磷化、表面除锈。</w:t>
                  </w:r>
                </w:p>
                <w:p>
                  <w:pPr>
                    <w:pStyle w:val="null3"/>
                    <w:jc w:val="both"/>
                  </w:pPr>
                  <w:r>
                    <w:rPr>
                      <w:rFonts w:ascii="仿宋_GB2312" w:hAnsi="仿宋_GB2312" w:cs="仿宋_GB2312" w:eastAsia="仿宋_GB2312"/>
                      <w:sz w:val="21"/>
                      <w:color w:val="000000"/>
                    </w:rPr>
                    <w:t xml:space="preserve">5.2 </w:t>
                  </w:r>
                  <w:r>
                    <w:rPr>
                      <w:rFonts w:ascii="仿宋_GB2312" w:hAnsi="仿宋_GB2312" w:cs="仿宋_GB2312" w:eastAsia="仿宋_GB2312"/>
                      <w:sz w:val="21"/>
                      <w:color w:val="000000"/>
                    </w:rPr>
                    <w:t>除锈后采用高压静电喷涂。</w:t>
                  </w:r>
                  <w:r>
                    <w:rPr>
                      <w:rFonts w:ascii="仿宋_GB2312" w:hAnsi="仿宋_GB2312" w:cs="仿宋_GB2312" w:eastAsia="仿宋_GB2312"/>
                      <w:sz w:val="21"/>
                      <w:color w:val="000000"/>
                    </w:rPr>
                    <w:t>其他焊接件之间的连接部分均应焊接（结构不需要时除外），不允许漏焊。焊接件焊接时采用二氧化碳保护焊接。焊接件焊接处应无脱焊、虚焊、焊穿、错位；焊接处应无夹渣、气孔、焊瘤、焊丝头、咬边、飞溅。</w:t>
                  </w:r>
                </w:p>
                <w:p>
                  <w:pPr>
                    <w:pStyle w:val="null3"/>
                    <w:jc w:val="both"/>
                  </w:pPr>
                  <w:r>
                    <w:rPr>
                      <w:rFonts w:ascii="仿宋_GB2312" w:hAnsi="仿宋_GB2312" w:cs="仿宋_GB2312" w:eastAsia="仿宋_GB2312"/>
                      <w:sz w:val="21"/>
                      <w:color w:val="000000"/>
                    </w:rPr>
                    <w:t xml:space="preserve">5.3 </w:t>
                  </w:r>
                  <w:r>
                    <w:rPr>
                      <w:rFonts w:ascii="仿宋_GB2312" w:hAnsi="仿宋_GB2312" w:cs="仿宋_GB2312" w:eastAsia="仿宋_GB2312"/>
                      <w:sz w:val="21"/>
                      <w:color w:val="000000"/>
                    </w:rPr>
                    <w:t>颜</w:t>
                  </w:r>
                  <w:r>
                    <w:rPr>
                      <w:rFonts w:ascii="仿宋_GB2312" w:hAnsi="仿宋_GB2312" w:cs="仿宋_GB2312" w:eastAsia="仿宋_GB2312"/>
                      <w:sz w:val="21"/>
                      <w:color w:val="000000"/>
                    </w:rPr>
                    <w:t>色为驼灰色。</w:t>
                  </w:r>
                </w:p>
                <w:p>
                  <w:pPr>
                    <w:pStyle w:val="null3"/>
                    <w:jc w:val="both"/>
                  </w:pPr>
                  <w:r>
                    <w:rPr>
                      <w:rFonts w:ascii="仿宋_GB2312" w:hAnsi="仿宋_GB2312" w:cs="仿宋_GB2312" w:eastAsia="仿宋_GB2312"/>
                      <w:sz w:val="21"/>
                      <w:color w:val="000000"/>
                    </w:rPr>
                    <w:t xml:space="preserve">5.4 </w:t>
                  </w:r>
                  <w:r>
                    <w:rPr>
                      <w:rFonts w:ascii="仿宋_GB2312" w:hAnsi="仿宋_GB2312" w:cs="仿宋_GB2312" w:eastAsia="仿宋_GB2312"/>
                      <w:sz w:val="21"/>
                      <w:color w:val="000000"/>
                    </w:rPr>
                    <w:t>所有五金件都采用防止退螺帽。</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w:t>
                  </w:r>
                </w:p>
                <w:p>
                  <w:pPr>
                    <w:pStyle w:val="null3"/>
                    <w:jc w:val="center"/>
                  </w:pPr>
                </w:p>
              </w:tc>
            </w:tr>
          </w:tbl>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备注：</w:t>
            </w:r>
          </w:p>
          <w:p>
            <w:pPr>
              <w:pStyle w:val="null3"/>
              <w:jc w:val="both"/>
            </w:pPr>
            <w:r>
              <w:rPr>
                <w:rFonts w:ascii="仿宋_GB2312" w:hAnsi="仿宋_GB2312" w:cs="仿宋_GB2312" w:eastAsia="仿宋_GB2312"/>
                <w:sz w:val="21"/>
              </w:rPr>
              <w:t>1.按采购需求要求提供 1 套成品样品。</w:t>
            </w:r>
          </w:p>
          <w:p>
            <w:pPr>
              <w:pStyle w:val="null3"/>
              <w:jc w:val="both"/>
            </w:pPr>
            <w:r>
              <w:rPr>
                <w:rFonts w:ascii="仿宋_GB2312" w:hAnsi="仿宋_GB2312" w:cs="仿宋_GB2312" w:eastAsia="仿宋_GB2312"/>
                <w:sz w:val="21"/>
              </w:rPr>
              <w:t>2.提供样品须与所投产品款式、用料、质量一致。</w:t>
            </w:r>
          </w:p>
          <w:p>
            <w:pPr>
              <w:pStyle w:val="null3"/>
              <w:jc w:val="both"/>
            </w:pPr>
            <w:r>
              <w:rPr>
                <w:rFonts w:ascii="仿宋_GB2312" w:hAnsi="仿宋_GB2312" w:cs="仿宋_GB2312" w:eastAsia="仿宋_GB2312"/>
                <w:sz w:val="21"/>
              </w:rPr>
              <w:t>3.不允许提供备选样品。</w:t>
            </w:r>
          </w:p>
          <w:p>
            <w:pPr>
              <w:pStyle w:val="null3"/>
              <w:jc w:val="both"/>
            </w:pPr>
            <w:r>
              <w:rPr>
                <w:rFonts w:ascii="仿宋_GB2312" w:hAnsi="仿宋_GB2312" w:cs="仿宋_GB2312" w:eastAsia="仿宋_GB2312"/>
                <w:sz w:val="21"/>
              </w:rPr>
              <w:t>4.样品要求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1）样品递交时应统一密封装箱、封存完好，箱内装有所有样品的详细清单。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2）箱体内每件样品应注明</w:t>
            </w:r>
            <w:r>
              <w:rPr>
                <w:rFonts w:ascii="仿宋_GB2312" w:hAnsi="仿宋_GB2312" w:cs="仿宋_GB2312" w:eastAsia="仿宋_GB2312"/>
                <w:sz w:val="21"/>
              </w:rPr>
              <w:t>供应商</w:t>
            </w:r>
            <w:r>
              <w:rPr>
                <w:rFonts w:ascii="仿宋_GB2312" w:hAnsi="仿宋_GB2312" w:cs="仿宋_GB2312" w:eastAsia="仿宋_GB2312"/>
                <w:sz w:val="21"/>
              </w:rPr>
              <w:t>及样品名称。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3）箱体外包装应注明：</w:t>
            </w:r>
            <w:r>
              <w:rPr>
                <w:rFonts w:ascii="仿宋_GB2312" w:hAnsi="仿宋_GB2312" w:cs="仿宋_GB2312" w:eastAsia="仿宋_GB2312"/>
                <w:sz w:val="21"/>
              </w:rPr>
              <w:t>供应商</w:t>
            </w:r>
            <w:r>
              <w:rPr>
                <w:rFonts w:ascii="仿宋_GB2312" w:hAnsi="仿宋_GB2312" w:cs="仿宋_GB2312" w:eastAsia="仿宋_GB2312"/>
                <w:sz w:val="21"/>
              </w:rPr>
              <w:t>、项目名称、项目编号、样品数量。</w:t>
            </w:r>
          </w:p>
          <w:p>
            <w:pPr>
              <w:pStyle w:val="null3"/>
              <w:jc w:val="both"/>
            </w:pPr>
            <w:r>
              <w:rPr>
                <w:rFonts w:ascii="仿宋_GB2312" w:hAnsi="仿宋_GB2312" w:cs="仿宋_GB2312" w:eastAsia="仿宋_GB2312"/>
                <w:sz w:val="21"/>
              </w:rPr>
              <w:t>5.提交样品截止时间：</w:t>
            </w:r>
            <w:r>
              <w:rPr>
                <w:rFonts w:ascii="仿宋_GB2312" w:hAnsi="仿宋_GB2312" w:cs="仿宋_GB2312" w:eastAsia="仿宋_GB2312"/>
                <w:sz w:val="21"/>
              </w:rPr>
              <w:t>投标截止日前</w:t>
            </w:r>
          </w:p>
          <w:p>
            <w:pPr>
              <w:pStyle w:val="null3"/>
            </w:pPr>
            <w:r>
              <w:rPr>
                <w:rFonts w:ascii="仿宋_GB2312" w:hAnsi="仿宋_GB2312" w:cs="仿宋_GB2312" w:eastAsia="仿宋_GB2312"/>
                <w:sz w:val="21"/>
              </w:rPr>
              <w:t>6.样品递交地点：陕西盛典日工程咨询有限公司</w:t>
            </w:r>
            <w:r>
              <w:rPr>
                <w:rFonts w:ascii="仿宋_GB2312" w:hAnsi="仿宋_GB2312" w:cs="仿宋_GB2312" w:eastAsia="仿宋_GB2312"/>
                <w:sz w:val="21"/>
              </w:rPr>
              <w:t>（</w:t>
            </w:r>
            <w:r>
              <w:rPr>
                <w:rFonts w:ascii="仿宋_GB2312" w:hAnsi="仿宋_GB2312" w:cs="仿宋_GB2312" w:eastAsia="仿宋_GB2312"/>
                <w:sz w:val="21"/>
              </w:rPr>
              <w:t>地址：陕西省渭南市临渭区渭南市临渭区仓程路北段碧桂园翡翠公馆</w:t>
            </w:r>
            <w:r>
              <w:rPr>
                <w:rFonts w:ascii="仿宋_GB2312" w:hAnsi="仿宋_GB2312" w:cs="仿宋_GB2312" w:eastAsia="仿宋_GB2312"/>
                <w:sz w:val="21"/>
              </w:rPr>
              <w:t>12幢商铺2层单元202号户</w:t>
            </w:r>
            <w:r>
              <w:rPr>
                <w:rFonts w:ascii="仿宋_GB2312" w:hAnsi="仿宋_GB2312" w:cs="仿宋_GB2312" w:eastAsia="仿宋_GB2312"/>
                <w:sz w:val="21"/>
              </w:rPr>
              <w:t>）</w:t>
            </w:r>
          </w:p>
          <w:p>
            <w:pPr>
              <w:pStyle w:val="null3"/>
            </w:pPr>
            <w:r>
              <w:rPr>
                <w:rFonts w:ascii="仿宋_GB2312" w:hAnsi="仿宋_GB2312" w:cs="仿宋_GB2312" w:eastAsia="仿宋_GB2312"/>
                <w:sz w:val="21"/>
              </w:rPr>
              <w:t>7.样品退还：评标结束后，由采购人将所有样品统一封存保管。中标公告发布后一周内，未中标人被授权代表携带本公司法人授权委托书及本人身份证自行联系采购人自取，逾期未取，样品不予保留。中标人样品由采购人保存并作为验收的依据，待项目验收合格后退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自合同签定日后30日历日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进度款，货物全部运到采购人指定地方，安装完毕并经终验合格后，卖方持《终验合格单》原件在买方处办理百分之九十五（95%）货款的支付手续，达到付款条件起7个工作日内，支付合同总金额的95.0%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进度款，本项目经审计部门审计后，支付剩余货款，达到付款条件起7个工作日内，支付合同总金额的5.0%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由采购人和供应商共同对项目整体进行验收。其内容包括确认产品的产地、规格、型号和数量，对其产品技术指标、性能参数是否达到现行国家有关验收规范“合格”标准进行逐项检查。 1.所验产品的指标、性能参数通过验收达不到招标文件要求和招标响应文件承诺的，或在使用中发现采购人不能容忍的缺陷等，将视为产品验收不合格，供应商应无条件免费更换或退货。 2.若发现供应商有弄虚作假的，在招标阶段故意或随意夸大产品技术性能，供应商应无条件退货，并赔偿采购人相应的损失。 3.验收标准：按招标文件、招标响应文件及澄清函等技术指标进行验收。各项指标均应符合验收标准及要求。 4.验收合格后，填写验收单，双方签字生效。 5.验收依据： a)合同文本； b)公开招标响应文件及澄清函、公开招标文件； c)国家和行业制定的相应的标准和规范。 d)产品验收清单（注明品名、数量、规格和原产地或生产厂家）。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一、质量标准： 符合国家现行技术规范和标准，达到合格要求。 二、其他要求： 1）供应商应设有可承担维修职能的公司、全资分公司或办事处，并驻守多名维护技术人员，并提供地点、联系人（常驻工程师）及联系电话（服务热线），随时解答各种疑问（需提供相关证明材料）。 2）供应商应提供派驻的维护技术人员的数量、构成、能力、资质等情况。 3）服务方式:现场服务，整体验收合格后质量保证期为不低于1年。在质量保证期内发生故障，维修响应时间≤2小时，维修工程师抵达现场时间≤12小时。修理费用由供应商负责。 4）所提供的服务内容应严格按国家最新发布的规范标准执行，符合采购人要求，如发生质量问题由供应商承担全部责任。 5）供应商应承诺的质保期、维保期的售后服务条款（包括具体的服务内容、故障响应时间、响应方式、维修措施及时限、维护响应计划等方面），未提供任何质保期、维保期的售后服务条款或提供的内容不实的以不满足招标文件要求对待；供应商可视自身能力在招标响应文件中提供更优、更合理的售后服务承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 未按合同或招标文件要求提供的产品或者服务，质量不能满足采购人技术要求，采购单位有权终止合同，甚至对供应商违约行为进行追究。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成交）供应商在中标（成交）结果公告发布后3个工作日内，向招标代理公司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供应商为本项目提供的资格证明文件.docx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需提供投标保证金缴纳凭证</w:t>
            </w:r>
          </w:p>
        </w:tc>
        <w:tc>
          <w:tcPr>
            <w:tcW w:type="dxa" w:w="1661"/>
          </w:tcPr>
          <w:p>
            <w:pPr>
              <w:pStyle w:val="null3"/>
            </w:pPr>
            <w:r>
              <w:rPr>
                <w:rFonts w:ascii="仿宋_GB2312" w:hAnsi="仿宋_GB2312" w:cs="仿宋_GB2312" w:eastAsia="仿宋_GB2312"/>
              </w:rPr>
              <w:t>供应商为本项目提供的资格证明文件.docx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供应商应为具有独立承担民事责任的能力且具备向采购人提供相关货物及服务的企业法人、事业法人、其他组织或者自然人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的财务审计报告（至少包括资产负债表和利润表，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无控股承诺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在“信用中国”（www.creditchina.gov.cn）网站被列为失信被执行人和重大税收违法失信主体，且无不良记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供应商为本项目提供的资格证明文件.docx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陕西省政府采购供应商拒绝政府采购领域商业贿赂承诺书.docx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开标一览表1.docx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投标方案.docx 中小企业声明函 商务应答表 供应商为本项目提供的资格证明文件.docx 产品技术参数表 分项报价表.docx 开标一览表1.docx 投标函 残疾人福利性单位声明函 标的清单 投标文件封面 非强制节能、环境标志产品清单.docx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投标方案.docx 中小企业声明函 商务应答表 供应商为本项目提供的资格证明文件.docx 产品技术参数表 分项报价表.docx 开标一览表1.docx 投标函 残疾人福利性单位声明函 标的清单 投标文件封面 非强制节能、环境标志产品清单.docx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只能有一个有效报价，不得提交选择性报价，且报价不超过最高限价（含单价）</w:t>
            </w:r>
          </w:p>
        </w:tc>
        <w:tc>
          <w:tcPr>
            <w:tcW w:type="dxa" w:w="1661"/>
          </w:tcPr>
          <w:p>
            <w:pPr>
              <w:pStyle w:val="null3"/>
            </w:pPr>
            <w:r>
              <w:rPr>
                <w:rFonts w:ascii="仿宋_GB2312" w:hAnsi="仿宋_GB2312" w:cs="仿宋_GB2312" w:eastAsia="仿宋_GB2312"/>
              </w:rPr>
              <w:t>开标一览表 分项报价表.docx 开标一览表1.docx 商务应答表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交货期限</w:t>
            </w:r>
          </w:p>
        </w:tc>
        <w:tc>
          <w:tcPr>
            <w:tcW w:type="dxa" w:w="3322"/>
          </w:tcPr>
          <w:p>
            <w:pPr>
              <w:pStyle w:val="null3"/>
            </w:pPr>
            <w:r>
              <w:rPr>
                <w:rFonts w:ascii="仿宋_GB2312" w:hAnsi="仿宋_GB2312" w:cs="仿宋_GB2312" w:eastAsia="仿宋_GB2312"/>
              </w:rPr>
              <w:t>应满足招标文件中要求的交货期限</w:t>
            </w:r>
          </w:p>
        </w:tc>
        <w:tc>
          <w:tcPr>
            <w:tcW w:type="dxa" w:w="1661"/>
          </w:tcPr>
          <w:p>
            <w:pPr>
              <w:pStyle w:val="null3"/>
            </w:pPr>
            <w:r>
              <w:rPr>
                <w:rFonts w:ascii="仿宋_GB2312" w:hAnsi="仿宋_GB2312" w:cs="仿宋_GB2312" w:eastAsia="仿宋_GB2312"/>
              </w:rPr>
              <w:t>开标一览表 开标一览表1.docx 投标函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应满足招标文件中要求的质保期限</w:t>
            </w:r>
          </w:p>
        </w:tc>
        <w:tc>
          <w:tcPr>
            <w:tcW w:type="dxa" w:w="1661"/>
          </w:tcPr>
          <w:p>
            <w:pPr>
              <w:pStyle w:val="null3"/>
            </w:pPr>
            <w:r>
              <w:rPr>
                <w:rFonts w:ascii="仿宋_GB2312" w:hAnsi="仿宋_GB2312" w:cs="仿宋_GB2312" w:eastAsia="仿宋_GB2312"/>
              </w:rPr>
              <w:t>开标一览表 开标一览表1.docx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分项报价表.docx 开标一览表1.docx 投标函 商务应答表 标的清单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供应商所投产品技术参数清楚、明确并能逐条响应并满足招标文件参数表中所有参数要求，得30分。 标“▲”项为重要参数，负偏离一项扣3分；非“▲”号技术参数负偏离一项扣1分，扣完为止。标“▲”项在产品技术参数表“备注”栏中标明证明材料的页码；无证明材料支持视为负偏离。 （注：1、证明材料提供技术支持资料，包括但不限于检测报告、官网和功能截图、彩页、说明书等相关资料2、“★”的参数需求为实质性要求，供应商必须响应并满足的参数需求。）</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针对本项目提供项目实施方案，包括但不限于：①供货方案；②管理制度；③供货组织架构与人员安排；④安装材料、物力调配及保障措施等。二、评审标准：提供详细、合理、科学可行的方案，方案符合本项目采购需求有针对性，以上4项，以序号①、②、③、④为项数，内容无缺项、无漏项且无缺陷的得4分，其中每有一项内容存在缺项或漏项的扣1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一、评审内容：针对本项目的质量保障措施包含不限于：①提供货物的合法来源渠道证明文件（包括但不限于：产品制造商授权、销售协议、代理协议等证明文件）；②质量保障措施及承诺；③交货及安装时间。 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一、评审内容：提供项目售后服务方案。包含不限于：①产品质量问题退换货及补救措施；②售后服务机构组成；③售后服务响应时间； 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评审内容：根据供应商提供的样品质量、材质、外观与款式、工艺等四项进行综合评判，每项得【0-1】分，共计4分。未提供或提供样品不全不得分。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一、评审内容：对招标文件要求的交货期、质保期、付款方式、验收等商务要求进行详细说明， 二、评审标准：1.质保期在满足招标文件要求的基础上，每增加1年得1分，满分2分。2.交货期在满足招标文件要求基础上，每提前5个日历天得1分，满分2分。 其余商务要求优于招标文件要求的加2分。完全响应招标文件的不加分。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开标一览表1.docx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供应商提供的投标产品中每有一项节能产品(已列入节能产品政府采购品目清单且非强制采购产品)为经国家认证的得 2 分，每有一项环境标志产品（已列入环境标志产品政府采购品目清单）为经国家认证的得 1 分。满分4分。 （以经国家确定的认证机构出具的、处于有效期内的节能产品、环境标志产品认证证书为准。）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拟投入本项目的人员配置合理和岗位职责划分明确。二、评审标准：针对本项目拟投入人员，每提供1个人员得2分。（配送司机提供驾驶证、身份证，其余服务人员提供包括但不限于身份证）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报价分统一按下列公式计算：投标报价得分=(评标基准价／投标报价)×价格权值（30%）×100（四舍五入后保留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详见附件：非强制节能、环境标志产品清单.docx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详见附件：供应商为本项目提供的资格证明文件.docx</w:t>
      </w:r>
    </w:p>
    <w:p>
      <w:pPr>
        <w:pStyle w:val="null3"/>
        <w:ind w:firstLine="960"/>
      </w:pPr>
      <w:r>
        <w:rPr>
          <w:rFonts w:ascii="仿宋_GB2312" w:hAnsi="仿宋_GB2312" w:cs="仿宋_GB2312" w:eastAsia="仿宋_GB2312"/>
        </w:rPr>
        <w:t>详见附件：开标一览表1.docx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