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2F508C">
      <w:pPr>
        <w:spacing w:before="206" w:line="219" w:lineRule="auto"/>
        <w:ind w:left="1825"/>
        <w:rPr>
          <w:rFonts w:ascii="宋体" w:hAnsi="宋体" w:eastAsia="宋体" w:cs="宋体"/>
          <w:b/>
          <w:bCs/>
          <w:color w:val="auto"/>
          <w:sz w:val="31"/>
          <w:szCs w:val="31"/>
        </w:rPr>
      </w:pPr>
      <w:r>
        <w:rPr>
          <w:rFonts w:hint="eastAsia" w:ascii="仿宋_GB2312" w:hAnsi="仿宋_GB2312" w:eastAsia="仿宋_GB2312" w:cs="仿宋_GB2312"/>
          <w:lang w:val="en-US" w:eastAsia="zh-CN"/>
        </w:rPr>
        <w:t>1</w:t>
      </w:r>
      <w:r>
        <w:rPr>
          <w:rFonts w:ascii="仿宋_GB2312" w:hAnsi="仿宋_GB2312" w:eastAsia="仿宋_GB2312" w:cs="仿宋_GB2312"/>
        </w:rPr>
        <w:t>、供应商提供《基本资格条件承诺函》</w:t>
      </w:r>
      <w:r>
        <w:rPr>
          <w:rFonts w:ascii="仿宋_GB2312" w:hAnsi="仿宋_GB2312" w:eastAsia="仿宋_GB2312" w:cs="仿宋_GB2312"/>
        </w:rPr>
        <w:br w:type="textWrapping"/>
      </w:r>
      <w:r>
        <w:rPr>
          <w:rFonts w:ascii="宋体" w:hAnsi="宋体" w:eastAsia="宋体" w:cs="宋体"/>
          <w:b/>
          <w:bCs/>
          <w:color w:val="auto"/>
          <w:spacing w:val="6"/>
          <w:sz w:val="31"/>
          <w:szCs w:val="31"/>
        </w:rPr>
        <w:t>基本资格条件承诺函</w:t>
      </w:r>
    </w:p>
    <w:p w14:paraId="24109616">
      <w:pPr>
        <w:spacing w:line="313" w:lineRule="auto"/>
        <w:rPr>
          <w:rFonts w:ascii="Arial"/>
          <w:sz w:val="21"/>
        </w:rPr>
      </w:pPr>
    </w:p>
    <w:p w14:paraId="0D0F4DAD">
      <w:pPr>
        <w:spacing w:line="314" w:lineRule="auto"/>
        <w:rPr>
          <w:rFonts w:hint="eastAsia" w:asciiTheme="majorEastAsia" w:hAnsiTheme="majorEastAsia" w:eastAsiaTheme="majorEastAsia" w:cstheme="majorEastAsia"/>
          <w:sz w:val="24"/>
          <w:szCs w:val="24"/>
        </w:rPr>
      </w:pPr>
    </w:p>
    <w:p w14:paraId="181C3C6A">
      <w:pPr>
        <w:pStyle w:val="4"/>
        <w:spacing w:before="91" w:line="221" w:lineRule="auto"/>
        <w:ind w:left="15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27"/>
          <w:sz w:val="24"/>
          <w:szCs w:val="24"/>
        </w:rPr>
        <w:t>致</w:t>
      </w:r>
      <w:r>
        <w:rPr>
          <w:rFonts w:hint="eastAsia" w:asciiTheme="majorEastAsia" w:hAnsiTheme="majorEastAsia" w:eastAsiaTheme="majorEastAsia" w:cstheme="majorEastAsia"/>
          <w:spacing w:val="87"/>
          <w:sz w:val="24"/>
          <w:szCs w:val="24"/>
        </w:rPr>
        <w:t xml:space="preserve"> </w:t>
      </w:r>
      <w:r>
        <w:rPr>
          <w:rFonts w:hint="eastAsia" w:asciiTheme="majorEastAsia" w:hAnsiTheme="majorEastAsia" w:eastAsiaTheme="majorEastAsia" w:cstheme="majorEastAsia"/>
          <w:spacing w:val="3"/>
          <w:sz w:val="24"/>
          <w:szCs w:val="24"/>
          <w:u w:val="single" w:color="auto"/>
        </w:rPr>
        <w:t xml:space="preserve">                </w:t>
      </w:r>
      <w:r>
        <w:rPr>
          <w:rFonts w:hint="eastAsia" w:asciiTheme="majorEastAsia" w:hAnsiTheme="majorEastAsia" w:eastAsiaTheme="majorEastAsia" w:cstheme="majorEastAsia"/>
          <w:spacing w:val="27"/>
          <w:sz w:val="24"/>
          <w:szCs w:val="24"/>
        </w:rPr>
        <w:t xml:space="preserve"> (采购代理机构名称):</w:t>
      </w:r>
    </w:p>
    <w:p w14:paraId="73193AB9">
      <w:pPr>
        <w:pStyle w:val="4"/>
        <w:tabs>
          <w:tab w:val="left" w:pos="3251"/>
        </w:tabs>
        <w:spacing w:before="214" w:line="220" w:lineRule="auto"/>
        <w:ind w:left="63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u w:val="single" w:color="auto"/>
        </w:rPr>
        <w:tab/>
      </w:r>
      <w:r>
        <w:rPr>
          <w:rFonts w:hint="eastAsia" w:asciiTheme="majorEastAsia" w:hAnsiTheme="majorEastAsia" w:eastAsiaTheme="majorEastAsia" w:cstheme="majorEastAsia"/>
          <w:spacing w:val="-10"/>
          <w:sz w:val="24"/>
          <w:szCs w:val="24"/>
        </w:rPr>
        <w:t xml:space="preserve"> </w:t>
      </w:r>
      <w:r>
        <w:rPr>
          <w:rFonts w:hint="eastAsia" w:asciiTheme="majorEastAsia" w:hAnsiTheme="majorEastAsia" w:eastAsiaTheme="majorEastAsia" w:cstheme="majorEastAsia"/>
          <w:spacing w:val="29"/>
          <w:sz w:val="24"/>
          <w:szCs w:val="24"/>
        </w:rPr>
        <w:t>(投标人名称)郑重承诺：</w:t>
      </w:r>
    </w:p>
    <w:p w14:paraId="2CB8E067">
      <w:pPr>
        <w:pStyle w:val="4"/>
        <w:spacing w:before="171" w:line="296" w:lineRule="auto"/>
        <w:ind w:left="150" w:right="364" w:firstLine="59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12"/>
          <w:sz w:val="24"/>
          <w:szCs w:val="24"/>
        </w:rPr>
        <w:t>1.</w:t>
      </w:r>
      <w:r>
        <w:rPr>
          <w:rFonts w:hint="eastAsia" w:asciiTheme="majorEastAsia" w:hAnsiTheme="majorEastAsia" w:eastAsiaTheme="majorEastAsia" w:cstheme="majorEastAsia"/>
          <w:spacing w:val="38"/>
          <w:sz w:val="24"/>
          <w:szCs w:val="24"/>
        </w:rPr>
        <w:t xml:space="preserve"> </w:t>
      </w:r>
      <w:r>
        <w:rPr>
          <w:rFonts w:hint="eastAsia" w:asciiTheme="majorEastAsia" w:hAnsiTheme="majorEastAsia" w:eastAsiaTheme="majorEastAsia" w:cstheme="majorEastAsia"/>
          <w:spacing w:val="12"/>
          <w:sz w:val="24"/>
          <w:szCs w:val="24"/>
        </w:rPr>
        <w:t>我方具有良好的商业信誉和健全的财务会计制度，具</w:t>
      </w:r>
      <w:r>
        <w:rPr>
          <w:rFonts w:hint="eastAsia" w:asciiTheme="majorEastAsia" w:hAnsiTheme="majorEastAsia" w:eastAsiaTheme="majorEastAsia" w:cstheme="majorEastAsia"/>
          <w:sz w:val="24"/>
          <w:szCs w:val="24"/>
        </w:rPr>
        <w:t xml:space="preserve"> </w:t>
      </w:r>
      <w:r>
        <w:rPr>
          <w:rFonts w:hint="eastAsia" w:asciiTheme="majorEastAsia" w:hAnsiTheme="majorEastAsia" w:eastAsiaTheme="majorEastAsia" w:cstheme="majorEastAsia"/>
          <w:spacing w:val="14"/>
          <w:sz w:val="24"/>
          <w:szCs w:val="24"/>
        </w:rPr>
        <w:t>有履行合同所必需的设备和专业技术能力，具有依法缴纳税</w:t>
      </w:r>
      <w:r>
        <w:rPr>
          <w:rFonts w:hint="eastAsia" w:asciiTheme="majorEastAsia" w:hAnsiTheme="majorEastAsia" w:eastAsiaTheme="majorEastAsia" w:cstheme="majorEastAsia"/>
          <w:spacing w:val="15"/>
          <w:sz w:val="24"/>
          <w:szCs w:val="24"/>
        </w:rPr>
        <w:t xml:space="preserve"> 收和社会保障金的良好记录，参加本项目采购活</w:t>
      </w:r>
      <w:r>
        <w:rPr>
          <w:rFonts w:hint="eastAsia" w:asciiTheme="majorEastAsia" w:hAnsiTheme="majorEastAsia" w:eastAsiaTheme="majorEastAsia" w:cstheme="majorEastAsia"/>
          <w:spacing w:val="14"/>
          <w:sz w:val="24"/>
          <w:szCs w:val="24"/>
        </w:rPr>
        <w:t>动前三年内</w:t>
      </w:r>
      <w:r>
        <w:rPr>
          <w:rFonts w:hint="eastAsia" w:asciiTheme="majorEastAsia" w:hAnsiTheme="majorEastAsia" w:eastAsiaTheme="majorEastAsia" w:cstheme="majorEastAsia"/>
          <w:sz w:val="24"/>
          <w:szCs w:val="24"/>
        </w:rPr>
        <w:t xml:space="preserve"> </w:t>
      </w:r>
      <w:r>
        <w:rPr>
          <w:rFonts w:hint="eastAsia" w:asciiTheme="majorEastAsia" w:hAnsiTheme="majorEastAsia" w:eastAsiaTheme="majorEastAsia" w:cstheme="majorEastAsia"/>
          <w:spacing w:val="10"/>
          <w:sz w:val="24"/>
          <w:szCs w:val="24"/>
        </w:rPr>
        <w:t>无重大违法活动记录。</w:t>
      </w:r>
    </w:p>
    <w:p w14:paraId="4DCA949D">
      <w:pPr>
        <w:pStyle w:val="4"/>
        <w:spacing w:before="200" w:line="305" w:lineRule="auto"/>
        <w:ind w:left="150" w:right="207" w:firstLine="59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13"/>
          <w:sz w:val="24"/>
          <w:szCs w:val="24"/>
        </w:rPr>
        <w:t>2.我方未列入在信用中国网站(</w:t>
      </w:r>
      <w:r>
        <w:rPr>
          <w:rFonts w:hint="eastAsia" w:asciiTheme="majorEastAsia" w:hAnsiTheme="majorEastAsia" w:eastAsiaTheme="majorEastAsia" w:cstheme="majorEastAsia"/>
          <w:color w:val="auto"/>
          <w:sz w:val="24"/>
          <w:szCs w:val="24"/>
        </w:rPr>
        <w:fldChar w:fldCharType="begin"/>
      </w:r>
      <w:r>
        <w:rPr>
          <w:rFonts w:hint="eastAsia" w:asciiTheme="majorEastAsia" w:hAnsiTheme="majorEastAsia" w:eastAsiaTheme="majorEastAsia" w:cstheme="majorEastAsia"/>
          <w:color w:val="auto"/>
          <w:sz w:val="24"/>
          <w:szCs w:val="24"/>
        </w:rPr>
        <w:instrText xml:space="preserve"> HYPERLINK "https://www.creditchina.gov.cn" </w:instrText>
      </w:r>
      <w:r>
        <w:rPr>
          <w:rFonts w:hint="eastAsia" w:asciiTheme="majorEastAsia" w:hAnsiTheme="majorEastAsia" w:eastAsiaTheme="majorEastAsia" w:cstheme="majorEastAsia"/>
          <w:color w:val="auto"/>
          <w:sz w:val="24"/>
          <w:szCs w:val="24"/>
        </w:rPr>
        <w:fldChar w:fldCharType="separate"/>
      </w:r>
      <w:r>
        <w:rPr>
          <w:rFonts w:hint="eastAsia" w:asciiTheme="majorEastAsia" w:hAnsiTheme="majorEastAsia" w:eastAsiaTheme="majorEastAsia" w:cstheme="majorEastAsia"/>
          <w:color w:val="auto"/>
          <w:sz w:val="24"/>
          <w:szCs w:val="24"/>
        </w:rPr>
        <w:t>www</w:t>
      </w:r>
      <w:r>
        <w:rPr>
          <w:rFonts w:hint="eastAsia" w:asciiTheme="majorEastAsia" w:hAnsiTheme="majorEastAsia" w:eastAsiaTheme="majorEastAsia" w:cstheme="majorEastAsia"/>
          <w:color w:val="auto"/>
          <w:spacing w:val="13"/>
          <w:sz w:val="24"/>
          <w:szCs w:val="24"/>
        </w:rPr>
        <w:t>.</w:t>
      </w:r>
      <w:r>
        <w:rPr>
          <w:rFonts w:hint="eastAsia" w:asciiTheme="majorEastAsia" w:hAnsiTheme="majorEastAsia" w:eastAsiaTheme="majorEastAsia" w:cstheme="majorEastAsia"/>
          <w:color w:val="auto"/>
          <w:spacing w:val="-37"/>
          <w:sz w:val="24"/>
          <w:szCs w:val="24"/>
        </w:rPr>
        <w:t xml:space="preserve"> </w:t>
      </w:r>
      <w:r>
        <w:rPr>
          <w:rFonts w:hint="eastAsia" w:asciiTheme="majorEastAsia" w:hAnsiTheme="majorEastAsia" w:eastAsiaTheme="majorEastAsia" w:cstheme="majorEastAsia"/>
          <w:color w:val="auto"/>
          <w:sz w:val="24"/>
          <w:szCs w:val="24"/>
        </w:rPr>
        <w:t>creditchina</w:t>
      </w:r>
      <w:r>
        <w:rPr>
          <w:rFonts w:hint="eastAsia" w:asciiTheme="majorEastAsia" w:hAnsiTheme="majorEastAsia" w:eastAsiaTheme="majorEastAsia" w:cstheme="majorEastAsia"/>
          <w:color w:val="auto"/>
          <w:spacing w:val="13"/>
          <w:sz w:val="24"/>
          <w:szCs w:val="24"/>
        </w:rPr>
        <w:t xml:space="preserve">.       </w:t>
      </w:r>
      <w:r>
        <w:rPr>
          <w:rFonts w:hint="eastAsia" w:asciiTheme="majorEastAsia" w:hAnsiTheme="majorEastAsia" w:eastAsiaTheme="majorEastAsia" w:cstheme="majorEastAsia"/>
          <w:color w:val="auto"/>
          <w:sz w:val="24"/>
          <w:szCs w:val="24"/>
        </w:rPr>
        <w:t>gov</w:t>
      </w:r>
      <w:r>
        <w:rPr>
          <w:rFonts w:hint="eastAsia" w:asciiTheme="majorEastAsia" w:hAnsiTheme="majorEastAsia" w:eastAsiaTheme="majorEastAsia" w:cstheme="majorEastAsia"/>
          <w:color w:val="auto"/>
          <w:spacing w:val="13"/>
          <w:sz w:val="24"/>
          <w:szCs w:val="24"/>
        </w:rPr>
        <w:t>.</w:t>
      </w:r>
      <w:r>
        <w:rPr>
          <w:rFonts w:hint="eastAsia" w:asciiTheme="majorEastAsia" w:hAnsiTheme="majorEastAsia" w:eastAsiaTheme="majorEastAsia" w:cstheme="majorEastAsia"/>
          <w:color w:val="auto"/>
          <w:spacing w:val="13"/>
          <w:sz w:val="24"/>
          <w:szCs w:val="24"/>
        </w:rPr>
        <w:fldChar w:fldCharType="end"/>
      </w:r>
      <w:r>
        <w:rPr>
          <w:rFonts w:hint="eastAsia" w:asciiTheme="majorEastAsia" w:hAnsiTheme="majorEastAsia" w:eastAsiaTheme="majorEastAsia" w:cstheme="majorEastAsia"/>
          <w:color w:val="auto"/>
          <w:sz w:val="24"/>
          <w:szCs w:val="24"/>
        </w:rPr>
        <w:fldChar w:fldCharType="begin"/>
      </w:r>
      <w:r>
        <w:rPr>
          <w:rFonts w:hint="eastAsia" w:asciiTheme="majorEastAsia" w:hAnsiTheme="majorEastAsia" w:eastAsiaTheme="majorEastAsia" w:cstheme="majorEastAsia"/>
          <w:color w:val="auto"/>
          <w:sz w:val="24"/>
          <w:szCs w:val="24"/>
        </w:rPr>
        <w:instrText xml:space="preserve"> HYPERLINK "https://www.creditchina.gov.cn" </w:instrText>
      </w:r>
      <w:r>
        <w:rPr>
          <w:rFonts w:hint="eastAsia" w:asciiTheme="majorEastAsia" w:hAnsiTheme="majorEastAsia" w:eastAsiaTheme="majorEastAsia" w:cstheme="majorEastAsia"/>
          <w:color w:val="auto"/>
          <w:sz w:val="24"/>
          <w:szCs w:val="24"/>
        </w:rPr>
        <w:fldChar w:fldCharType="separate"/>
      </w:r>
      <w:r>
        <w:rPr>
          <w:rFonts w:hint="eastAsia" w:asciiTheme="majorEastAsia" w:hAnsiTheme="majorEastAsia" w:eastAsiaTheme="majorEastAsia" w:cstheme="majorEastAsia"/>
          <w:color w:val="auto"/>
          <w:sz w:val="24"/>
          <w:szCs w:val="24"/>
        </w:rPr>
        <w:t>cn</w:t>
      </w:r>
      <w:r>
        <w:rPr>
          <w:rFonts w:hint="eastAsia" w:asciiTheme="majorEastAsia" w:hAnsiTheme="majorEastAsia" w:eastAsiaTheme="majorEastAsia" w:cstheme="majorEastAsia"/>
          <w:color w:val="auto"/>
          <w:sz w:val="24"/>
          <w:szCs w:val="24"/>
        </w:rPr>
        <w:fldChar w:fldCharType="end"/>
      </w:r>
      <w:r>
        <w:rPr>
          <w:rFonts w:hint="eastAsia" w:asciiTheme="majorEastAsia" w:hAnsiTheme="majorEastAsia" w:eastAsiaTheme="majorEastAsia" w:cstheme="majorEastAsia"/>
          <w:spacing w:val="27"/>
          <w:sz w:val="24"/>
          <w:szCs w:val="24"/>
        </w:rPr>
        <w:t>)“</w:t>
      </w:r>
      <w:r>
        <w:rPr>
          <w:rFonts w:hint="eastAsia" w:asciiTheme="majorEastAsia" w:hAnsiTheme="majorEastAsia" w:eastAsiaTheme="majorEastAsia" w:cstheme="majorEastAsia"/>
          <w:spacing w:val="27"/>
          <w:w w:val="101"/>
          <w:sz w:val="24"/>
          <w:szCs w:val="24"/>
        </w:rPr>
        <w:t xml:space="preserve"> </w:t>
      </w:r>
      <w:r>
        <w:rPr>
          <w:rFonts w:hint="eastAsia" w:asciiTheme="majorEastAsia" w:hAnsiTheme="majorEastAsia" w:eastAsiaTheme="majorEastAsia" w:cstheme="majorEastAsia"/>
          <w:spacing w:val="27"/>
          <w:sz w:val="24"/>
          <w:szCs w:val="24"/>
        </w:rPr>
        <w:t>失信被执行人”、“重大税收违法案件当事人名单”</w:t>
      </w:r>
      <w:r>
        <w:rPr>
          <w:rFonts w:hint="eastAsia" w:asciiTheme="majorEastAsia" w:hAnsiTheme="majorEastAsia" w:eastAsiaTheme="majorEastAsia" w:cstheme="majorEastAsia"/>
          <w:spacing w:val="3"/>
          <w:sz w:val="24"/>
          <w:szCs w:val="24"/>
        </w:rPr>
        <w:t>中</w:t>
      </w:r>
      <w:r>
        <w:rPr>
          <w:rFonts w:hint="eastAsia" w:asciiTheme="majorEastAsia" w:hAnsiTheme="majorEastAsia" w:eastAsiaTheme="majorEastAsia" w:cstheme="majorEastAsia"/>
          <w:spacing w:val="-27"/>
          <w:sz w:val="24"/>
          <w:szCs w:val="24"/>
        </w:rPr>
        <w:t xml:space="preserve"> </w:t>
      </w:r>
      <w:r>
        <w:rPr>
          <w:rFonts w:hint="eastAsia" w:asciiTheme="majorEastAsia" w:hAnsiTheme="majorEastAsia" w:eastAsiaTheme="majorEastAsia" w:cstheme="majorEastAsia"/>
          <w:spacing w:val="3"/>
          <w:sz w:val="24"/>
          <w:szCs w:val="24"/>
        </w:rPr>
        <w:t>，也未列入中国政府采购网(</w:t>
      </w:r>
      <w:r>
        <w:rPr>
          <w:rFonts w:hint="eastAsia" w:asciiTheme="majorEastAsia" w:hAnsiTheme="majorEastAsia" w:eastAsiaTheme="majorEastAsia" w:cstheme="majorEastAsia"/>
          <w:spacing w:val="-41"/>
          <w:sz w:val="24"/>
          <w:szCs w:val="24"/>
        </w:rPr>
        <w:t xml:space="preserve"> </w:t>
      </w: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 HYPERLINK "https://www.ccgp.gov.cn"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rPr>
        <w:t>www</w:t>
      </w:r>
      <w:r>
        <w:rPr>
          <w:rFonts w:hint="eastAsia" w:asciiTheme="majorEastAsia" w:hAnsiTheme="majorEastAsia" w:eastAsiaTheme="majorEastAsia" w:cstheme="majorEastAsia"/>
          <w:spacing w:val="3"/>
          <w:sz w:val="24"/>
          <w:szCs w:val="24"/>
        </w:rPr>
        <w:t>.</w:t>
      </w:r>
      <w:r>
        <w:rPr>
          <w:rFonts w:hint="eastAsia" w:asciiTheme="majorEastAsia" w:hAnsiTheme="majorEastAsia" w:eastAsiaTheme="majorEastAsia" w:cstheme="majorEastAsia"/>
          <w:sz w:val="24"/>
          <w:szCs w:val="24"/>
        </w:rPr>
        <w:t>ccgp</w:t>
      </w:r>
      <w:r>
        <w:rPr>
          <w:rFonts w:hint="eastAsia" w:asciiTheme="majorEastAsia" w:hAnsiTheme="majorEastAsia" w:eastAsiaTheme="majorEastAsia" w:cstheme="majorEastAsia"/>
          <w:spacing w:val="3"/>
          <w:sz w:val="24"/>
          <w:szCs w:val="24"/>
        </w:rPr>
        <w:t>.</w:t>
      </w:r>
      <w:r>
        <w:rPr>
          <w:rFonts w:hint="eastAsia" w:asciiTheme="majorEastAsia" w:hAnsiTheme="majorEastAsia" w:eastAsiaTheme="majorEastAsia" w:cstheme="majorEastAsia"/>
          <w:sz w:val="24"/>
          <w:szCs w:val="24"/>
        </w:rPr>
        <w:t>gov</w:t>
      </w:r>
      <w:r>
        <w:rPr>
          <w:rFonts w:hint="eastAsia" w:asciiTheme="majorEastAsia" w:hAnsiTheme="majorEastAsia" w:eastAsiaTheme="majorEastAsia" w:cstheme="majorEastAsia"/>
          <w:spacing w:val="3"/>
          <w:sz w:val="24"/>
          <w:szCs w:val="24"/>
        </w:rPr>
        <w:t>.</w:t>
      </w:r>
      <w:r>
        <w:rPr>
          <w:rFonts w:hint="eastAsia" w:asciiTheme="majorEastAsia" w:hAnsiTheme="majorEastAsia" w:eastAsiaTheme="majorEastAsia" w:cstheme="majorEastAsia"/>
          <w:sz w:val="24"/>
          <w:szCs w:val="24"/>
        </w:rPr>
        <w:t>cn</w:t>
      </w:r>
      <w:r>
        <w:rPr>
          <w:rFonts w:hint="eastAsia" w:asciiTheme="majorEastAsia" w:hAnsiTheme="majorEastAsia" w:eastAsiaTheme="majorEastAsia" w:cstheme="majorEastAsia"/>
          <w:sz w:val="24"/>
          <w:szCs w:val="24"/>
        </w:rPr>
        <w:fldChar w:fldCharType="end"/>
      </w:r>
      <w:r>
        <w:rPr>
          <w:rFonts w:hint="eastAsia" w:asciiTheme="majorEastAsia" w:hAnsiTheme="majorEastAsia" w:eastAsiaTheme="majorEastAsia" w:cstheme="majorEastAsia"/>
          <w:spacing w:val="3"/>
          <w:sz w:val="24"/>
          <w:szCs w:val="24"/>
        </w:rPr>
        <w:t>)</w:t>
      </w:r>
      <w:r>
        <w:rPr>
          <w:rFonts w:hint="eastAsia" w:asciiTheme="majorEastAsia" w:hAnsiTheme="majorEastAsia" w:eastAsiaTheme="majorEastAsia" w:cstheme="majorEastAsia"/>
          <w:spacing w:val="2"/>
          <w:sz w:val="24"/>
          <w:szCs w:val="24"/>
        </w:rPr>
        <w:t>“政府</w:t>
      </w:r>
      <w:r>
        <w:rPr>
          <w:rFonts w:hint="eastAsia" w:asciiTheme="majorEastAsia" w:hAnsiTheme="majorEastAsia" w:eastAsiaTheme="majorEastAsia" w:cstheme="majorEastAsia"/>
          <w:spacing w:val="22"/>
          <w:sz w:val="24"/>
          <w:szCs w:val="24"/>
        </w:rPr>
        <w:t>采购严重违法失信行为记录名单”中。</w:t>
      </w:r>
    </w:p>
    <w:p w14:paraId="51FFB24E">
      <w:pPr>
        <w:pStyle w:val="4"/>
        <w:spacing w:before="174" w:line="300" w:lineRule="auto"/>
        <w:ind w:left="150" w:right="251" w:firstLine="59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33"/>
          <w:sz w:val="24"/>
          <w:szCs w:val="24"/>
        </w:rPr>
        <w:t>3.</w:t>
      </w:r>
      <w:r>
        <w:rPr>
          <w:rFonts w:hint="eastAsia" w:asciiTheme="majorEastAsia" w:hAnsiTheme="majorEastAsia" w:eastAsiaTheme="majorEastAsia" w:cstheme="majorEastAsia"/>
          <w:spacing w:val="58"/>
          <w:sz w:val="24"/>
          <w:szCs w:val="24"/>
        </w:rPr>
        <w:t xml:space="preserve"> </w:t>
      </w:r>
      <w:r>
        <w:rPr>
          <w:rFonts w:hint="eastAsia" w:asciiTheme="majorEastAsia" w:hAnsiTheme="majorEastAsia" w:eastAsiaTheme="majorEastAsia" w:cstheme="majorEastAsia"/>
          <w:spacing w:val="33"/>
          <w:sz w:val="24"/>
          <w:szCs w:val="24"/>
        </w:rPr>
        <w:t>我方在采购项目评审(评标)环节结束后，随时接受</w:t>
      </w:r>
      <w:r>
        <w:rPr>
          <w:rFonts w:hint="eastAsia" w:asciiTheme="majorEastAsia" w:hAnsiTheme="majorEastAsia" w:eastAsiaTheme="majorEastAsia" w:cstheme="majorEastAsia"/>
          <w:sz w:val="24"/>
          <w:szCs w:val="24"/>
        </w:rPr>
        <w:t xml:space="preserve"> </w:t>
      </w:r>
      <w:r>
        <w:rPr>
          <w:rFonts w:hint="eastAsia" w:asciiTheme="majorEastAsia" w:hAnsiTheme="majorEastAsia" w:eastAsiaTheme="majorEastAsia" w:cstheme="majorEastAsia"/>
          <w:spacing w:val="18"/>
          <w:sz w:val="24"/>
          <w:szCs w:val="24"/>
        </w:rPr>
        <w:t>采购人、采购代理机构的检查验证，配合提</w:t>
      </w:r>
      <w:r>
        <w:rPr>
          <w:rFonts w:hint="eastAsia" w:asciiTheme="majorEastAsia" w:hAnsiTheme="majorEastAsia" w:eastAsiaTheme="majorEastAsia" w:cstheme="majorEastAsia"/>
          <w:spacing w:val="17"/>
          <w:sz w:val="24"/>
          <w:szCs w:val="24"/>
        </w:rPr>
        <w:t>供相关证明材料，</w:t>
      </w:r>
      <w:r>
        <w:rPr>
          <w:rFonts w:hint="eastAsia" w:asciiTheme="majorEastAsia" w:hAnsiTheme="majorEastAsia" w:eastAsiaTheme="majorEastAsia" w:cstheme="majorEastAsia"/>
          <w:sz w:val="24"/>
          <w:szCs w:val="24"/>
        </w:rPr>
        <w:t xml:space="preserve"> </w:t>
      </w:r>
      <w:r>
        <w:rPr>
          <w:rFonts w:hint="eastAsia" w:asciiTheme="majorEastAsia" w:hAnsiTheme="majorEastAsia" w:eastAsiaTheme="majorEastAsia" w:cstheme="majorEastAsia"/>
          <w:spacing w:val="25"/>
          <w:sz w:val="24"/>
          <w:szCs w:val="24"/>
        </w:rPr>
        <w:t>证明符合《中华人民共和国政府采购法》规定的投标人基本</w:t>
      </w:r>
      <w:r>
        <w:rPr>
          <w:rFonts w:hint="eastAsia" w:asciiTheme="majorEastAsia" w:hAnsiTheme="majorEastAsia" w:eastAsiaTheme="majorEastAsia" w:cstheme="majorEastAsia"/>
          <w:spacing w:val="16"/>
          <w:sz w:val="24"/>
          <w:szCs w:val="24"/>
        </w:rPr>
        <w:t xml:space="preserve"> </w:t>
      </w:r>
      <w:r>
        <w:rPr>
          <w:rFonts w:hint="eastAsia" w:asciiTheme="majorEastAsia" w:hAnsiTheme="majorEastAsia" w:eastAsiaTheme="majorEastAsia" w:cstheme="majorEastAsia"/>
          <w:spacing w:val="9"/>
          <w:sz w:val="24"/>
          <w:szCs w:val="24"/>
        </w:rPr>
        <w:t>资格条件。</w:t>
      </w:r>
    </w:p>
    <w:p w14:paraId="0A1A368D">
      <w:pPr>
        <w:pStyle w:val="4"/>
        <w:spacing w:before="194" w:line="222" w:lineRule="auto"/>
        <w:ind w:left="75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21"/>
          <w:sz w:val="24"/>
          <w:szCs w:val="24"/>
        </w:rPr>
        <w:t>我方对以上承诺负全部法律责任。</w:t>
      </w:r>
    </w:p>
    <w:p w14:paraId="38950BA6">
      <w:pPr>
        <w:pStyle w:val="4"/>
        <w:spacing w:before="184" w:line="224" w:lineRule="auto"/>
        <w:ind w:left="75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16"/>
          <w:sz w:val="24"/>
          <w:szCs w:val="24"/>
        </w:rPr>
        <w:t>特此承诺。</w:t>
      </w:r>
    </w:p>
    <w:p w14:paraId="6E9A84A2">
      <w:pPr>
        <w:spacing w:line="285" w:lineRule="auto"/>
        <w:rPr>
          <w:rFonts w:hint="eastAsia" w:asciiTheme="majorEastAsia" w:hAnsiTheme="majorEastAsia" w:eastAsiaTheme="majorEastAsia" w:cstheme="majorEastAsia"/>
          <w:sz w:val="24"/>
          <w:szCs w:val="24"/>
        </w:rPr>
      </w:pPr>
    </w:p>
    <w:p w14:paraId="07376787">
      <w:pPr>
        <w:pStyle w:val="4"/>
        <w:spacing w:before="171" w:line="222" w:lineRule="auto"/>
        <w:ind w:firstLine="5244" w:firstLineChars="1900"/>
        <w:jc w:val="right"/>
        <w:rPr>
          <w:rFonts w:hint="eastAsia" w:asciiTheme="majorEastAsia" w:hAnsiTheme="majorEastAsia" w:eastAsiaTheme="majorEastAsia" w:cstheme="majorEastAsia"/>
          <w:spacing w:val="-20"/>
          <w:sz w:val="24"/>
          <w:szCs w:val="24"/>
        </w:rPr>
      </w:pPr>
      <w:r>
        <w:rPr>
          <w:rFonts w:hint="eastAsia" w:asciiTheme="majorEastAsia" w:hAnsiTheme="majorEastAsia" w:eastAsiaTheme="majorEastAsia" w:cstheme="majorEastAsia"/>
          <w:spacing w:val="18"/>
          <w:sz w:val="24"/>
          <w:szCs w:val="24"/>
        </w:rPr>
        <w:t>供应商名称（盖章）：</w:t>
      </w:r>
      <w:r>
        <w:rPr>
          <w:rFonts w:hint="eastAsia" w:asciiTheme="majorEastAsia" w:hAnsiTheme="majorEastAsia" w:eastAsiaTheme="majorEastAsia" w:cstheme="majorEastAsia"/>
          <w:spacing w:val="18"/>
          <w:sz w:val="24"/>
          <w:szCs w:val="24"/>
        </w:rPr>
        <w:br w:type="textWrapping"/>
      </w:r>
      <w:r>
        <w:rPr>
          <w:rFonts w:hint="eastAsia" w:asciiTheme="majorEastAsia" w:hAnsiTheme="majorEastAsia" w:eastAsiaTheme="majorEastAsia" w:cstheme="majorEastAsia"/>
          <w:spacing w:val="18"/>
          <w:sz w:val="24"/>
          <w:szCs w:val="24"/>
          <w:lang w:val="en-US" w:eastAsia="zh-CN"/>
        </w:rPr>
        <w:t>年  月  日</w:t>
      </w:r>
      <w:r>
        <w:rPr>
          <w:rFonts w:hint="eastAsia" w:asciiTheme="majorEastAsia" w:hAnsiTheme="majorEastAsia" w:eastAsiaTheme="majorEastAsia" w:cstheme="majorEastAsia"/>
          <w:spacing w:val="18"/>
          <w:sz w:val="24"/>
          <w:szCs w:val="24"/>
          <w:lang w:val="en-US" w:eastAsia="zh-CN"/>
        </w:rPr>
        <w:br w:type="textWrapping"/>
      </w:r>
      <w:r>
        <w:rPr>
          <w:rFonts w:hint="eastAsia" w:asciiTheme="majorEastAsia" w:hAnsiTheme="majorEastAsia" w:eastAsiaTheme="majorEastAsia" w:cstheme="majorEastAsia"/>
          <w:spacing w:val="-20"/>
          <w:sz w:val="24"/>
          <w:szCs w:val="24"/>
        </w:rPr>
        <w:br w:type="textWrapping"/>
      </w:r>
      <w:r>
        <w:rPr>
          <w:rFonts w:hint="eastAsia" w:asciiTheme="majorEastAsia" w:hAnsiTheme="majorEastAsia" w:eastAsiaTheme="majorEastAsia" w:cstheme="majorEastAsia"/>
          <w:spacing w:val="-20"/>
          <w:sz w:val="24"/>
          <w:szCs w:val="24"/>
        </w:rPr>
        <w:br w:type="textWrapping"/>
      </w:r>
    </w:p>
    <w:p w14:paraId="3F75E57F">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pacing w:val="-20"/>
          <w:sz w:val="24"/>
          <w:szCs w:val="24"/>
        </w:rPr>
        <w:t>描述：根据西高财函〔2024〕111 号文件要求， 本项目基本资格条件采取“信用承诺制”，供应商提供上述资格承诺函即可参加采购活动，在响应文件中可无需再提供财务状况报告、依法缴纳税收和依法缴纳社会保障资金、具有履行合同所必需的设备和专业技术能力、近三年无重大违法记录的相关证明材料。</w:t>
      </w:r>
    </w:p>
    <w:p w14:paraId="01586371">
      <w:pPr>
        <w:rPr>
          <w:rFonts w:hint="default" w:asciiTheme="majorEastAsia" w:hAnsiTheme="majorEastAsia" w:eastAsiaTheme="majorEastAsia" w:cstheme="majorEastAsia"/>
          <w:sz w:val="24"/>
          <w:szCs w:val="24"/>
          <w:lang w:val="en-US" w:eastAsia="zh-CN"/>
        </w:rPr>
      </w:pPr>
    </w:p>
    <w:p w14:paraId="2C9630C7">
      <w:pPr>
        <w:pStyle w:val="10"/>
        <w:rPr>
          <w:rFonts w:hint="default" w:eastAsia="仿宋_GB2312"/>
          <w:lang w:val="en-US" w:eastAsia="zh-CN"/>
        </w:rPr>
      </w:pPr>
    </w:p>
    <w:p w14:paraId="0AF4D9F1">
      <w:pPr>
        <w:pStyle w:val="10"/>
        <w:rPr>
          <w:rFonts w:hint="default" w:eastAsia="仿宋_GB2312"/>
          <w:lang w:val="en-US" w:eastAsia="zh-CN"/>
        </w:rPr>
      </w:pPr>
    </w:p>
    <w:p w14:paraId="0B6BC906">
      <w:pPr>
        <w:pStyle w:val="10"/>
        <w:rPr>
          <w:rFonts w:hint="default" w:eastAsia="仿宋_GB2312"/>
          <w:lang w:val="en-US" w:eastAsia="zh-CN"/>
        </w:rPr>
      </w:pPr>
      <w:bookmarkStart w:id="0" w:name="_GoBack"/>
      <w:bookmarkEnd w:id="0"/>
    </w:p>
    <w:p w14:paraId="09B9ABB2">
      <w:pPr>
        <w:jc w:val="center"/>
        <w:rPr>
          <w:rFonts w:hint="eastAsia" w:ascii="宋体" w:hAnsi="宋体" w:eastAsia="宋体" w:cs="宋体"/>
          <w:sz w:val="24"/>
          <w:szCs w:val="24"/>
        </w:rPr>
      </w:pPr>
      <w:r>
        <w:rPr>
          <w:rFonts w:hint="eastAsia" w:ascii="仿宋_GB2312" w:hAnsi="仿宋_GB2312" w:eastAsia="仿宋_GB2312" w:cs="仿宋_GB2312"/>
          <w:lang w:val="en-US" w:eastAsia="zh-CN"/>
        </w:rPr>
        <w:t>2</w:t>
      </w:r>
      <w:r>
        <w:rPr>
          <w:rFonts w:ascii="仿宋_GB2312" w:hAnsi="仿宋_GB2312" w:eastAsia="仿宋_GB2312" w:cs="仿宋_GB2312"/>
        </w:rPr>
        <w:t>、</w:t>
      </w:r>
      <w:r>
        <w:rPr>
          <w:rFonts w:hint="eastAsia" w:ascii="仿宋_GB2312" w:hAnsi="仿宋_GB2312" w:eastAsia="仿宋_GB2312" w:cs="仿宋_GB2312"/>
        </w:rPr>
        <w:t>法定代表人直接参加</w:t>
      </w:r>
      <w:r>
        <w:rPr>
          <w:rFonts w:hint="eastAsia" w:ascii="仿宋_GB2312" w:hAnsi="仿宋_GB2312" w:eastAsia="仿宋_GB2312" w:cs="仿宋_GB2312"/>
          <w:lang w:val="en-US" w:eastAsia="zh-CN"/>
        </w:rPr>
        <w:t>磋</w:t>
      </w:r>
      <w:r>
        <w:rPr>
          <w:rFonts w:hint="eastAsia" w:ascii="仿宋_GB2312" w:hAnsi="仿宋_GB2312" w:eastAsia="仿宋_GB2312" w:cs="仿宋_GB2312"/>
        </w:rPr>
        <w:t>商的，须出具法定代表人身份证明及身份证；法定代表人授权代表参加商的，须出具法定代表人授权书及授权代表身份证；</w:t>
      </w:r>
      <w:r>
        <w:rPr>
          <w:rFonts w:ascii="仿宋_GB2312" w:hAnsi="仿宋_GB2312" w:eastAsia="仿宋_GB2312" w:cs="仿宋_GB2312"/>
        </w:rPr>
        <w:t>注：被授权人参与磋商时，须提供响应文件截止时间前六个月内任意一个月在本单位缴纳的社保证明，依法不需要缴纳社会保障资金的供应商提供相关证明材料；</w:t>
      </w:r>
      <w:r>
        <w:rPr>
          <w:rFonts w:hint="eastAsia" w:ascii="宋体" w:hAnsi="宋体" w:cs="宋体"/>
          <w:sz w:val="24"/>
          <w:szCs w:val="24"/>
          <w:lang w:val="en-US" w:eastAsia="zh-CN"/>
        </w:rPr>
        <w:t>2</w:t>
      </w:r>
      <w:r>
        <w:rPr>
          <w:rFonts w:hint="eastAsia" w:ascii="宋体" w:hAnsi="宋体" w:eastAsia="宋体" w:cs="宋体"/>
          <w:sz w:val="24"/>
          <w:szCs w:val="24"/>
        </w:rPr>
        <w:t>-1法定代表人证明书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B610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46C22E0F">
            <w:pPr>
              <w:tabs>
                <w:tab w:val="left" w:pos="210"/>
              </w:tabs>
              <w:spacing w:line="360" w:lineRule="auto"/>
              <w:jc w:val="left"/>
              <w:rPr>
                <w:rFonts w:hint="eastAsia" w:ascii="宋体" w:hAnsi="宋体" w:eastAsia="宋体" w:cs="宋体"/>
                <w:kern w:val="0"/>
                <w:sz w:val="24"/>
                <w:szCs w:val="24"/>
                <w:lang w:eastAsia="zh-CN"/>
              </w:rPr>
            </w:pPr>
            <w:r>
              <w:rPr>
                <w:rFonts w:hint="eastAsia" w:ascii="宋体" w:hAnsi="宋体" w:eastAsia="宋体" w:cs="宋体"/>
                <w:kern w:val="0"/>
                <w:sz w:val="24"/>
                <w:szCs w:val="24"/>
              </w:rPr>
              <w:t>致：</w:t>
            </w:r>
            <w:r>
              <w:rPr>
                <w:rFonts w:hint="eastAsia" w:ascii="宋体" w:hAnsi="宋体" w:cs="宋体"/>
                <w:kern w:val="0"/>
                <w:sz w:val="24"/>
                <w:szCs w:val="24"/>
                <w:lang w:eastAsia="zh-CN"/>
              </w:rPr>
              <w:t>陕西明正招标有限公司</w:t>
            </w:r>
          </w:p>
        </w:tc>
      </w:tr>
      <w:tr w14:paraId="7692C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E363E5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24A5CAD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4E7F805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31484C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4A78306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31D0CA24">
            <w:pPr>
              <w:tabs>
                <w:tab w:val="left" w:pos="210"/>
              </w:tabs>
              <w:spacing w:line="360" w:lineRule="auto"/>
              <w:jc w:val="left"/>
              <w:rPr>
                <w:rFonts w:hint="eastAsia" w:ascii="宋体" w:hAnsi="宋体" w:eastAsia="宋体" w:cs="宋体"/>
                <w:kern w:val="0"/>
                <w:sz w:val="24"/>
                <w:szCs w:val="24"/>
              </w:rPr>
            </w:pPr>
          </w:p>
        </w:tc>
      </w:tr>
      <w:tr w14:paraId="4FF41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5D3911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48C489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333ED83F">
            <w:pPr>
              <w:tabs>
                <w:tab w:val="left" w:pos="210"/>
              </w:tabs>
              <w:spacing w:line="360" w:lineRule="auto"/>
              <w:jc w:val="left"/>
              <w:rPr>
                <w:rFonts w:hint="eastAsia" w:ascii="宋体" w:hAnsi="宋体" w:eastAsia="宋体" w:cs="宋体"/>
                <w:kern w:val="0"/>
                <w:sz w:val="24"/>
                <w:szCs w:val="24"/>
              </w:rPr>
            </w:pPr>
          </w:p>
        </w:tc>
      </w:tr>
      <w:tr w14:paraId="0C8E0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1261A4D2">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4264B1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70DA75D">
            <w:pPr>
              <w:tabs>
                <w:tab w:val="left" w:pos="210"/>
              </w:tabs>
              <w:spacing w:line="360" w:lineRule="auto"/>
              <w:jc w:val="left"/>
              <w:rPr>
                <w:rFonts w:hint="eastAsia" w:ascii="宋体" w:hAnsi="宋体" w:eastAsia="宋体" w:cs="宋体"/>
                <w:kern w:val="0"/>
                <w:sz w:val="24"/>
                <w:szCs w:val="24"/>
              </w:rPr>
            </w:pPr>
          </w:p>
        </w:tc>
      </w:tr>
      <w:tr w14:paraId="66BB5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7FF7845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1045A04">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1AC0A3C0">
            <w:pPr>
              <w:tabs>
                <w:tab w:val="left" w:pos="210"/>
              </w:tabs>
              <w:spacing w:line="360" w:lineRule="auto"/>
              <w:jc w:val="left"/>
              <w:rPr>
                <w:rFonts w:hint="eastAsia" w:ascii="宋体" w:hAnsi="宋体" w:eastAsia="宋体" w:cs="宋体"/>
                <w:kern w:val="0"/>
                <w:sz w:val="24"/>
                <w:szCs w:val="24"/>
              </w:rPr>
            </w:pPr>
          </w:p>
        </w:tc>
      </w:tr>
      <w:tr w14:paraId="31DE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F671B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E19D4B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76BA727E">
            <w:pPr>
              <w:tabs>
                <w:tab w:val="left" w:pos="210"/>
              </w:tabs>
              <w:spacing w:line="360" w:lineRule="auto"/>
              <w:jc w:val="left"/>
              <w:rPr>
                <w:rFonts w:hint="eastAsia" w:ascii="宋体" w:hAnsi="宋体" w:eastAsia="宋体" w:cs="宋体"/>
                <w:kern w:val="0"/>
                <w:sz w:val="24"/>
                <w:szCs w:val="24"/>
              </w:rPr>
            </w:pPr>
          </w:p>
        </w:tc>
      </w:tr>
      <w:tr w14:paraId="3EBC8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B35CAB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E3CCF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6E3FC2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42AC3D9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D9E104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07A792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7E5B0E63">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592FB35">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708D8E33">
            <w:pPr>
              <w:tabs>
                <w:tab w:val="left" w:pos="210"/>
              </w:tabs>
              <w:spacing w:line="360" w:lineRule="auto"/>
              <w:ind w:firstLine="480" w:firstLineChars="200"/>
              <w:jc w:val="left"/>
              <w:rPr>
                <w:rFonts w:hint="eastAsia" w:ascii="宋体" w:hAnsi="宋体" w:eastAsia="宋体" w:cs="宋体"/>
                <w:kern w:val="0"/>
                <w:sz w:val="24"/>
                <w:szCs w:val="24"/>
              </w:rPr>
            </w:pPr>
          </w:p>
        </w:tc>
      </w:tr>
      <w:tr w14:paraId="2FFC4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135BC494">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B0E6D1C">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E29DE41">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7C8D5F7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05AD54AA">
            <w:pPr>
              <w:tabs>
                <w:tab w:val="left" w:pos="210"/>
              </w:tabs>
              <w:spacing w:line="360" w:lineRule="auto"/>
              <w:ind w:firstLine="480" w:firstLineChars="200"/>
              <w:jc w:val="left"/>
              <w:rPr>
                <w:rFonts w:hint="eastAsia" w:ascii="宋体" w:hAnsi="宋体" w:eastAsia="宋体" w:cs="宋体"/>
                <w:kern w:val="0"/>
                <w:sz w:val="24"/>
                <w:szCs w:val="24"/>
              </w:rPr>
            </w:pPr>
          </w:p>
        </w:tc>
      </w:tr>
      <w:tr w14:paraId="76627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28CB6D8">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C3D59F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050E261">
            <w:pPr>
              <w:tabs>
                <w:tab w:val="left" w:pos="210"/>
              </w:tabs>
              <w:spacing w:line="360" w:lineRule="auto"/>
              <w:jc w:val="left"/>
              <w:rPr>
                <w:rFonts w:hint="eastAsia" w:ascii="宋体" w:hAnsi="宋体" w:eastAsia="宋体" w:cs="宋体"/>
                <w:kern w:val="0"/>
                <w:sz w:val="24"/>
                <w:szCs w:val="24"/>
              </w:rPr>
            </w:pPr>
          </w:p>
        </w:tc>
      </w:tr>
      <w:tr w14:paraId="10FAE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749D467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7C511B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D2AABF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4522158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284C1EA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1A1FC11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05618F3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2E4B9A9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6D48889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4F12E1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2C90725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3A9201BC">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4D76B18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8613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45A0483">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70B6B821">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43E8DDC1">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22196282">
            <w:pPr>
              <w:tabs>
                <w:tab w:val="left" w:pos="210"/>
              </w:tabs>
              <w:spacing w:line="360" w:lineRule="auto"/>
              <w:jc w:val="left"/>
              <w:rPr>
                <w:rFonts w:hint="eastAsia" w:ascii="宋体" w:hAnsi="宋体" w:eastAsia="宋体" w:cs="宋体"/>
                <w:kern w:val="0"/>
                <w:sz w:val="24"/>
                <w:szCs w:val="24"/>
              </w:rPr>
            </w:pPr>
          </w:p>
          <w:p w14:paraId="0F1721C6">
            <w:pPr>
              <w:tabs>
                <w:tab w:val="left" w:pos="210"/>
              </w:tabs>
              <w:spacing w:line="360" w:lineRule="auto"/>
              <w:jc w:val="left"/>
              <w:rPr>
                <w:rFonts w:hint="eastAsia" w:ascii="宋体" w:hAnsi="宋体" w:eastAsia="宋体" w:cs="宋体"/>
                <w:kern w:val="0"/>
                <w:sz w:val="24"/>
                <w:szCs w:val="24"/>
              </w:rPr>
            </w:pPr>
          </w:p>
          <w:p w14:paraId="4437F296">
            <w:pPr>
              <w:tabs>
                <w:tab w:val="left" w:pos="210"/>
              </w:tabs>
              <w:spacing w:line="360" w:lineRule="auto"/>
              <w:jc w:val="left"/>
              <w:rPr>
                <w:rFonts w:hint="eastAsia" w:ascii="宋体" w:hAnsi="宋体" w:eastAsia="宋体" w:cs="宋体"/>
                <w:kern w:val="0"/>
                <w:sz w:val="24"/>
                <w:szCs w:val="24"/>
              </w:rPr>
            </w:pPr>
          </w:p>
          <w:p w14:paraId="2E8868C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2F407ACD">
      <w:pPr>
        <w:pStyle w:val="3"/>
        <w:spacing w:line="500" w:lineRule="exact"/>
        <w:jc w:val="both"/>
        <w:rPr>
          <w:rFonts w:ascii="仿宋_GB2312" w:hAnsi="仿宋_GB2312" w:eastAsia="仿宋_GB2312" w:cs="仿宋_GB2312"/>
        </w:rPr>
      </w:pPr>
      <w:r>
        <w:rPr>
          <w:rFonts w:ascii="仿宋_GB2312" w:hAnsi="仿宋_GB2312" w:eastAsia="仿宋_GB2312" w:cs="仿宋_GB2312"/>
        </w:rPr>
        <w:br w:type="textWrapping"/>
      </w:r>
    </w:p>
    <w:p w14:paraId="2966BD08">
      <w:pPr>
        <w:pStyle w:val="3"/>
        <w:spacing w:line="500" w:lineRule="exact"/>
        <w:jc w:val="both"/>
        <w:rPr>
          <w:rFonts w:hint="eastAsia" w:ascii="宋体" w:hAnsi="宋体" w:eastAsia="宋体" w:cs="宋体"/>
          <w:sz w:val="24"/>
          <w:szCs w:val="24"/>
        </w:rPr>
      </w:pPr>
      <w:r>
        <w:rPr>
          <w:rFonts w:ascii="仿宋_GB2312" w:hAnsi="仿宋_GB2312" w:eastAsia="仿宋_GB2312" w:cs="仿宋_GB2312"/>
        </w:rPr>
        <w:t>响应文件截止时间前六个月内任意一个月在本单位缴纳的社保证明</w:t>
      </w:r>
      <w:r>
        <w:rPr>
          <w:rFonts w:hint="eastAsia" w:ascii="宋体" w:hAnsi="宋体" w:eastAsia="宋体" w:cs="宋体"/>
          <w:b/>
          <w:sz w:val="24"/>
          <w:szCs w:val="24"/>
        </w:rPr>
        <w:br w:type="page"/>
      </w:r>
      <w:r>
        <w:rPr>
          <w:rFonts w:hint="eastAsia" w:hAnsi="宋体" w:cs="宋体"/>
          <w:b/>
          <w:sz w:val="24"/>
          <w:szCs w:val="24"/>
          <w:lang w:val="en-US" w:eastAsia="zh-CN"/>
        </w:rPr>
        <w:t>2</w:t>
      </w:r>
      <w:r>
        <w:rPr>
          <w:rFonts w:hint="eastAsia" w:ascii="宋体" w:hAnsi="宋体" w:eastAsia="宋体" w:cs="宋体"/>
          <w:b/>
          <w:sz w:val="24"/>
          <w:szCs w:val="24"/>
        </w:rPr>
        <w:t>-2法定代表人授权书</w:t>
      </w:r>
    </w:p>
    <w:p w14:paraId="4EE3C94E">
      <w:pPr>
        <w:pStyle w:val="3"/>
        <w:spacing w:line="500" w:lineRule="exact"/>
        <w:jc w:val="left"/>
        <w:rPr>
          <w:rFonts w:hint="eastAsia" w:ascii="宋体" w:hAnsi="宋体" w:eastAsia="宋体" w:cs="宋体"/>
          <w:sz w:val="24"/>
          <w:szCs w:val="24"/>
        </w:rPr>
      </w:pPr>
      <w:r>
        <w:rPr>
          <w:rFonts w:hint="eastAsia" w:hAnsi="宋体" w:cs="宋体"/>
          <w:sz w:val="24"/>
          <w:szCs w:val="24"/>
          <w:lang w:eastAsia="zh-CN"/>
        </w:rPr>
        <w:t>陕西明正招标有限公司</w:t>
      </w:r>
      <w:r>
        <w:rPr>
          <w:rFonts w:hint="eastAsia" w:ascii="宋体" w:hAnsi="宋体" w:eastAsia="宋体" w:cs="宋体"/>
          <w:sz w:val="24"/>
          <w:szCs w:val="24"/>
        </w:rPr>
        <w:t>：</w:t>
      </w:r>
    </w:p>
    <w:p w14:paraId="41874604">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4F558D17">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本授权书自投标文件递交截止之日起不少于90天，特此声明。</w:t>
      </w:r>
    </w:p>
    <w:p w14:paraId="56953053">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4468C244">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7E322F58">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907CA17">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074CF270">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63A7D153">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8"/>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0790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941E459">
            <w:pPr>
              <w:pStyle w:val="3"/>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01F27B43">
            <w:pPr>
              <w:pStyle w:val="3"/>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32807420">
            <w:pPr>
              <w:pStyle w:val="3"/>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842B746">
            <w:pPr>
              <w:pStyle w:val="3"/>
              <w:spacing w:line="500" w:lineRule="exact"/>
              <w:ind w:firstLine="480" w:firstLineChars="200"/>
              <w:jc w:val="left"/>
              <w:rPr>
                <w:rFonts w:hint="eastAsia" w:ascii="宋体" w:hAnsi="宋体" w:eastAsia="宋体" w:cs="宋体"/>
                <w:sz w:val="24"/>
                <w:szCs w:val="24"/>
                <w:shd w:val="pct10" w:color="auto" w:fill="FFFFFF"/>
              </w:rPr>
            </w:pPr>
          </w:p>
        </w:tc>
      </w:tr>
    </w:tbl>
    <w:p w14:paraId="03F74C70">
      <w:pPr>
        <w:pStyle w:val="10"/>
      </w:pPr>
    </w:p>
    <w:p w14:paraId="1A032AB6">
      <w:pPr>
        <w:pStyle w:val="10"/>
        <w:rPr>
          <w:highlight w:val="none"/>
        </w:rPr>
      </w:pPr>
      <w:r>
        <w:rPr>
          <w:rFonts w:hint="eastAsia" w:ascii="仿宋_GB2312" w:hAnsi="仿宋_GB2312" w:eastAsia="仿宋_GB2312" w:cs="仿宋_GB2312"/>
          <w:highlight w:val="none"/>
          <w:lang w:val="en-US" w:eastAsia="zh-CN"/>
        </w:rPr>
        <w:t>3</w:t>
      </w:r>
      <w:r>
        <w:rPr>
          <w:rFonts w:ascii="仿宋_GB2312" w:hAnsi="仿宋_GB2312" w:eastAsia="仿宋_GB2312" w:cs="仿宋_GB2312"/>
          <w:highlight w:val="none"/>
        </w:rPr>
        <w:t>、</w:t>
      </w:r>
      <w:r>
        <w:rPr>
          <w:rFonts w:hint="eastAsia" w:ascii="仿宋_GB2312" w:hAnsi="仿宋_GB2312" w:eastAsia="仿宋_GB2312" w:cs="仿宋_GB2312"/>
          <w:highlight w:val="none"/>
          <w:lang w:val="en-US" w:eastAsia="zh-CN"/>
        </w:rPr>
        <w:t>供应商</w:t>
      </w:r>
      <w:r>
        <w:rPr>
          <w:rFonts w:ascii="仿宋_GB2312" w:hAnsi="仿宋_GB2312" w:eastAsia="仿宋_GB2312" w:cs="仿宋_GB2312"/>
          <w:highlight w:val="none"/>
        </w:rPr>
        <w:t>资质</w:t>
      </w:r>
      <w:r>
        <w:rPr>
          <w:rFonts w:ascii="仿宋_GB2312" w:hAnsi="仿宋_GB2312" w:eastAsia="仿宋_GB2312" w:cs="仿宋_GB2312"/>
          <w:highlight w:val="none"/>
        </w:rPr>
        <w:t>：</w:t>
      </w:r>
      <w:r>
        <w:rPr>
          <w:rFonts w:hint="eastAsia" w:ascii="仿宋_GB2312" w:hAnsi="仿宋_GB2312" w:eastAsia="仿宋_GB2312" w:cs="仿宋_GB2312"/>
          <w:highlight w:val="none"/>
        </w:rPr>
        <w:t>供应商具备建设行政主管部门颁发的建筑工程施工总承包</w:t>
      </w:r>
      <w:r>
        <w:rPr>
          <w:rFonts w:hint="eastAsia" w:ascii="仿宋_GB2312" w:hAnsi="仿宋_GB2312" w:eastAsia="仿宋_GB2312" w:cs="仿宋_GB2312"/>
          <w:highlight w:val="none"/>
          <w:lang w:val="en-US" w:eastAsia="zh-CN"/>
        </w:rPr>
        <w:t>三</w:t>
      </w:r>
      <w:r>
        <w:rPr>
          <w:rFonts w:hint="eastAsia" w:ascii="仿宋_GB2312" w:hAnsi="仿宋_GB2312" w:eastAsia="仿宋_GB2312" w:cs="仿宋_GB2312"/>
          <w:highlight w:val="none"/>
        </w:rPr>
        <w:t>级及以上资质证书，</w:t>
      </w:r>
      <w:r>
        <w:rPr>
          <w:rFonts w:ascii="仿宋_GB2312" w:hAnsi="仿宋_GB2312" w:eastAsia="仿宋_GB2312" w:cs="仿宋_GB2312"/>
          <w:highlight w:val="none"/>
        </w:rPr>
        <w:t>同时具备</w:t>
      </w:r>
      <w:r>
        <w:rPr>
          <w:rFonts w:ascii="仿宋_GB2312" w:hAnsi="仿宋_GB2312" w:eastAsia="仿宋_GB2312" w:cs="仿宋_GB2312"/>
          <w:highlight w:val="none"/>
        </w:rPr>
        <w:t>合格有效的安全生产许可证</w:t>
      </w:r>
      <w:r>
        <w:rPr>
          <w:rFonts w:hint="eastAsia" w:ascii="仿宋_GB2312" w:hAnsi="仿宋_GB2312" w:eastAsia="仿宋_GB2312" w:cs="仿宋_GB2312"/>
          <w:highlight w:val="none"/>
        </w:rPr>
        <w:t>。</w:t>
      </w:r>
    </w:p>
    <w:p w14:paraId="69E09E7B">
      <w:pPr>
        <w:pStyle w:val="10"/>
        <w:rPr>
          <w:rFonts w:hint="eastAsia" w:ascii="仿宋_GB2312" w:hAnsi="仿宋_GB2312" w:eastAsia="仿宋_GB2312" w:cs="仿宋_GB2312"/>
          <w:highlight w:val="none"/>
        </w:rPr>
      </w:pPr>
      <w:r>
        <w:rPr>
          <w:rFonts w:hint="eastAsia" w:ascii="仿宋_GB2312" w:hAnsi="仿宋_GB2312" w:eastAsia="仿宋_GB2312" w:cs="仿宋_GB2312"/>
          <w:highlight w:val="none"/>
          <w:lang w:val="en-US" w:eastAsia="zh-CN"/>
        </w:rPr>
        <w:t>4</w:t>
      </w:r>
      <w:r>
        <w:rPr>
          <w:rFonts w:ascii="仿宋_GB2312" w:hAnsi="仿宋_GB2312" w:eastAsia="仿宋_GB2312" w:cs="仿宋_GB2312"/>
          <w:highlight w:val="none"/>
        </w:rPr>
        <w:t>、拟派项目负责人资质和专业要求：拟派项目经理须具备建筑工程专业二级（含二级）及以上建造师资格，同时具备有效的安全生产考核合格证（建安B证），且无在建项目（提供无在建工程承诺书）</w:t>
      </w:r>
      <w:r>
        <w:rPr>
          <w:rFonts w:hint="eastAsia" w:ascii="仿宋_GB2312" w:hAnsi="仿宋_GB2312" w:eastAsia="仿宋_GB2312" w:cs="仿宋_GB2312"/>
          <w:highlight w:val="none"/>
        </w:rPr>
        <w:t>。</w:t>
      </w:r>
      <w:r>
        <w:rPr>
          <w:rFonts w:hint="eastAsia" w:ascii="仿宋_GB2312" w:hAnsi="仿宋_GB2312" w:eastAsia="仿宋_GB2312" w:cs="仿宋_GB2312"/>
          <w:highlight w:val="none"/>
        </w:rPr>
        <w:br w:type="textWrapping"/>
      </w:r>
      <w:r>
        <w:rPr>
          <w:rFonts w:hint="eastAsia" w:ascii="仿宋_GB2312" w:hAnsi="仿宋_GB2312" w:eastAsia="仿宋_GB2312" w:cs="仿宋_GB2312"/>
          <w:highlight w:val="none"/>
          <w:lang w:val="en-US" w:eastAsia="zh-CN"/>
        </w:rPr>
        <w:t>5.</w:t>
      </w:r>
      <w:r>
        <w:rPr>
          <w:rFonts w:ascii="仿宋_GB2312" w:hAnsi="仿宋_GB2312" w:eastAsia="仿宋_GB2312" w:cs="仿宋_GB2312"/>
          <w:highlight w:val="none"/>
        </w:rPr>
        <w:t>供应商基本信息及项目经理基本信息应在“陕西建设网（http://js.shaanxi.gov.cn/ ）或全国建筑市场监管公共服务平台”可查询；</w:t>
      </w:r>
    </w:p>
    <w:p w14:paraId="4B553778">
      <w:pPr>
        <w:pStyle w:val="10"/>
      </w:pPr>
      <w:r>
        <w:rPr>
          <w:rFonts w:hint="eastAsia" w:ascii="仿宋_GB2312" w:hAnsi="仿宋_GB2312" w:eastAsia="仿宋_GB2312" w:cs="仿宋_GB2312"/>
          <w:highlight w:val="none"/>
          <w:lang w:val="en-US" w:eastAsia="zh-CN"/>
        </w:rPr>
        <w:t>6</w:t>
      </w:r>
      <w:r>
        <w:rPr>
          <w:rFonts w:ascii="仿宋_GB2312" w:hAnsi="仿宋_GB2312" w:eastAsia="仿宋_GB2312" w:cs="仿宋_GB2312"/>
          <w:highlight w:val="none"/>
        </w:rPr>
        <w:t>、信用记录：供应商不得为“信用中国”网站（www.cr</w:t>
      </w:r>
      <w:r>
        <w:rPr>
          <w:rFonts w:ascii="仿宋_GB2312" w:hAnsi="仿宋_GB2312" w:eastAsia="仿宋_GB2312" w:cs="仿宋_GB2312"/>
        </w:rPr>
        <w:t>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715731E1">
      <w:pPr>
        <w:pStyle w:val="1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textWrapping"/>
      </w:r>
      <w:r>
        <w:rPr>
          <w:rFonts w:hint="eastAsia" w:ascii="仿宋_GB2312" w:hAnsi="仿宋_GB2312" w:eastAsia="仿宋_GB2312" w:cs="仿宋_GB2312"/>
          <w:lang w:val="en-US" w:eastAsia="zh-CN"/>
        </w:rPr>
        <w:br w:type="textWrapping"/>
      </w:r>
      <w:r>
        <w:rPr>
          <w:rFonts w:hint="eastAsia" w:ascii="仿宋_GB2312" w:hAnsi="仿宋_GB2312" w:eastAsia="仿宋_GB2312" w:cs="仿宋_GB2312"/>
          <w:lang w:val="en-US" w:eastAsia="zh-CN"/>
        </w:rPr>
        <w:br w:type="textWrapping"/>
      </w:r>
      <w:r>
        <w:rPr>
          <w:rFonts w:hint="eastAsia" w:ascii="仿宋_GB2312" w:hAnsi="仿宋_GB2312" w:eastAsia="仿宋_GB2312" w:cs="仿宋_GB2312"/>
          <w:lang w:val="en-US" w:eastAsia="zh-CN"/>
        </w:rPr>
        <w:br w:type="textWrapping"/>
      </w:r>
    </w:p>
    <w:p w14:paraId="47C18F5C">
      <w:pPr>
        <w:pStyle w:val="10"/>
        <w:rPr>
          <w:rFonts w:hint="eastAsia" w:ascii="仿宋_GB2312" w:hAnsi="仿宋_GB2312" w:eastAsia="仿宋_GB2312" w:cs="仿宋_GB2312"/>
          <w:lang w:val="en-US" w:eastAsia="zh-CN"/>
        </w:rPr>
      </w:pPr>
    </w:p>
    <w:p w14:paraId="19635BFC">
      <w:pPr>
        <w:pStyle w:val="10"/>
        <w:rPr>
          <w:rFonts w:hint="eastAsia" w:ascii="仿宋_GB2312" w:hAnsi="仿宋_GB2312" w:eastAsia="仿宋_GB2312" w:cs="仿宋_GB2312"/>
          <w:lang w:val="en-US" w:eastAsia="zh-CN"/>
        </w:rPr>
      </w:pPr>
    </w:p>
    <w:p w14:paraId="7C9A8084">
      <w:pPr>
        <w:pStyle w:val="10"/>
        <w:rPr>
          <w:rFonts w:hint="eastAsia" w:ascii="仿宋_GB2312" w:hAnsi="仿宋_GB2312" w:eastAsia="仿宋_GB2312" w:cs="仿宋_GB2312"/>
          <w:lang w:val="en-US" w:eastAsia="zh-CN"/>
        </w:rPr>
      </w:pPr>
    </w:p>
    <w:p w14:paraId="1CA4CFC3">
      <w:pPr>
        <w:pStyle w:val="10"/>
        <w:rPr>
          <w:rFonts w:hint="eastAsia" w:ascii="仿宋_GB2312" w:hAnsi="仿宋_GB2312" w:eastAsia="仿宋_GB2312" w:cs="仿宋_GB2312"/>
          <w:lang w:val="en-US" w:eastAsia="zh-CN"/>
        </w:rPr>
      </w:pPr>
    </w:p>
    <w:p w14:paraId="0A2029B2">
      <w:pPr>
        <w:pStyle w:val="10"/>
        <w:rPr>
          <w:rFonts w:hint="eastAsia" w:ascii="仿宋_GB2312" w:hAnsi="仿宋_GB2312" w:eastAsia="仿宋_GB2312" w:cs="仿宋_GB2312"/>
          <w:lang w:val="en-US" w:eastAsia="zh-CN"/>
        </w:rPr>
      </w:pPr>
    </w:p>
    <w:p w14:paraId="300C900B">
      <w:pPr>
        <w:pStyle w:val="10"/>
        <w:rPr>
          <w:rFonts w:hint="eastAsia" w:ascii="仿宋_GB2312" w:hAnsi="仿宋_GB2312" w:eastAsia="仿宋_GB2312" w:cs="仿宋_GB2312"/>
          <w:lang w:val="en-US" w:eastAsia="zh-CN"/>
        </w:rPr>
      </w:pPr>
    </w:p>
    <w:p w14:paraId="2478B1B6">
      <w:pPr>
        <w:pStyle w:val="10"/>
        <w:rPr>
          <w:rFonts w:hint="eastAsia" w:ascii="仿宋_GB2312" w:hAnsi="仿宋_GB2312" w:eastAsia="仿宋_GB2312" w:cs="仿宋_GB2312"/>
          <w:lang w:val="en-US" w:eastAsia="zh-CN"/>
        </w:rPr>
      </w:pPr>
    </w:p>
    <w:p w14:paraId="78B7A8B3">
      <w:pPr>
        <w:pStyle w:val="10"/>
        <w:rPr>
          <w:rFonts w:hint="eastAsia" w:ascii="仿宋_GB2312" w:hAnsi="仿宋_GB2312" w:eastAsia="仿宋_GB2312" w:cs="仿宋_GB2312"/>
          <w:lang w:val="en-US" w:eastAsia="zh-CN"/>
        </w:rPr>
      </w:pPr>
    </w:p>
    <w:p w14:paraId="3B6A7D6C">
      <w:pPr>
        <w:pStyle w:val="10"/>
        <w:rPr>
          <w:rFonts w:hint="eastAsia" w:ascii="仿宋_GB2312" w:hAnsi="仿宋_GB2312" w:eastAsia="仿宋_GB2312" w:cs="仿宋_GB2312"/>
          <w:lang w:val="en-US" w:eastAsia="zh-CN"/>
        </w:rPr>
      </w:pPr>
    </w:p>
    <w:p w14:paraId="091C1E67">
      <w:pPr>
        <w:pStyle w:val="10"/>
        <w:rPr>
          <w:rFonts w:hint="eastAsia" w:ascii="仿宋_GB2312" w:hAnsi="仿宋_GB2312" w:eastAsia="仿宋_GB2312" w:cs="仿宋_GB2312"/>
          <w:lang w:val="en-US" w:eastAsia="zh-CN"/>
        </w:rPr>
      </w:pPr>
    </w:p>
    <w:p w14:paraId="193875B5">
      <w:pPr>
        <w:pStyle w:val="10"/>
        <w:rPr>
          <w:rFonts w:hint="eastAsia" w:ascii="仿宋_GB2312" w:hAnsi="仿宋_GB2312" w:eastAsia="仿宋_GB2312" w:cs="仿宋_GB2312"/>
          <w:lang w:val="en-US" w:eastAsia="zh-CN"/>
        </w:rPr>
      </w:pPr>
    </w:p>
    <w:p w14:paraId="43E8B660">
      <w:pPr>
        <w:pStyle w:val="10"/>
        <w:rPr>
          <w:rFonts w:hint="eastAsia" w:ascii="仿宋_GB2312" w:hAnsi="仿宋_GB2312" w:eastAsia="仿宋_GB2312" w:cs="仿宋_GB2312"/>
          <w:lang w:val="en-US" w:eastAsia="zh-CN"/>
        </w:rPr>
      </w:pPr>
    </w:p>
    <w:p w14:paraId="65714630">
      <w:pPr>
        <w:pStyle w:val="10"/>
        <w:rPr>
          <w:rFonts w:hint="eastAsia" w:ascii="仿宋_GB2312" w:hAnsi="仿宋_GB2312" w:eastAsia="仿宋_GB2312" w:cs="仿宋_GB2312"/>
          <w:lang w:val="en-US" w:eastAsia="zh-CN"/>
        </w:rPr>
      </w:pPr>
    </w:p>
    <w:p w14:paraId="4FAD224E">
      <w:pPr>
        <w:pStyle w:val="10"/>
        <w:rPr>
          <w:rFonts w:hint="eastAsia" w:ascii="仿宋_GB2312" w:hAnsi="仿宋_GB2312" w:eastAsia="仿宋_GB2312" w:cs="仿宋_GB2312"/>
          <w:lang w:val="en-US" w:eastAsia="zh-CN"/>
        </w:rPr>
      </w:pPr>
    </w:p>
    <w:p w14:paraId="10FE4469">
      <w:pPr>
        <w:pStyle w:val="10"/>
        <w:rPr>
          <w:rFonts w:hint="eastAsia" w:ascii="仿宋_GB2312" w:hAnsi="仿宋_GB2312" w:eastAsia="仿宋_GB2312" w:cs="仿宋_GB2312"/>
          <w:lang w:val="en-US" w:eastAsia="zh-CN"/>
        </w:rPr>
      </w:pPr>
    </w:p>
    <w:p w14:paraId="3028771D">
      <w:pPr>
        <w:pStyle w:val="10"/>
        <w:rPr>
          <w:rFonts w:hint="eastAsia" w:ascii="仿宋_GB2312" w:hAnsi="仿宋_GB2312" w:eastAsia="仿宋_GB2312" w:cs="仿宋_GB2312"/>
          <w:lang w:val="en-US" w:eastAsia="zh-CN"/>
        </w:rPr>
      </w:pPr>
    </w:p>
    <w:p w14:paraId="0703FC89">
      <w:pPr>
        <w:pStyle w:val="10"/>
        <w:rPr>
          <w:rFonts w:hint="eastAsia" w:ascii="仿宋_GB2312" w:hAnsi="仿宋_GB2312" w:eastAsia="仿宋_GB2312" w:cs="仿宋_GB2312"/>
          <w:lang w:val="en-US" w:eastAsia="zh-CN"/>
        </w:rPr>
      </w:pPr>
    </w:p>
    <w:p w14:paraId="37BCE46C">
      <w:pPr>
        <w:pStyle w:val="10"/>
        <w:rPr>
          <w:rFonts w:hint="eastAsia" w:ascii="仿宋_GB2312" w:hAnsi="仿宋_GB2312" w:eastAsia="仿宋_GB2312" w:cs="仿宋_GB2312"/>
          <w:lang w:val="en-US" w:eastAsia="zh-CN"/>
        </w:rPr>
      </w:pPr>
    </w:p>
    <w:p w14:paraId="6EE70CF4">
      <w:pPr>
        <w:pStyle w:val="10"/>
        <w:rPr>
          <w:rFonts w:hint="eastAsia" w:ascii="仿宋_GB2312" w:hAnsi="仿宋_GB2312" w:eastAsia="仿宋_GB2312" w:cs="仿宋_GB2312"/>
          <w:lang w:val="en-US" w:eastAsia="zh-CN"/>
        </w:rPr>
      </w:pPr>
    </w:p>
    <w:p w14:paraId="59B3B872">
      <w:pPr>
        <w:pStyle w:val="10"/>
        <w:rPr>
          <w:rFonts w:hint="eastAsia" w:ascii="仿宋_GB2312" w:hAnsi="仿宋_GB2312" w:eastAsia="仿宋_GB2312" w:cs="仿宋_GB2312"/>
          <w:lang w:val="en-US" w:eastAsia="zh-CN"/>
        </w:rPr>
      </w:pPr>
    </w:p>
    <w:p w14:paraId="6DD3FB22">
      <w:pPr>
        <w:pStyle w:val="10"/>
        <w:rPr>
          <w:rFonts w:hint="eastAsia" w:ascii="仿宋_GB2312" w:hAnsi="仿宋_GB2312" w:eastAsia="仿宋_GB2312" w:cs="仿宋_GB2312"/>
          <w:lang w:val="en-US" w:eastAsia="zh-CN"/>
        </w:rPr>
      </w:pPr>
    </w:p>
    <w:p w14:paraId="2B00D7F9">
      <w:pPr>
        <w:pStyle w:val="10"/>
        <w:rPr>
          <w:rFonts w:hint="eastAsia" w:ascii="仿宋_GB2312" w:hAnsi="仿宋_GB2312" w:eastAsia="仿宋_GB2312" w:cs="仿宋_GB2312"/>
          <w:lang w:val="en-US" w:eastAsia="zh-CN"/>
        </w:rPr>
      </w:pPr>
    </w:p>
    <w:p w14:paraId="679E64B6">
      <w:pPr>
        <w:pStyle w:val="10"/>
        <w:rPr>
          <w:rFonts w:hint="eastAsia" w:ascii="仿宋_GB2312" w:hAnsi="仿宋_GB2312" w:eastAsia="仿宋_GB2312" w:cs="仿宋_GB2312"/>
          <w:lang w:val="en-US" w:eastAsia="zh-CN"/>
        </w:rPr>
      </w:pPr>
    </w:p>
    <w:p w14:paraId="628A336E">
      <w:pPr>
        <w:pStyle w:val="10"/>
        <w:rPr>
          <w:rFonts w:hint="eastAsia" w:ascii="仿宋_GB2312" w:hAnsi="仿宋_GB2312" w:eastAsia="仿宋_GB2312" w:cs="仿宋_GB2312"/>
          <w:lang w:val="en-US" w:eastAsia="zh-CN"/>
        </w:rPr>
      </w:pPr>
    </w:p>
    <w:p w14:paraId="63CE8AA0">
      <w:pPr>
        <w:pStyle w:val="10"/>
        <w:rPr>
          <w:rFonts w:hint="eastAsia" w:ascii="仿宋_GB2312" w:hAnsi="仿宋_GB2312" w:eastAsia="仿宋_GB2312" w:cs="仿宋_GB2312"/>
          <w:lang w:val="en-US" w:eastAsia="zh-CN"/>
        </w:rPr>
      </w:pPr>
    </w:p>
    <w:p w14:paraId="5782FC88">
      <w:pPr>
        <w:pStyle w:val="10"/>
        <w:rPr>
          <w:rFonts w:hint="eastAsia" w:ascii="仿宋_GB2312" w:hAnsi="仿宋_GB2312" w:eastAsia="仿宋_GB2312" w:cs="仿宋_GB2312"/>
          <w:lang w:val="en-US" w:eastAsia="zh-CN"/>
        </w:rPr>
      </w:pPr>
    </w:p>
    <w:p w14:paraId="70B29D8B">
      <w:pPr>
        <w:pStyle w:val="10"/>
        <w:rPr>
          <w:rFonts w:hint="eastAsia" w:ascii="仿宋_GB2312" w:hAnsi="仿宋_GB2312" w:eastAsia="仿宋_GB2312" w:cs="仿宋_GB2312"/>
          <w:lang w:val="en-US" w:eastAsia="zh-CN"/>
        </w:rPr>
      </w:pPr>
    </w:p>
    <w:p w14:paraId="5BBAF65A">
      <w:pPr>
        <w:pStyle w:val="10"/>
        <w:rPr>
          <w:rFonts w:hint="eastAsia" w:ascii="仿宋_GB2312" w:hAnsi="仿宋_GB2312" w:eastAsia="仿宋_GB2312" w:cs="仿宋_GB2312"/>
          <w:lang w:val="en-US" w:eastAsia="zh-CN"/>
        </w:rPr>
      </w:pPr>
    </w:p>
    <w:p w14:paraId="28523ADE">
      <w:pPr>
        <w:pStyle w:val="10"/>
        <w:rPr>
          <w:rFonts w:hint="eastAsia" w:ascii="仿宋_GB2312" w:hAnsi="仿宋_GB2312" w:eastAsia="仿宋_GB2312" w:cs="仿宋_GB2312"/>
          <w:lang w:val="en-US" w:eastAsia="zh-CN"/>
        </w:rPr>
      </w:pPr>
    </w:p>
    <w:p w14:paraId="7DCA4779">
      <w:pPr>
        <w:pStyle w:val="10"/>
        <w:rPr>
          <w:rFonts w:hint="eastAsia" w:ascii="仿宋_GB2312" w:hAnsi="仿宋_GB2312" w:eastAsia="仿宋_GB2312" w:cs="仿宋_GB2312"/>
          <w:lang w:val="en-US" w:eastAsia="zh-CN"/>
        </w:rPr>
      </w:pPr>
    </w:p>
    <w:p w14:paraId="580DF118">
      <w:pPr>
        <w:pStyle w:val="10"/>
        <w:rPr>
          <w:rFonts w:hint="eastAsia" w:ascii="仿宋_GB2312" w:hAnsi="仿宋_GB2312" w:eastAsia="仿宋_GB2312" w:cs="仿宋_GB2312"/>
          <w:lang w:val="en-US" w:eastAsia="zh-CN"/>
        </w:rPr>
      </w:pPr>
    </w:p>
    <w:p w14:paraId="1089CE3F">
      <w:pPr>
        <w:pStyle w:val="10"/>
        <w:rPr>
          <w:rFonts w:hint="eastAsia" w:ascii="仿宋_GB2312" w:hAnsi="仿宋_GB2312" w:eastAsia="仿宋_GB2312" w:cs="仿宋_GB2312"/>
          <w:lang w:val="en-US" w:eastAsia="zh-CN"/>
        </w:rPr>
      </w:pPr>
    </w:p>
    <w:p w14:paraId="6DA90C8B">
      <w:pPr>
        <w:pStyle w:val="10"/>
        <w:rPr>
          <w:rFonts w:hint="eastAsia" w:ascii="仿宋_GB2312" w:hAnsi="仿宋_GB2312" w:eastAsia="仿宋_GB2312" w:cs="仿宋_GB2312"/>
          <w:lang w:val="en-US" w:eastAsia="zh-CN"/>
        </w:rPr>
      </w:pPr>
    </w:p>
    <w:p w14:paraId="3C35EAA2">
      <w:pPr>
        <w:pStyle w:val="10"/>
        <w:rPr>
          <w:rFonts w:hint="eastAsia" w:ascii="仿宋_GB2312" w:hAnsi="仿宋_GB2312" w:eastAsia="仿宋_GB2312" w:cs="仿宋_GB2312"/>
          <w:lang w:val="en-US" w:eastAsia="zh-CN"/>
        </w:rPr>
      </w:pPr>
    </w:p>
    <w:p w14:paraId="153EFD51">
      <w:pPr>
        <w:pStyle w:val="10"/>
      </w:pPr>
      <w:r>
        <w:rPr>
          <w:rFonts w:hint="eastAsia" w:ascii="仿宋_GB2312" w:hAnsi="仿宋_GB2312" w:eastAsia="仿宋_GB2312" w:cs="仿宋_GB2312"/>
          <w:lang w:val="en-US" w:eastAsia="zh-CN"/>
        </w:rPr>
        <w:t>7</w:t>
      </w:r>
      <w:r>
        <w:rPr>
          <w:rFonts w:ascii="仿宋_GB2312" w:hAnsi="仿宋_GB2312" w:eastAsia="仿宋_GB2312" w:cs="仿宋_GB2312"/>
        </w:rPr>
        <w:t>、联合体：本项目不接受联合体磋商。</w:t>
      </w:r>
    </w:p>
    <w:p w14:paraId="0D34E561">
      <w:pPr>
        <w:pStyle w:val="7"/>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cs="宋体"/>
          <w:kern w:val="0"/>
          <w:sz w:val="24"/>
          <w:szCs w:val="24"/>
          <w:lang w:eastAsia="zh-CN"/>
        </w:rPr>
        <w:t>陕西明正招标有限公司</w:t>
      </w:r>
      <w:r>
        <w:rPr>
          <w:rFonts w:hint="eastAsia" w:ascii="宋体" w:hAnsi="宋体" w:eastAsia="宋体" w:cs="宋体"/>
          <w:kern w:val="0"/>
          <w:sz w:val="24"/>
          <w:szCs w:val="24"/>
        </w:rPr>
        <w:t>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2"/>
        <w:rPr>
          <w:rFonts w:hint="eastAsia" w:ascii="宋体" w:hAnsi="宋体" w:eastAsia="宋体" w:cs="宋体"/>
          <w:sz w:val="24"/>
          <w:szCs w:val="24"/>
        </w:rPr>
      </w:pPr>
    </w:p>
    <w:p w14:paraId="34B47D51">
      <w:pPr>
        <w:pStyle w:val="2"/>
        <w:rPr>
          <w:rFonts w:hint="eastAsia" w:ascii="宋体" w:hAnsi="宋体" w:eastAsia="宋体" w:cs="宋体"/>
          <w:sz w:val="24"/>
          <w:szCs w:val="24"/>
        </w:rPr>
      </w:pPr>
    </w:p>
    <w:p w14:paraId="4856CEF1">
      <w:pPr>
        <w:pStyle w:val="2"/>
        <w:rPr>
          <w:rFonts w:hint="eastAsia" w:ascii="宋体" w:hAnsi="宋体" w:eastAsia="宋体" w:cs="宋体"/>
          <w:sz w:val="24"/>
          <w:szCs w:val="24"/>
        </w:rPr>
      </w:pPr>
    </w:p>
    <w:p w14:paraId="2E628DB9">
      <w:pPr>
        <w:pStyle w:val="2"/>
        <w:rPr>
          <w:rFonts w:hint="eastAsia" w:ascii="宋体" w:hAnsi="宋体" w:eastAsia="宋体" w:cs="宋体"/>
          <w:sz w:val="24"/>
          <w:szCs w:val="24"/>
        </w:rPr>
      </w:pPr>
    </w:p>
    <w:p w14:paraId="2CA877C2">
      <w:pPr>
        <w:pStyle w:val="2"/>
        <w:rPr>
          <w:rFonts w:hint="eastAsia" w:ascii="宋体" w:hAnsi="宋体" w:eastAsia="宋体" w:cs="宋体"/>
          <w:sz w:val="24"/>
          <w:szCs w:val="24"/>
        </w:rPr>
      </w:pPr>
    </w:p>
    <w:p w14:paraId="1DBEAB79">
      <w:pPr>
        <w:pStyle w:val="2"/>
        <w:rPr>
          <w:rFonts w:hint="eastAsia" w:ascii="宋体" w:hAnsi="宋体" w:eastAsia="宋体" w:cs="宋体"/>
          <w:sz w:val="24"/>
          <w:szCs w:val="24"/>
        </w:rPr>
      </w:pPr>
    </w:p>
    <w:p w14:paraId="72CAC0E5">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p w14:paraId="2A1F0DAC">
      <w:pPr>
        <w:pStyle w:val="10"/>
        <w:rPr>
          <w:highlight w:val="none"/>
        </w:rPr>
      </w:pPr>
    </w:p>
    <w:p w14:paraId="624571B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4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D6533A"/>
    <w:rsid w:val="538C4918"/>
    <w:rsid w:val="53EF6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Plain Text"/>
    <w:basedOn w:val="1"/>
    <w:qFormat/>
    <w:uiPriority w:val="0"/>
    <w:pPr>
      <w:spacing w:line="324" w:lineRule="auto"/>
    </w:pPr>
    <w:rPr>
      <w:rFonts w:ascii="宋体" w:hAnsi="Courier New" w:cs="Courier New"/>
      <w:szCs w:val="21"/>
    </w:rPr>
  </w:style>
  <w:style w:type="paragraph" w:styleId="4">
    <w:name w:val="Body Text"/>
    <w:basedOn w:val="1"/>
    <w:semiHidden/>
    <w:qFormat/>
    <w:uiPriority w:val="0"/>
    <w:rPr>
      <w:rFonts w:ascii="仿宋" w:hAnsi="仿宋" w:eastAsia="仿宋" w:cs="仿宋"/>
      <w:sz w:val="32"/>
      <w:szCs w:val="32"/>
      <w:lang w:val="en-US" w:eastAsia="en-US" w:bidi="ar-SA"/>
    </w:rPr>
  </w:style>
  <w:style w:type="paragraph" w:styleId="5">
    <w:name w:val="Body Text Indent"/>
    <w:basedOn w:val="1"/>
    <w:next w:val="1"/>
    <w:qFormat/>
    <w:uiPriority w:val="0"/>
    <w:pPr>
      <w:ind w:left="420" w:leftChars="200"/>
    </w:p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Body Text First Indent 2"/>
    <w:basedOn w:val="5"/>
    <w:next w:val="1"/>
    <w:unhideWhenUsed/>
    <w:qFormat/>
    <w:uiPriority w:val="0"/>
    <w:pPr>
      <w:ind w:firstLine="420" w:firstLineChars="200"/>
    </w:pPr>
    <w:rPr>
      <w:szCs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1163</Words>
  <Characters>1430</Characters>
  <Lines>0</Lines>
  <Paragraphs>0</Paragraphs>
  <TotalTime>0</TotalTime>
  <ScaleCrop>false</ScaleCrop>
  <LinksUpToDate>false</LinksUpToDate>
  <CharactersWithSpaces>1501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2026-08-14T16:38:00Z</dcterms:created>
  <dc:creator>代洋洋</dc:creator>
  <cp:lastModifiedBy>yangying</cp:lastModifiedBy>
  <dcterms:modified xsi:type="dcterms:W3CDTF">2026-08-16T08:50:29Z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eyJoZGlkIjoiNzljYzI3MjZkM2VkNmU3ZDAyYTJjZWY0ZjIxNWQ0OTIiLCJ1c2VySWQiOiI0MTI3NzMzNjcifQ==</vt:lpwstr>
  </property>
  <property fmtid="{D5CDD505-2E9C-101B-9397-08002B2CF9AE}" pid="4" name="ICV">
    <vt:lpwstr>B2FB7C1BE64B4F568A55A290E3FB5F21_12</vt:lpwstr>
  </property>
</Properties>
</file>