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auto"/>
        <w:jc w:val="right"/>
        <w:rPr>
          <w:rFonts w:hint="eastAsia" w:ascii="仿宋" w:hAnsi="仿宋" w:eastAsia="仿宋" w:cs="仿宋"/>
          <w:b/>
          <w:color w:val="000000"/>
          <w:spacing w:val="-20"/>
          <w:sz w:val="32"/>
          <w:szCs w:val="32"/>
          <w:highlight w:val="none"/>
          <w:u w:val="none"/>
        </w:rPr>
      </w:pPr>
      <w:r>
        <w:rPr>
          <w:rFonts w:hint="eastAsia" w:ascii="仿宋" w:hAnsi="仿宋" w:eastAsia="仿宋" w:cs="仿宋"/>
          <w:b/>
          <w:color w:val="000000"/>
          <w:spacing w:val="-20"/>
          <w:sz w:val="32"/>
          <w:szCs w:val="32"/>
          <w:highlight w:val="none"/>
          <w:u w:val="none"/>
        </w:rPr>
        <w:t xml:space="preserve"> </w:t>
      </w:r>
      <w:r>
        <w:rPr>
          <w:rFonts w:hint="eastAsia" w:ascii="仿宋" w:hAnsi="仿宋" w:eastAsia="仿宋" w:cs="仿宋"/>
          <w:b/>
          <w:bCs w:val="0"/>
          <w:color w:val="000000"/>
          <w:spacing w:val="-20"/>
          <w:sz w:val="32"/>
          <w:szCs w:val="32"/>
          <w:highlight w:val="none"/>
          <w:u w:val="none"/>
        </w:rPr>
        <w:t xml:space="preserve"> </w:t>
      </w:r>
      <w:bookmarkStart w:id="0" w:name="OLE_LINK76"/>
      <w:r>
        <w:rPr>
          <w:rFonts w:hint="eastAsia" w:ascii="仿宋" w:hAnsi="仿宋" w:eastAsia="仿宋" w:cs="仿宋"/>
          <w:b/>
          <w:bCs w:val="0"/>
          <w:color w:val="000000"/>
          <w:spacing w:val="-20"/>
          <w:sz w:val="32"/>
          <w:szCs w:val="32"/>
          <w:highlight w:val="none"/>
          <w:u w:val="none"/>
          <w:lang w:val="en-US" w:eastAsia="zh-CN"/>
        </w:rPr>
        <w:t>合同编号:</w:t>
      </w:r>
      <w:r>
        <w:rPr>
          <w:rFonts w:hint="eastAsia" w:ascii="仿宋" w:hAnsi="仿宋" w:eastAsia="仿宋" w:cs="仿宋"/>
          <w:b/>
          <w:bCs w:val="0"/>
          <w:color w:val="000000"/>
          <w:sz w:val="32"/>
          <w:szCs w:val="32"/>
          <w:highlight w:val="none"/>
          <w:u w:val="none"/>
        </w:rPr>
        <w:t>招采</w:t>
      </w:r>
      <w:r>
        <w:rPr>
          <w:rFonts w:hint="eastAsia" w:ascii="仿宋" w:hAnsi="仿宋" w:eastAsia="仿宋" w:cs="仿宋"/>
          <w:b/>
          <w:bCs w:val="0"/>
          <w:color w:val="000000"/>
          <w:sz w:val="32"/>
          <w:szCs w:val="32"/>
          <w:highlight w:val="none"/>
          <w:u w:val="none"/>
          <w:lang w:val="en-US" w:eastAsia="zh-CN"/>
        </w:rPr>
        <w:t>服务</w:t>
      </w:r>
      <w:r>
        <w:rPr>
          <w:rFonts w:hint="eastAsia" w:ascii="仿宋" w:hAnsi="仿宋" w:eastAsia="仿宋" w:cs="仿宋"/>
          <w:b/>
          <w:bCs w:val="0"/>
          <w:color w:val="000000"/>
          <w:sz w:val="32"/>
          <w:szCs w:val="32"/>
          <w:highlight w:val="none"/>
          <w:u w:val="none"/>
        </w:rPr>
        <w:t>202</w:t>
      </w:r>
      <w:r>
        <w:rPr>
          <w:rFonts w:hint="eastAsia" w:ascii="仿宋" w:hAnsi="仿宋" w:eastAsia="仿宋" w:cs="仿宋"/>
          <w:b/>
          <w:bCs w:val="0"/>
          <w:color w:val="000000"/>
          <w:sz w:val="32"/>
          <w:szCs w:val="32"/>
          <w:highlight w:val="none"/>
          <w:u w:val="none"/>
          <w:lang w:val="en-US" w:eastAsia="zh-CN"/>
        </w:rPr>
        <w:t>6</w:t>
      </w:r>
      <w:r>
        <w:rPr>
          <w:rFonts w:hint="eastAsia" w:ascii="仿宋" w:hAnsi="仿宋" w:eastAsia="仿宋" w:cs="仿宋"/>
          <w:b/>
          <w:bCs w:val="0"/>
          <w:color w:val="000000"/>
          <w:sz w:val="32"/>
          <w:szCs w:val="32"/>
          <w:highlight w:val="none"/>
          <w:u w:val="none"/>
        </w:rPr>
        <w:t>(</w:t>
      </w:r>
      <w:r>
        <w:rPr>
          <w:rFonts w:hint="eastAsia" w:ascii="仿宋" w:hAnsi="仿宋" w:eastAsia="仿宋" w:cs="仿宋"/>
          <w:b/>
          <w:bCs w:val="0"/>
          <w:color w:val="000000"/>
          <w:sz w:val="32"/>
          <w:szCs w:val="32"/>
          <w:highlight w:val="none"/>
          <w:u w:val="none"/>
          <w:lang w:val="en-US" w:eastAsia="zh-CN"/>
        </w:rPr>
        <w:t xml:space="preserve">    </w:t>
      </w:r>
      <w:r>
        <w:rPr>
          <w:rFonts w:hint="eastAsia" w:ascii="仿宋" w:hAnsi="仿宋" w:eastAsia="仿宋" w:cs="仿宋"/>
          <w:b/>
          <w:bCs w:val="0"/>
          <w:color w:val="000000"/>
          <w:sz w:val="32"/>
          <w:szCs w:val="32"/>
          <w:highlight w:val="none"/>
          <w:u w:val="none"/>
        </w:rPr>
        <w:t>)号</w:t>
      </w:r>
    </w:p>
    <w:p>
      <w:pPr>
        <w:shd w:val="clear" w:color="auto" w:fill="auto"/>
        <w:rPr>
          <w:rFonts w:hint="eastAsia" w:ascii="仿宋" w:hAnsi="仿宋" w:eastAsia="仿宋" w:cs="仿宋"/>
          <w:color w:val="000000"/>
          <w:sz w:val="52"/>
          <w:szCs w:val="52"/>
          <w:highlight w:val="none"/>
          <w:u w:val="none"/>
        </w:rPr>
      </w:pPr>
    </w:p>
    <w:p>
      <w:pPr>
        <w:shd w:val="clear" w:color="auto" w:fill="auto"/>
        <w:spacing w:line="360" w:lineRule="auto"/>
        <w:jc w:val="center"/>
        <w:rPr>
          <w:rFonts w:hint="eastAsia" w:ascii="仿宋" w:hAnsi="仿宋" w:eastAsia="仿宋" w:cs="仿宋"/>
          <w:b/>
          <w:bCs/>
          <w:color w:val="000000"/>
          <w:sz w:val="44"/>
          <w:szCs w:val="44"/>
          <w:highlight w:val="none"/>
          <w:u w:val="none"/>
          <w:lang w:eastAsia="zh-CN"/>
        </w:rPr>
      </w:pPr>
      <w:r>
        <w:rPr>
          <w:rFonts w:hint="eastAsia" w:ascii="仿宋" w:hAnsi="仿宋" w:eastAsia="仿宋" w:cs="仿宋"/>
          <w:b/>
          <w:bCs/>
          <w:color w:val="000000"/>
          <w:sz w:val="44"/>
          <w:szCs w:val="44"/>
          <w:highlight w:val="none"/>
          <w:u w:val="none"/>
          <w:lang w:eastAsia="zh-CN"/>
        </w:rPr>
        <w:t>“何以中国・诗词里的千年文脉”网络主题宣传活动线上推广项目</w:t>
      </w:r>
    </w:p>
    <w:p>
      <w:pPr>
        <w:shd w:val="clear" w:color="auto" w:fill="auto"/>
        <w:spacing w:line="360" w:lineRule="auto"/>
        <w:jc w:val="center"/>
        <w:rPr>
          <w:rFonts w:hint="eastAsia" w:ascii="仿宋" w:hAnsi="仿宋" w:eastAsia="仿宋" w:cs="仿宋"/>
          <w:b/>
          <w:color w:val="000000"/>
          <w:sz w:val="48"/>
          <w:szCs w:val="48"/>
          <w:highlight w:val="none"/>
          <w:u w:val="none"/>
        </w:rPr>
      </w:pPr>
      <w:r>
        <w:rPr>
          <w:rFonts w:hint="eastAsia" w:ascii="仿宋" w:hAnsi="仿宋" w:eastAsia="仿宋" w:cs="仿宋"/>
          <w:b/>
          <w:color w:val="000000"/>
          <w:sz w:val="48"/>
          <w:szCs w:val="48"/>
          <w:highlight w:val="none"/>
          <w:u w:val="none"/>
          <w:lang w:val="en-US" w:eastAsia="zh-CN"/>
        </w:rPr>
        <w:t>服 务</w:t>
      </w:r>
      <w:r>
        <w:rPr>
          <w:rFonts w:hint="eastAsia" w:ascii="仿宋" w:hAnsi="仿宋" w:eastAsia="仿宋" w:cs="仿宋"/>
          <w:b/>
          <w:color w:val="000000"/>
          <w:sz w:val="48"/>
          <w:szCs w:val="48"/>
          <w:highlight w:val="none"/>
          <w:u w:val="none"/>
        </w:rPr>
        <w:t xml:space="preserve"> 合 同</w:t>
      </w:r>
    </w:p>
    <w:p>
      <w:pPr>
        <w:shd w:val="clear" w:color="auto" w:fill="auto"/>
        <w:spacing w:line="360" w:lineRule="auto"/>
        <w:jc w:val="center"/>
        <w:rPr>
          <w:rFonts w:hint="eastAsia" w:ascii="仿宋" w:hAnsi="仿宋" w:eastAsia="仿宋" w:cs="仿宋"/>
          <w:b/>
          <w:bCs/>
          <w:color w:val="000000"/>
          <w:sz w:val="44"/>
          <w:szCs w:val="44"/>
          <w:highlight w:val="none"/>
          <w:u w:val="none"/>
        </w:rPr>
      </w:pPr>
    </w:p>
    <w:p>
      <w:pPr>
        <w:shd w:val="clear" w:color="auto" w:fill="auto"/>
        <w:spacing w:line="510" w:lineRule="atLeast"/>
        <w:rPr>
          <w:rFonts w:hint="eastAsia" w:ascii="仿宋" w:hAnsi="仿宋" w:eastAsia="仿宋" w:cs="仿宋"/>
          <w:b/>
          <w:color w:val="000000"/>
          <w:sz w:val="30"/>
          <w:szCs w:val="30"/>
          <w:highlight w:val="none"/>
          <w:u w:val="none"/>
        </w:rPr>
      </w:pPr>
    </w:p>
    <w:p>
      <w:pPr>
        <w:pStyle w:val="2"/>
        <w:shd w:val="clear" w:color="auto" w:fill="auto"/>
        <w:rPr>
          <w:rFonts w:hint="eastAsia" w:ascii="仿宋" w:hAnsi="仿宋" w:eastAsia="仿宋" w:cs="仿宋"/>
          <w:b/>
          <w:color w:val="000000"/>
          <w:sz w:val="30"/>
          <w:szCs w:val="30"/>
          <w:highlight w:val="none"/>
          <w:u w:val="none"/>
        </w:rPr>
      </w:pPr>
    </w:p>
    <w:p>
      <w:pPr>
        <w:shd w:val="clear" w:color="auto" w:fill="auto"/>
        <w:rPr>
          <w:rFonts w:hint="eastAsia" w:ascii="仿宋" w:hAnsi="仿宋" w:eastAsia="仿宋" w:cs="仿宋"/>
          <w:color w:val="000000"/>
          <w:highlight w:val="none"/>
          <w:u w:val="none"/>
        </w:rPr>
      </w:pPr>
      <w:bookmarkStart w:id="2" w:name="_GoBack"/>
      <w:bookmarkEnd w:id="2"/>
    </w:p>
    <w:p>
      <w:pPr>
        <w:pStyle w:val="2"/>
        <w:shd w:val="clear" w:color="auto" w:fill="auto"/>
        <w:rPr>
          <w:rFonts w:hint="eastAsia" w:ascii="仿宋" w:hAnsi="仿宋" w:eastAsia="仿宋" w:cs="仿宋"/>
          <w:color w:val="000000"/>
          <w:highlight w:val="none"/>
          <w:u w:val="none"/>
        </w:rPr>
      </w:pPr>
    </w:p>
    <w:p>
      <w:pPr>
        <w:shd w:val="clear" w:color="auto" w:fill="auto"/>
        <w:spacing w:line="510" w:lineRule="atLeast"/>
        <w:jc w:val="center"/>
        <w:rPr>
          <w:rFonts w:hint="eastAsia" w:ascii="仿宋" w:hAnsi="仿宋" w:eastAsia="仿宋" w:cs="仿宋"/>
          <w:b/>
          <w:color w:val="000000"/>
          <w:sz w:val="30"/>
          <w:szCs w:val="30"/>
          <w:highlight w:val="none"/>
          <w:u w:val="none"/>
        </w:rPr>
      </w:pPr>
    </w:p>
    <w:p>
      <w:pPr>
        <w:pStyle w:val="2"/>
        <w:shd w:val="clear" w:color="auto" w:fill="auto"/>
        <w:rPr>
          <w:rFonts w:hint="eastAsia" w:ascii="仿宋" w:hAnsi="仿宋" w:eastAsia="仿宋" w:cs="仿宋"/>
          <w:b/>
          <w:color w:val="000000"/>
          <w:sz w:val="30"/>
          <w:szCs w:val="30"/>
          <w:highlight w:val="none"/>
          <w:u w:val="none"/>
        </w:rPr>
      </w:pPr>
    </w:p>
    <w:p>
      <w:pPr>
        <w:shd w:val="clear" w:color="auto" w:fill="auto"/>
        <w:spacing w:line="510" w:lineRule="atLeast"/>
        <w:jc w:val="both"/>
        <w:rPr>
          <w:rFonts w:hint="eastAsia" w:ascii="仿宋" w:hAnsi="仿宋" w:eastAsia="仿宋" w:cs="仿宋"/>
          <w:b/>
          <w:color w:val="000000"/>
          <w:sz w:val="30"/>
          <w:szCs w:val="30"/>
          <w:highlight w:val="none"/>
          <w:u w:val="none"/>
        </w:rPr>
      </w:pPr>
    </w:p>
    <w:p>
      <w:pPr>
        <w:pStyle w:val="2"/>
        <w:shd w:val="clear" w:color="auto" w:fill="auto"/>
        <w:rPr>
          <w:rFonts w:hint="eastAsia" w:ascii="仿宋" w:hAnsi="仿宋" w:eastAsia="仿宋" w:cs="仿宋"/>
          <w:color w:val="000000"/>
          <w:highlight w:val="none"/>
          <w:u w:val="none"/>
        </w:rPr>
      </w:pPr>
    </w:p>
    <w:p>
      <w:pPr>
        <w:shd w:val="clear" w:color="auto" w:fill="auto"/>
        <w:spacing w:line="510" w:lineRule="atLeast"/>
        <w:rPr>
          <w:rFonts w:hint="eastAsia" w:ascii="仿宋" w:hAnsi="仿宋" w:eastAsia="仿宋" w:cs="仿宋"/>
          <w:b/>
          <w:color w:val="000000"/>
          <w:sz w:val="30"/>
          <w:szCs w:val="30"/>
          <w:highlight w:val="none"/>
          <w:u w:val="none"/>
        </w:rPr>
      </w:pPr>
    </w:p>
    <w:p>
      <w:pPr>
        <w:shd w:val="clear" w:color="auto" w:fill="auto"/>
        <w:snapToGrid w:val="0"/>
        <w:spacing w:line="360" w:lineRule="auto"/>
        <w:ind w:firstLine="843" w:firstLineChars="300"/>
        <w:rPr>
          <w:rFonts w:hint="eastAsia" w:ascii="仿宋" w:hAnsi="仿宋" w:eastAsia="仿宋" w:cs="仿宋"/>
          <w:b/>
          <w:color w:val="000000"/>
          <w:sz w:val="28"/>
          <w:szCs w:val="28"/>
          <w:highlight w:val="none"/>
          <w:u w:val="none"/>
          <w:lang w:eastAsia="zh-CN"/>
        </w:rPr>
      </w:pPr>
      <w:r>
        <w:rPr>
          <w:rFonts w:hint="eastAsia" w:ascii="仿宋" w:hAnsi="仿宋" w:eastAsia="仿宋" w:cs="仿宋"/>
          <w:b/>
          <w:color w:val="000000"/>
          <w:sz w:val="28"/>
          <w:szCs w:val="28"/>
          <w:highlight w:val="none"/>
          <w:u w:val="none"/>
        </w:rPr>
        <w:t>甲  方:</w:t>
      </w:r>
      <w:r>
        <w:rPr>
          <w:rFonts w:hint="eastAsia" w:ascii="仿宋" w:hAnsi="仿宋" w:eastAsia="仿宋" w:cs="仿宋"/>
          <w:b/>
          <w:color w:val="000000"/>
          <w:sz w:val="28"/>
          <w:szCs w:val="28"/>
          <w:highlight w:val="none"/>
          <w:u w:val="none"/>
          <w:lang w:eastAsia="zh-CN"/>
        </w:rPr>
        <w:t xml:space="preserve">中共西安市委网络安全和信息化委员会办公室 </w:t>
      </w:r>
    </w:p>
    <w:p>
      <w:pPr>
        <w:shd w:val="clear" w:color="auto" w:fill="auto"/>
        <w:tabs>
          <w:tab w:val="left" w:pos="480"/>
        </w:tabs>
        <w:snapToGrid w:val="0"/>
        <w:spacing w:line="360" w:lineRule="auto"/>
        <w:ind w:firstLine="843" w:firstLineChars="300"/>
        <w:rPr>
          <w:rFonts w:hint="eastAsia" w:ascii="仿宋" w:hAnsi="仿宋" w:eastAsia="仿宋" w:cs="仿宋"/>
          <w:b/>
          <w:color w:val="000000"/>
          <w:sz w:val="28"/>
          <w:szCs w:val="28"/>
          <w:highlight w:val="none"/>
          <w:u w:val="none"/>
        </w:rPr>
      </w:pPr>
      <w:r>
        <w:rPr>
          <w:rFonts w:hint="eastAsia" w:ascii="仿宋" w:hAnsi="仿宋" w:eastAsia="仿宋" w:cs="仿宋"/>
          <w:b/>
          <w:color w:val="000000"/>
          <w:sz w:val="28"/>
          <w:szCs w:val="28"/>
          <w:highlight w:val="none"/>
          <w:u w:val="none"/>
        </w:rPr>
        <w:t>乙  方:</w:t>
      </w:r>
    </w:p>
    <w:p>
      <w:pPr>
        <w:shd w:val="clear" w:color="auto" w:fill="auto"/>
        <w:snapToGrid w:val="0"/>
        <w:spacing w:line="360" w:lineRule="auto"/>
        <w:ind w:firstLine="562" w:firstLineChars="200"/>
        <w:rPr>
          <w:rFonts w:hint="eastAsia" w:ascii="仿宋" w:hAnsi="仿宋" w:eastAsia="仿宋" w:cs="仿宋"/>
          <w:b/>
          <w:color w:val="000000"/>
          <w:sz w:val="28"/>
          <w:szCs w:val="28"/>
          <w:highlight w:val="none"/>
          <w:u w:val="none"/>
        </w:rPr>
      </w:pPr>
      <w:r>
        <w:rPr>
          <w:rFonts w:hint="eastAsia" w:ascii="仿宋" w:hAnsi="仿宋" w:eastAsia="仿宋" w:cs="仿宋"/>
          <w:b/>
          <w:color w:val="000000"/>
          <w:sz w:val="28"/>
          <w:szCs w:val="28"/>
          <w:highlight w:val="none"/>
          <w:u w:val="none"/>
        </w:rPr>
        <w:t xml:space="preserve">  鉴证方:</w:t>
      </w:r>
      <w:r>
        <w:rPr>
          <w:rFonts w:hint="eastAsia" w:ascii="仿宋" w:hAnsi="仿宋" w:eastAsia="仿宋" w:cs="仿宋"/>
          <w:b/>
          <w:color w:val="000000"/>
          <w:sz w:val="28"/>
          <w:szCs w:val="28"/>
          <w:highlight w:val="none"/>
          <w:u w:val="none"/>
          <w:lang w:val="en-US" w:eastAsia="zh-CN"/>
        </w:rPr>
        <w:t>华夏国际项目管理（西安）有限公司</w:t>
      </w:r>
    </w:p>
    <w:p>
      <w:pPr>
        <w:shd w:val="clear" w:color="auto" w:fill="auto"/>
        <w:spacing w:line="510" w:lineRule="atLeast"/>
        <w:jc w:val="center"/>
        <w:rPr>
          <w:rFonts w:hint="eastAsia" w:ascii="仿宋" w:hAnsi="仿宋" w:eastAsia="仿宋" w:cs="仿宋"/>
          <w:b/>
          <w:color w:val="000000"/>
          <w:sz w:val="30"/>
          <w:szCs w:val="30"/>
          <w:highlight w:val="none"/>
          <w:u w:val="none"/>
        </w:rPr>
      </w:pPr>
    </w:p>
    <w:p>
      <w:pPr>
        <w:shd w:val="clear" w:color="auto" w:fill="auto"/>
        <w:snapToGrid w:val="0"/>
        <w:spacing w:line="360" w:lineRule="auto"/>
        <w:ind w:firstLine="3092" w:firstLineChars="700"/>
        <w:jc w:val="both"/>
        <w:rPr>
          <w:rFonts w:hint="eastAsia" w:ascii="仿宋" w:hAnsi="仿宋" w:eastAsia="仿宋" w:cs="仿宋"/>
          <w:b/>
          <w:color w:val="000000"/>
          <w:sz w:val="44"/>
          <w:szCs w:val="44"/>
          <w:highlight w:val="none"/>
          <w:u w:val="none"/>
        </w:rPr>
      </w:pPr>
      <w:r>
        <w:rPr>
          <w:rFonts w:hint="eastAsia" w:ascii="仿宋" w:hAnsi="仿宋" w:eastAsia="仿宋" w:cs="仿宋"/>
          <w:b/>
          <w:color w:val="000000"/>
          <w:sz w:val="44"/>
          <w:szCs w:val="44"/>
          <w:highlight w:val="none"/>
          <w:u w:val="none"/>
          <w:lang w:val="en-US" w:eastAsia="zh-CN"/>
        </w:rPr>
        <w:t xml:space="preserve"> </w:t>
      </w:r>
      <w:r>
        <w:rPr>
          <w:rFonts w:hint="eastAsia" w:ascii="仿宋" w:hAnsi="仿宋" w:eastAsia="仿宋" w:cs="仿宋"/>
          <w:b/>
          <w:color w:val="000000"/>
          <w:sz w:val="44"/>
          <w:szCs w:val="44"/>
          <w:highlight w:val="none"/>
          <w:u w:val="none"/>
        </w:rPr>
        <w:t>年</w:t>
      </w:r>
      <w:r>
        <w:rPr>
          <w:rFonts w:hint="eastAsia" w:ascii="仿宋" w:hAnsi="仿宋" w:eastAsia="仿宋" w:cs="仿宋"/>
          <w:b/>
          <w:color w:val="000000"/>
          <w:sz w:val="44"/>
          <w:szCs w:val="44"/>
          <w:highlight w:val="none"/>
          <w:u w:val="none"/>
          <w:lang w:val="en-US" w:eastAsia="zh-CN"/>
        </w:rPr>
        <w:t xml:space="preserve">   </w:t>
      </w:r>
      <w:r>
        <w:rPr>
          <w:rFonts w:hint="eastAsia" w:ascii="仿宋" w:hAnsi="仿宋" w:eastAsia="仿宋" w:cs="仿宋"/>
          <w:b/>
          <w:color w:val="000000"/>
          <w:sz w:val="44"/>
          <w:szCs w:val="44"/>
          <w:highlight w:val="none"/>
          <w:u w:val="none"/>
        </w:rPr>
        <w:t>月</w:t>
      </w:r>
    </w:p>
    <w:p>
      <w:pPr>
        <w:shd w:val="clear" w:color="auto" w:fill="auto"/>
        <w:snapToGrid w:val="0"/>
        <w:spacing w:line="360" w:lineRule="auto"/>
        <w:ind w:firstLine="3092" w:firstLineChars="700"/>
        <w:jc w:val="both"/>
        <w:rPr>
          <w:rFonts w:hint="eastAsia" w:ascii="仿宋" w:hAnsi="仿宋" w:eastAsia="仿宋" w:cs="仿宋"/>
          <w:b/>
          <w:color w:val="000000"/>
          <w:sz w:val="44"/>
          <w:szCs w:val="44"/>
          <w:highlight w:val="none"/>
          <w:u w:val="none"/>
        </w:rPr>
      </w:pPr>
      <w:r>
        <w:rPr>
          <w:rFonts w:hint="eastAsia" w:ascii="仿宋" w:hAnsi="仿宋" w:eastAsia="仿宋" w:cs="仿宋"/>
          <w:b/>
          <w:color w:val="000000"/>
          <w:sz w:val="44"/>
          <w:szCs w:val="44"/>
          <w:highlight w:val="none"/>
          <w:u w:val="none"/>
        </w:rPr>
        <w:t>中国  西安</w:t>
      </w:r>
    </w:p>
    <w:p>
      <w:pPr>
        <w:rPr>
          <w:rFonts w:hint="eastAsia" w:ascii="仿宋" w:hAnsi="仿宋" w:eastAsia="仿宋" w:cs="仿宋"/>
          <w:bCs/>
          <w:color w:val="000000"/>
          <w:sz w:val="36"/>
          <w:szCs w:val="36"/>
          <w:highlight w:val="none"/>
          <w:u w:val="none"/>
        </w:rPr>
      </w:pPr>
      <w:r>
        <w:rPr>
          <w:rFonts w:hint="eastAsia" w:ascii="仿宋" w:hAnsi="仿宋" w:eastAsia="仿宋" w:cs="仿宋"/>
          <w:bCs/>
          <w:color w:val="000000"/>
          <w:sz w:val="36"/>
          <w:szCs w:val="36"/>
          <w:highlight w:val="none"/>
          <w:u w:val="none"/>
        </w:rPr>
        <w:br w:type="page"/>
      </w:r>
    </w:p>
    <w:p>
      <w:pPr>
        <w:pStyle w:val="3"/>
        <w:numPr>
          <w:ilvl w:val="0"/>
          <w:numId w:val="0"/>
        </w:numPr>
        <w:shd w:val="clear" w:color="auto" w:fill="auto"/>
        <w:jc w:val="center"/>
        <w:outlineLvl w:val="0"/>
        <w:rPr>
          <w:rFonts w:hint="eastAsia" w:ascii="仿宋" w:hAnsi="仿宋" w:eastAsia="仿宋" w:cs="仿宋"/>
          <w:bCs/>
          <w:color w:val="000000"/>
          <w:sz w:val="36"/>
          <w:szCs w:val="36"/>
          <w:highlight w:val="none"/>
          <w:u w:val="none"/>
        </w:rPr>
      </w:pPr>
      <w:r>
        <w:rPr>
          <w:rFonts w:hint="eastAsia" w:ascii="仿宋" w:hAnsi="仿宋" w:eastAsia="仿宋" w:cs="仿宋"/>
          <w:bCs/>
          <w:color w:val="000000"/>
          <w:sz w:val="36"/>
          <w:szCs w:val="36"/>
          <w:highlight w:val="none"/>
          <w:u w:val="none"/>
        </w:rPr>
        <w:t>合同条款及格式</w:t>
      </w:r>
    </w:p>
    <w:p>
      <w:pPr>
        <w:keepNext w:val="0"/>
        <w:keepLines w:val="0"/>
        <w:pageBreakBefore w:val="0"/>
        <w:shd w:val="clear" w:color="auto" w:fill="auto"/>
        <w:tabs>
          <w:tab w:val="left" w:pos="735"/>
        </w:tabs>
        <w:kinsoku/>
        <w:wordWrap/>
        <w:overflowPunct/>
        <w:topLinePunct w:val="0"/>
        <w:autoSpaceDE w:val="0"/>
        <w:autoSpaceDN w:val="0"/>
        <w:bidi w:val="0"/>
        <w:adjustRightInd w:val="0"/>
        <w:snapToGrid w:val="0"/>
        <w:spacing w:line="440" w:lineRule="exact"/>
        <w:ind w:firstLine="631"/>
        <w:rPr>
          <w:rFonts w:hint="eastAsia" w:ascii="仿宋" w:hAnsi="仿宋" w:eastAsia="仿宋" w:cs="仿宋"/>
          <w:b/>
          <w:bCs/>
          <w:color w:val="000000"/>
          <w:sz w:val="24"/>
          <w:szCs w:val="24"/>
          <w:highlight w:val="none"/>
          <w:u w:val="none"/>
          <w:lang w:val="en-US" w:eastAsia="zh-CN"/>
        </w:rPr>
      </w:pPr>
      <w:r>
        <w:rPr>
          <w:rFonts w:hint="eastAsia" w:ascii="仿宋" w:hAnsi="仿宋" w:eastAsia="仿宋" w:cs="仿宋"/>
          <w:b/>
          <w:bCs/>
          <w:color w:val="000000"/>
          <w:sz w:val="24"/>
          <w:szCs w:val="24"/>
          <w:highlight w:val="none"/>
          <w:u w:val="none"/>
          <w:lang w:val="zh-CN"/>
        </w:rPr>
        <w:t>采购人(以下简称甲方):</w:t>
      </w:r>
    </w:p>
    <w:p>
      <w:pPr>
        <w:keepNext w:val="0"/>
        <w:keepLines w:val="0"/>
        <w:pageBreakBefore w:val="0"/>
        <w:shd w:val="clear" w:color="auto" w:fill="auto"/>
        <w:tabs>
          <w:tab w:val="left" w:pos="735"/>
        </w:tabs>
        <w:kinsoku/>
        <w:wordWrap/>
        <w:overflowPunct/>
        <w:topLinePunct w:val="0"/>
        <w:autoSpaceDE w:val="0"/>
        <w:autoSpaceDN w:val="0"/>
        <w:bidi w:val="0"/>
        <w:adjustRightInd w:val="0"/>
        <w:snapToGrid w:val="0"/>
        <w:spacing w:line="440" w:lineRule="exact"/>
        <w:ind w:firstLine="631"/>
        <w:rPr>
          <w:rFonts w:hint="eastAsia" w:ascii="仿宋" w:hAnsi="仿宋" w:eastAsia="仿宋" w:cs="仿宋"/>
          <w:b/>
          <w:bCs/>
          <w:color w:val="000000"/>
          <w:sz w:val="24"/>
          <w:szCs w:val="24"/>
          <w:highlight w:val="none"/>
          <w:u w:val="none"/>
          <w:lang w:val="zh-CN"/>
        </w:rPr>
      </w:pPr>
      <w:r>
        <w:rPr>
          <w:rFonts w:hint="eastAsia" w:ascii="仿宋" w:hAnsi="仿宋" w:eastAsia="仿宋" w:cs="仿宋"/>
          <w:b/>
          <w:bCs/>
          <w:color w:val="000000"/>
          <w:sz w:val="24"/>
          <w:szCs w:val="24"/>
          <w:highlight w:val="none"/>
          <w:u w:val="none"/>
          <w:lang w:val="zh-CN"/>
        </w:rPr>
        <w:t>供应商(以下简称乙方):</w:t>
      </w:r>
    </w:p>
    <w:p>
      <w:pPr>
        <w:shd w:val="clear" w:color="auto" w:fill="auto"/>
        <w:spacing w:line="360" w:lineRule="auto"/>
        <w:ind w:firstLine="480" w:firstLineChars="200"/>
        <w:rPr>
          <w:rFonts w:hint="eastAsia" w:ascii="仿宋" w:hAnsi="仿宋" w:eastAsia="仿宋" w:cs="仿宋"/>
          <w:color w:val="000000"/>
          <w:sz w:val="24"/>
          <w:szCs w:val="24"/>
          <w:highlight w:val="none"/>
          <w:u w:val="none"/>
        </w:rPr>
      </w:pPr>
    </w:p>
    <w:p>
      <w:pPr>
        <w:shd w:val="clear" w:color="auto" w:fill="auto"/>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鉴证方就甲方所需</w:t>
      </w:r>
      <w:r>
        <w:rPr>
          <w:rFonts w:hint="eastAsia" w:ascii="仿宋" w:hAnsi="仿宋" w:eastAsia="仿宋" w:cs="仿宋"/>
          <w:color w:val="000000"/>
          <w:sz w:val="24"/>
          <w:szCs w:val="24"/>
          <w:highlight w:val="none"/>
          <w:u w:val="single"/>
          <w:lang w:eastAsia="zh-CN"/>
        </w:rPr>
        <w:t>“何以中国・诗词里的千年文脉”网络主题宣传活动线上推广项目</w:t>
      </w:r>
      <w:r>
        <w:rPr>
          <w:rFonts w:hint="eastAsia" w:ascii="仿宋" w:hAnsi="仿宋" w:eastAsia="仿宋" w:cs="仿宋"/>
          <w:color w:val="000000"/>
          <w:sz w:val="24"/>
          <w:szCs w:val="24"/>
          <w:highlight w:val="none"/>
          <w:u w:val="none"/>
        </w:rPr>
        <w:t>,按照政府采购程序组织竞争性磋商,确定乙方为中标供应商｡根据《中</w:t>
      </w:r>
      <w:r>
        <w:rPr>
          <w:rFonts w:hint="eastAsia" w:ascii="仿宋" w:hAnsi="仿宋" w:eastAsia="仿宋" w:cs="仿宋"/>
          <w:color w:val="000000"/>
          <w:sz w:val="24"/>
          <w:szCs w:val="24"/>
          <w:highlight w:val="none"/>
          <w:u w:val="none"/>
          <w:lang w:eastAsia="zh-CN"/>
        </w:rPr>
        <w:t>华</w:t>
      </w:r>
      <w:r>
        <w:rPr>
          <w:rFonts w:hint="eastAsia" w:ascii="仿宋" w:hAnsi="仿宋" w:eastAsia="仿宋" w:cs="仿宋"/>
          <w:color w:val="000000"/>
          <w:sz w:val="24"/>
          <w:szCs w:val="24"/>
          <w:highlight w:val="none"/>
          <w:u w:val="none"/>
        </w:rPr>
        <w:t>人民共和国</w:t>
      </w:r>
      <w:r>
        <w:rPr>
          <w:rFonts w:hint="eastAsia" w:ascii="仿宋" w:hAnsi="仿宋" w:eastAsia="仿宋" w:cs="仿宋"/>
          <w:color w:val="000000"/>
          <w:sz w:val="24"/>
          <w:szCs w:val="24"/>
          <w:highlight w:val="none"/>
          <w:u w:val="none"/>
          <w:lang w:eastAsia="zh-CN"/>
        </w:rPr>
        <w:t>政府采购</w:t>
      </w:r>
      <w:r>
        <w:rPr>
          <w:rFonts w:hint="eastAsia" w:ascii="仿宋" w:hAnsi="仿宋" w:eastAsia="仿宋" w:cs="仿宋"/>
          <w:color w:val="000000"/>
          <w:sz w:val="24"/>
          <w:szCs w:val="24"/>
          <w:highlight w:val="none"/>
          <w:u w:val="none"/>
        </w:rPr>
        <w:t>法》《中</w:t>
      </w:r>
      <w:r>
        <w:rPr>
          <w:rFonts w:hint="eastAsia" w:ascii="仿宋" w:hAnsi="仿宋" w:eastAsia="仿宋" w:cs="仿宋"/>
          <w:color w:val="000000"/>
          <w:sz w:val="24"/>
          <w:szCs w:val="24"/>
          <w:highlight w:val="none"/>
          <w:u w:val="none"/>
          <w:lang w:eastAsia="zh-CN"/>
        </w:rPr>
        <w:t>华</w:t>
      </w:r>
      <w:r>
        <w:rPr>
          <w:rFonts w:hint="eastAsia" w:ascii="仿宋" w:hAnsi="仿宋" w:eastAsia="仿宋" w:cs="仿宋"/>
          <w:color w:val="000000"/>
          <w:sz w:val="24"/>
          <w:szCs w:val="24"/>
          <w:highlight w:val="none"/>
          <w:u w:val="none"/>
        </w:rPr>
        <w:t>人民共和国</w:t>
      </w:r>
      <w:r>
        <w:rPr>
          <w:rFonts w:hint="eastAsia" w:ascii="仿宋" w:hAnsi="仿宋" w:eastAsia="仿宋" w:cs="仿宋"/>
          <w:color w:val="000000"/>
          <w:sz w:val="24"/>
          <w:szCs w:val="24"/>
          <w:highlight w:val="none"/>
          <w:u w:val="none"/>
          <w:lang w:eastAsia="zh-CN"/>
        </w:rPr>
        <w:t>民法典</w:t>
      </w:r>
      <w:r>
        <w:rPr>
          <w:rFonts w:hint="eastAsia" w:ascii="仿宋" w:hAnsi="仿宋" w:eastAsia="仿宋" w:cs="仿宋"/>
          <w:color w:val="000000"/>
          <w:sz w:val="24"/>
          <w:szCs w:val="24"/>
          <w:highlight w:val="none"/>
          <w:u w:val="none"/>
        </w:rPr>
        <w:t>》及相关法律法规,甲､乙双方就</w:t>
      </w:r>
      <w:r>
        <w:rPr>
          <w:rFonts w:hint="eastAsia" w:ascii="仿宋" w:hAnsi="仿宋" w:eastAsia="仿宋" w:cs="仿宋"/>
          <w:color w:val="000000"/>
          <w:sz w:val="24"/>
          <w:szCs w:val="24"/>
          <w:highlight w:val="none"/>
          <w:u w:val="single"/>
          <w:lang w:val="en-US" w:eastAsia="zh-CN"/>
        </w:rPr>
        <w:t>中共西安市委网络安全和信息化委员会办公室“何以中国・诗词里的千年文脉”网络主题宣传活动线上推广项目</w:t>
      </w:r>
      <w:r>
        <w:rPr>
          <w:rFonts w:hint="eastAsia" w:ascii="仿宋" w:hAnsi="仿宋" w:eastAsia="仿宋" w:cs="仿宋"/>
          <w:color w:val="000000"/>
          <w:sz w:val="24"/>
          <w:szCs w:val="24"/>
          <w:highlight w:val="none"/>
          <w:u w:val="none"/>
        </w:rPr>
        <w:t>事宜,经协商一致,</w:t>
      </w:r>
      <w:r>
        <w:rPr>
          <w:rFonts w:hint="eastAsia" w:ascii="仿宋" w:hAnsi="仿宋" w:eastAsia="仿宋" w:cs="仿宋"/>
          <w:color w:val="000000"/>
          <w:sz w:val="24"/>
          <w:szCs w:val="24"/>
          <w:highlight w:val="none"/>
          <w:u w:val="none"/>
          <w:lang w:val="en-US" w:eastAsia="zh-CN"/>
        </w:rPr>
        <w:t>鉴证方确认,</w:t>
      </w:r>
      <w:r>
        <w:rPr>
          <w:rFonts w:hint="eastAsia" w:ascii="仿宋" w:hAnsi="仿宋" w:eastAsia="仿宋" w:cs="仿宋"/>
          <w:color w:val="000000"/>
          <w:sz w:val="24"/>
          <w:szCs w:val="24"/>
          <w:highlight w:val="none"/>
          <w:u w:val="none"/>
        </w:rPr>
        <w:t>达成如下协议:</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一、</w:t>
      </w:r>
      <w:r>
        <w:rPr>
          <w:rFonts w:hint="eastAsia" w:ascii="仿宋" w:hAnsi="仿宋" w:eastAsia="仿宋" w:cs="仿宋"/>
          <w:b/>
          <w:color w:val="000000"/>
          <w:sz w:val="24"/>
          <w:szCs w:val="24"/>
          <w:highlight w:val="none"/>
          <w:u w:val="none"/>
          <w:lang w:val="en-US" w:eastAsia="zh-CN"/>
        </w:rPr>
        <w:t>合同内容</w:t>
      </w:r>
    </w:p>
    <w:p>
      <w:pPr>
        <w:pStyle w:val="9"/>
        <w:shd w:val="clear" w:color="auto" w:fill="auto"/>
        <w:spacing w:line="360" w:lineRule="auto"/>
        <w:ind w:firstLine="0"/>
        <w:jc w:val="left"/>
        <w:rPr>
          <w:rFonts w:hint="eastAsia" w:ascii="仿宋" w:hAnsi="仿宋" w:eastAsia="仿宋" w:cs="仿宋"/>
          <w:color w:val="000000"/>
          <w:kern w:val="2"/>
          <w:sz w:val="24"/>
          <w:szCs w:val="24"/>
          <w:highlight w:val="none"/>
          <w:u w:val="none"/>
          <w:lang w:val="en-US" w:eastAsia="zh-CN" w:bidi="ar-SA"/>
        </w:rPr>
      </w:pPr>
      <w:r>
        <w:rPr>
          <w:rFonts w:hint="eastAsia" w:ascii="仿宋" w:hAnsi="仿宋" w:eastAsia="仿宋" w:cs="仿宋"/>
          <w:color w:val="000000"/>
          <w:kern w:val="2"/>
          <w:sz w:val="24"/>
          <w:szCs w:val="24"/>
          <w:highlight w:val="none"/>
          <w:u w:val="none"/>
          <w:lang w:val="en-US" w:eastAsia="zh-CN" w:bidi="ar-SA"/>
        </w:rPr>
        <w:t>中共西安市委网络安全和信息化委员会办公室“何以中国・诗词里的千年文脉”网络主题宣传活动线上推广项目等,具体内容:</w:t>
      </w:r>
    </w:p>
    <w:tbl>
      <w:tblPr>
        <w:tblStyle w:val="7"/>
        <w:tblW w:w="9438" w:type="dxa"/>
        <w:tblInd w:w="0" w:type="dxa"/>
        <w:tblLayout w:type="fixed"/>
        <w:tblCellMar>
          <w:top w:w="0" w:type="dxa"/>
          <w:left w:w="28" w:type="dxa"/>
          <w:bottom w:w="0" w:type="dxa"/>
          <w:right w:w="28" w:type="dxa"/>
        </w:tblCellMar>
      </w:tblPr>
      <w:tblGrid>
        <w:gridCol w:w="770"/>
        <w:gridCol w:w="1679"/>
        <w:gridCol w:w="1607"/>
        <w:gridCol w:w="1510"/>
        <w:gridCol w:w="1715"/>
        <w:gridCol w:w="1460"/>
        <w:gridCol w:w="697"/>
      </w:tblGrid>
      <w:tr>
        <w:tblPrEx>
          <w:tblCellMar>
            <w:top w:w="0" w:type="dxa"/>
            <w:left w:w="28" w:type="dxa"/>
            <w:bottom w:w="0" w:type="dxa"/>
            <w:right w:w="28" w:type="dxa"/>
          </w:tblCellMar>
        </w:tblPrEx>
        <w:trPr>
          <w:trHeight w:val="705" w:hRule="atLeast"/>
        </w:trPr>
        <w:tc>
          <w:tcPr>
            <w:tcW w:w="770" w:type="dxa"/>
            <w:tcBorders>
              <w:top w:val="single" w:color="auto" w:sz="6" w:space="0"/>
              <w:left w:val="single" w:color="auto" w:sz="6" w:space="0"/>
              <w:bottom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序号</w:t>
            </w:r>
          </w:p>
        </w:tc>
        <w:tc>
          <w:tcPr>
            <w:tcW w:w="1679" w:type="dxa"/>
            <w:tcBorders>
              <w:top w:val="single" w:color="auto" w:sz="6" w:space="0"/>
              <w:left w:val="single" w:color="auto" w:sz="6"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项目内容</w:t>
            </w:r>
          </w:p>
        </w:tc>
        <w:tc>
          <w:tcPr>
            <w:tcW w:w="1607" w:type="dxa"/>
            <w:tcBorders>
              <w:top w:val="single" w:color="auto" w:sz="6" w:space="0"/>
              <w:left w:val="single" w:color="auto" w:sz="6" w:space="0"/>
              <w:bottom w:val="single" w:color="auto" w:sz="6" w:space="0"/>
              <w:right w:val="single" w:color="auto" w:sz="6" w:space="0"/>
            </w:tcBorders>
            <w:noWrap w:val="0"/>
            <w:vAlign w:val="center"/>
          </w:tcPr>
          <w:p>
            <w:pPr>
              <w:shd w:val="clear" w:color="auto" w:fill="auto"/>
              <w:snapToGrid w:val="0"/>
              <w:spacing w:line="240" w:lineRule="auto"/>
              <w:jc w:val="center"/>
              <w:rPr>
                <w:rFonts w:hint="default"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计量单位</w:t>
            </w: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数量</w:t>
            </w: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单价（元）</w:t>
            </w:r>
          </w:p>
        </w:tc>
        <w:tc>
          <w:tcPr>
            <w:tcW w:w="146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金额(元)</w:t>
            </w:r>
          </w:p>
        </w:tc>
        <w:tc>
          <w:tcPr>
            <w:tcW w:w="697"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备注</w:t>
            </w: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eastAsia" w:ascii="仿宋" w:hAnsi="仿宋" w:eastAsia="仿宋" w:cs="仿宋"/>
                <w:color w:val="000000"/>
                <w:sz w:val="22"/>
                <w:szCs w:val="22"/>
                <w:highlight w:val="none"/>
                <w:u w:val="none"/>
              </w:rPr>
            </w:pPr>
            <w:r>
              <w:rPr>
                <w:rFonts w:hint="eastAsia" w:ascii="仿宋" w:hAnsi="仿宋" w:eastAsia="仿宋" w:cs="仿宋"/>
                <w:color w:val="000000"/>
                <w:sz w:val="22"/>
                <w:szCs w:val="22"/>
                <w:highlight w:val="none"/>
                <w:u w:val="none"/>
              </w:rPr>
              <w:t>1</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Hans"/>
              </w:rPr>
            </w:pPr>
            <w:r>
              <w:rPr>
                <w:rFonts w:hint="eastAsia" w:ascii="仿宋_GB2312" w:hAnsi="仿宋_GB2312" w:eastAsia="仿宋_GB2312" w:cs="仿宋_GB2312"/>
                <w:highlight w:val="none"/>
                <w:lang w:val="en-US" w:eastAsia="zh-CN"/>
              </w:rPr>
              <w:t>启动仪式活动的主题片制作</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eastAsia"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2</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启动仪式活动的系列短视频制作</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eastAsia"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3</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启动仪式活动的主视觉海报设计</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eastAsia"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4</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启动仪式活动的系列海报设计制作</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eastAsia"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5</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启动仪式现场录制视频</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default"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6</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直播技术服务</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default"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7</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融媒体专栏推广</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blPrEx>
          <w:tblCellMar>
            <w:top w:w="0" w:type="dxa"/>
            <w:left w:w="28" w:type="dxa"/>
            <w:bottom w:w="0" w:type="dxa"/>
            <w:right w:w="28" w:type="dxa"/>
          </w:tblCellMar>
        </w:tblPrEx>
        <w:trPr>
          <w:trHeight w:val="484" w:hRule="atLeast"/>
        </w:trPr>
        <w:tc>
          <w:tcPr>
            <w:tcW w:w="770" w:type="dxa"/>
            <w:tcBorders>
              <w:top w:val="single" w:color="auto" w:sz="6" w:space="0"/>
              <w:left w:val="single" w:color="auto" w:sz="6" w:space="0"/>
              <w:bottom w:val="single" w:color="auto" w:sz="4" w:space="0"/>
            </w:tcBorders>
            <w:noWrap w:val="0"/>
            <w:vAlign w:val="center"/>
          </w:tcPr>
          <w:p>
            <w:pPr>
              <w:shd w:val="clear" w:color="auto" w:fill="auto"/>
              <w:adjustRightInd w:val="0"/>
              <w:snapToGrid w:val="0"/>
              <w:spacing w:line="360" w:lineRule="auto"/>
              <w:jc w:val="center"/>
              <w:rPr>
                <w:rFonts w:hint="default"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8</w:t>
            </w:r>
          </w:p>
        </w:tc>
        <w:tc>
          <w:tcPr>
            <w:tcW w:w="1679" w:type="dxa"/>
            <w:tcBorders>
              <w:top w:val="single" w:color="auto" w:sz="6" w:space="0"/>
              <w:left w:val="single" w:color="auto" w:sz="6" w:space="0"/>
              <w:bottom w:val="single" w:color="auto" w:sz="4" w:space="0"/>
              <w:right w:val="single" w:color="auto" w:sz="6" w:space="0"/>
            </w:tcBorders>
            <w:noWrap w:val="0"/>
            <w:vAlign w:val="center"/>
          </w:tcPr>
          <w:p>
            <w:pPr>
              <w:pStyle w:val="1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制作系列融媒体图文视频报道</w:t>
            </w:r>
          </w:p>
        </w:tc>
        <w:tc>
          <w:tcPr>
            <w:tcW w:w="1607" w:type="dxa"/>
            <w:tcBorders>
              <w:top w:val="single" w:color="auto" w:sz="6" w:space="0"/>
              <w:left w:val="single" w:color="auto" w:sz="6"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510" w:type="dxa"/>
            <w:tcBorders>
              <w:top w:val="single" w:color="auto" w:sz="6" w:space="0"/>
              <w:left w:val="single" w:color="auto" w:sz="6" w:space="0"/>
              <w:bottom w:val="single" w:color="auto" w:sz="6" w:space="0"/>
              <w:right w:val="single" w:color="auto" w:sz="4" w:space="0"/>
            </w:tcBorders>
            <w:noWrap w:val="0"/>
            <w:vAlign w:val="center"/>
          </w:tcPr>
          <w:p>
            <w:pPr>
              <w:shd w:val="clear" w:color="auto" w:fill="auto"/>
              <w:snapToGrid w:val="0"/>
              <w:spacing w:line="240" w:lineRule="auto"/>
              <w:jc w:val="center"/>
              <w:rPr>
                <w:rFonts w:hint="default" w:ascii="仿宋" w:hAnsi="仿宋" w:eastAsia="仿宋" w:cs="仿宋"/>
                <w:color w:val="000000"/>
                <w:sz w:val="22"/>
                <w:szCs w:val="22"/>
                <w:highlight w:val="none"/>
                <w:u w:val="none"/>
                <w:lang w:val="en-US" w:eastAsia="zh-CN"/>
              </w:rPr>
            </w:pPr>
          </w:p>
        </w:tc>
        <w:tc>
          <w:tcPr>
            <w:tcW w:w="1715" w:type="dxa"/>
            <w:tcBorders>
              <w:top w:val="single" w:color="auto" w:sz="6" w:space="0"/>
              <w:left w:val="single" w:color="auto" w:sz="4" w:space="0"/>
              <w:bottom w:val="single" w:color="auto" w:sz="6"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1460" w:type="dxa"/>
            <w:tcBorders>
              <w:top w:val="single" w:color="auto" w:sz="6" w:space="0"/>
              <w:left w:val="single" w:color="auto" w:sz="6" w:space="0"/>
              <w:bottom w:val="single" w:color="auto" w:sz="4" w:space="0"/>
              <w:right w:val="single" w:color="auto" w:sz="4"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c>
          <w:tcPr>
            <w:tcW w:w="697" w:type="dxa"/>
            <w:tcBorders>
              <w:top w:val="single" w:color="auto" w:sz="6" w:space="0"/>
              <w:left w:val="single" w:color="auto" w:sz="4" w:space="0"/>
              <w:bottom w:val="single" w:color="auto" w:sz="4" w:space="0"/>
              <w:right w:val="single" w:color="auto" w:sz="6" w:space="0"/>
            </w:tcBorders>
            <w:noWrap w:val="0"/>
            <w:vAlign w:val="center"/>
          </w:tcPr>
          <w:p>
            <w:pPr>
              <w:shd w:val="clear" w:color="auto" w:fill="auto"/>
              <w:snapToGrid w:val="0"/>
              <w:spacing w:line="240" w:lineRule="auto"/>
              <w:jc w:val="center"/>
              <w:rPr>
                <w:rFonts w:hint="eastAsia" w:ascii="仿宋" w:hAnsi="仿宋" w:eastAsia="仿宋" w:cs="仿宋"/>
                <w:color w:val="000000"/>
                <w:sz w:val="22"/>
                <w:szCs w:val="22"/>
                <w:highlight w:val="none"/>
                <w:u w:val="none"/>
                <w:lang w:val="en-US" w:eastAsia="zh-CN"/>
              </w:rPr>
            </w:pPr>
          </w:p>
        </w:tc>
      </w:tr>
      <w:tr>
        <w:trPr>
          <w:trHeight w:val="429" w:hRule="atLeast"/>
        </w:trPr>
        <w:tc>
          <w:tcPr>
            <w:tcW w:w="2449" w:type="dxa"/>
            <w:gridSpan w:val="2"/>
            <w:tcBorders>
              <w:top w:val="single" w:color="auto" w:sz="4" w:space="0"/>
              <w:left w:val="single" w:color="auto" w:sz="6" w:space="0"/>
              <w:bottom w:val="single" w:color="auto" w:sz="4" w:space="0"/>
              <w:right w:val="single" w:color="auto" w:sz="6" w:space="0"/>
            </w:tcBorders>
            <w:noWrap w:val="0"/>
            <w:vAlign w:val="center"/>
          </w:tcPr>
          <w:p>
            <w:pPr>
              <w:shd w:val="clear" w:color="auto" w:fill="auto"/>
              <w:snapToGrid w:val="0"/>
              <w:spacing w:before="249" w:beforeLines="50" w:line="360" w:lineRule="auto"/>
              <w:jc w:val="center"/>
              <w:rPr>
                <w:rFonts w:hint="eastAsia" w:ascii="仿宋" w:hAnsi="仿宋" w:eastAsia="仿宋" w:cs="仿宋"/>
                <w:color w:val="000000"/>
                <w:sz w:val="22"/>
                <w:szCs w:val="22"/>
                <w:highlight w:val="none"/>
                <w:u w:val="none"/>
                <w:lang w:val="en-US" w:eastAsia="zh-CN"/>
              </w:rPr>
            </w:pPr>
            <w:r>
              <w:rPr>
                <w:rFonts w:hint="eastAsia" w:ascii="仿宋" w:hAnsi="仿宋" w:eastAsia="仿宋" w:cs="仿宋"/>
                <w:color w:val="000000"/>
                <w:sz w:val="22"/>
                <w:szCs w:val="22"/>
                <w:highlight w:val="none"/>
                <w:u w:val="none"/>
                <w:lang w:val="en-US" w:eastAsia="zh-CN"/>
              </w:rPr>
              <w:t>合  计</w:t>
            </w:r>
          </w:p>
        </w:tc>
        <w:tc>
          <w:tcPr>
            <w:tcW w:w="6989" w:type="dxa"/>
            <w:gridSpan w:val="5"/>
            <w:tcBorders>
              <w:top w:val="single" w:color="auto" w:sz="4" w:space="0"/>
              <w:left w:val="single" w:color="auto" w:sz="6" w:space="0"/>
              <w:bottom w:val="single" w:color="auto" w:sz="4" w:space="0"/>
              <w:right w:val="single" w:color="auto" w:sz="4" w:space="0"/>
            </w:tcBorders>
            <w:noWrap w:val="0"/>
            <w:vAlign w:val="center"/>
          </w:tcPr>
          <w:p>
            <w:pPr>
              <w:shd w:val="clear" w:color="auto" w:fill="auto"/>
              <w:snapToGrid w:val="0"/>
              <w:spacing w:before="249" w:beforeLines="50" w:line="360" w:lineRule="auto"/>
              <w:rPr>
                <w:rFonts w:hint="eastAsia" w:ascii="仿宋" w:hAnsi="仿宋" w:eastAsia="仿宋" w:cs="仿宋"/>
                <w:b/>
                <w:color w:val="000000"/>
                <w:sz w:val="22"/>
                <w:szCs w:val="22"/>
                <w:highlight w:val="none"/>
                <w:u w:val="none"/>
                <w:lang w:val="en-US" w:eastAsia="zh-CN"/>
              </w:rPr>
            </w:pPr>
            <w:r>
              <w:rPr>
                <w:rFonts w:hint="eastAsia" w:ascii="仿宋" w:hAnsi="仿宋" w:eastAsia="仿宋" w:cs="仿宋"/>
                <w:b/>
                <w:color w:val="000000"/>
                <w:sz w:val="22"/>
                <w:szCs w:val="22"/>
                <w:highlight w:val="none"/>
                <w:u w:val="none"/>
                <w:lang w:val="en-US" w:eastAsia="zh-CN"/>
              </w:rPr>
              <w:t xml:space="preserve">人民币:(大写)        元整 (小写)     元    </w:t>
            </w:r>
          </w:p>
        </w:tc>
      </w:tr>
    </w:tbl>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二、</w:t>
      </w:r>
      <w:r>
        <w:rPr>
          <w:rFonts w:hint="eastAsia" w:ascii="仿宋" w:hAnsi="仿宋" w:eastAsia="仿宋" w:cs="仿宋"/>
          <w:b/>
          <w:color w:val="000000"/>
          <w:sz w:val="24"/>
          <w:szCs w:val="24"/>
          <w:highlight w:val="none"/>
          <w:u w:val="none"/>
          <w:lang w:val="en-US" w:eastAsia="zh-CN"/>
        </w:rPr>
        <w:t>合同组成</w:t>
      </w:r>
    </w:p>
    <w:p>
      <w:pPr>
        <w:numPr>
          <w:ilvl w:val="0"/>
          <w:numId w:val="1"/>
        </w:numPr>
        <w:shd w:val="clear" w:color="auto" w:fill="auto"/>
        <w:tabs>
          <w:tab w:val="left" w:pos="735"/>
        </w:tabs>
        <w:adjustRightInd w:val="0"/>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下述文件是构成本合同不可分割的部分:</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本合同条款及其所有附件｡</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甲方的</w:t>
      </w:r>
      <w:r>
        <w:rPr>
          <w:rFonts w:hint="eastAsia" w:ascii="仿宋" w:hAnsi="仿宋" w:eastAsia="仿宋" w:cs="仿宋"/>
          <w:color w:val="000000"/>
          <w:sz w:val="24"/>
          <w:szCs w:val="24"/>
          <w:highlight w:val="none"/>
          <w:u w:val="none"/>
          <w:lang w:val="en-US" w:eastAsia="zh-CN"/>
        </w:rPr>
        <w:t>竞争性磋商文件</w:t>
      </w:r>
      <w:r>
        <w:rPr>
          <w:rFonts w:hint="eastAsia" w:ascii="仿宋" w:hAnsi="仿宋" w:eastAsia="仿宋" w:cs="仿宋"/>
          <w:color w:val="000000"/>
          <w:sz w:val="24"/>
          <w:szCs w:val="24"/>
          <w:highlight w:val="none"/>
          <w:u w:val="none"/>
        </w:rPr>
        <w:t>及澄清文件｡</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乙方的</w:t>
      </w:r>
      <w:r>
        <w:rPr>
          <w:rFonts w:hint="eastAsia" w:ascii="仿宋" w:hAnsi="仿宋" w:eastAsia="仿宋" w:cs="仿宋"/>
          <w:color w:val="000000"/>
          <w:sz w:val="24"/>
          <w:szCs w:val="24"/>
          <w:highlight w:val="none"/>
          <w:u w:val="none"/>
          <w:lang w:val="en-US" w:eastAsia="zh-CN"/>
        </w:rPr>
        <w:t>磋商响应文件</w:t>
      </w:r>
      <w:r>
        <w:rPr>
          <w:rFonts w:hint="eastAsia" w:ascii="仿宋" w:hAnsi="仿宋" w:eastAsia="仿宋" w:cs="仿宋"/>
          <w:color w:val="000000"/>
          <w:sz w:val="24"/>
          <w:szCs w:val="24"/>
          <w:highlight w:val="none"/>
          <w:u w:val="none"/>
        </w:rPr>
        <w:t>及质疑解答文件｡</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eastAsia="zh-CN"/>
        </w:rPr>
        <w:t>成交</w:t>
      </w:r>
      <w:r>
        <w:rPr>
          <w:rFonts w:hint="eastAsia" w:ascii="仿宋" w:hAnsi="仿宋" w:eastAsia="仿宋" w:cs="仿宋"/>
          <w:color w:val="000000"/>
          <w:sz w:val="24"/>
          <w:szCs w:val="24"/>
          <w:highlight w:val="none"/>
          <w:u w:val="none"/>
        </w:rPr>
        <w:t>通知书｡</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双方与合同有关的往来信函､传真经双方法定代表人或其授权代表签字并加盖单位公章确认后视为本合同的组成部分｡</w:t>
      </w:r>
    </w:p>
    <w:p>
      <w:pPr>
        <w:numPr>
          <w:ilvl w:val="0"/>
          <w:numId w:val="2"/>
        </w:numPr>
        <w:shd w:val="clear" w:color="auto" w:fill="auto"/>
        <w:tabs>
          <w:tab w:val="left" w:pos="735"/>
        </w:tabs>
        <w:adjustRightInd w:val="0"/>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经双方法定代表人或其授权代表签字并加盖单位公章确认的补充协议｡</w:t>
      </w:r>
    </w:p>
    <w:p>
      <w:pPr>
        <w:numPr>
          <w:ilvl w:val="0"/>
          <w:numId w:val="1"/>
        </w:numPr>
        <w:shd w:val="clear" w:color="auto" w:fill="auto"/>
        <w:tabs>
          <w:tab w:val="left" w:pos="735"/>
        </w:tabs>
        <w:adjustRightInd w:val="0"/>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如果乙方的</w:t>
      </w:r>
      <w:r>
        <w:rPr>
          <w:rFonts w:hint="eastAsia" w:ascii="仿宋" w:hAnsi="仿宋" w:eastAsia="仿宋" w:cs="仿宋"/>
          <w:color w:val="000000"/>
          <w:sz w:val="24"/>
          <w:szCs w:val="24"/>
          <w:highlight w:val="none"/>
          <w:u w:val="none"/>
          <w:lang w:eastAsia="zh-CN"/>
        </w:rPr>
        <w:t>磋商响应文件</w:t>
      </w:r>
      <w:r>
        <w:rPr>
          <w:rFonts w:hint="eastAsia" w:ascii="仿宋" w:hAnsi="仿宋" w:eastAsia="仿宋" w:cs="仿宋"/>
          <w:color w:val="000000"/>
          <w:sz w:val="24"/>
          <w:szCs w:val="24"/>
          <w:highlight w:val="none"/>
          <w:u w:val="none"/>
        </w:rPr>
        <w:t>及质疑解答文件内容违背或低于甲方</w:t>
      </w:r>
      <w:r>
        <w:rPr>
          <w:rFonts w:hint="eastAsia" w:ascii="仿宋" w:hAnsi="仿宋" w:eastAsia="仿宋" w:cs="仿宋"/>
          <w:color w:val="000000"/>
          <w:sz w:val="24"/>
          <w:szCs w:val="24"/>
          <w:highlight w:val="none"/>
          <w:u w:val="none"/>
          <w:lang w:eastAsia="zh-CN"/>
        </w:rPr>
        <w:t>竞争性磋商文件</w:t>
      </w:r>
      <w:r>
        <w:rPr>
          <w:rFonts w:hint="eastAsia" w:ascii="仿宋" w:hAnsi="仿宋" w:eastAsia="仿宋" w:cs="仿宋"/>
          <w:color w:val="000000"/>
          <w:sz w:val="24"/>
          <w:szCs w:val="24"/>
          <w:highlight w:val="none"/>
          <w:u w:val="none"/>
        </w:rPr>
        <w:t>要求或任何可能导致影响当次采购目的的情形,均应当被视为乙方自动放弃</w:t>
      </w:r>
      <w:r>
        <w:rPr>
          <w:rFonts w:hint="eastAsia" w:ascii="仿宋" w:hAnsi="仿宋" w:eastAsia="仿宋" w:cs="仿宋"/>
          <w:color w:val="000000"/>
          <w:sz w:val="24"/>
          <w:szCs w:val="24"/>
          <w:highlight w:val="none"/>
          <w:u w:val="none"/>
          <w:lang w:eastAsia="zh-CN"/>
        </w:rPr>
        <w:t>磋商响应文件</w:t>
      </w:r>
      <w:r>
        <w:rPr>
          <w:rFonts w:hint="eastAsia" w:ascii="仿宋" w:hAnsi="仿宋" w:eastAsia="仿宋" w:cs="仿宋"/>
          <w:color w:val="000000"/>
          <w:sz w:val="24"/>
          <w:szCs w:val="24"/>
          <w:highlight w:val="none"/>
          <w:u w:val="none"/>
        </w:rPr>
        <w:t>及质疑解答文件中相应部分而同意以</w:t>
      </w:r>
      <w:r>
        <w:rPr>
          <w:rFonts w:hint="eastAsia" w:ascii="仿宋" w:hAnsi="仿宋" w:eastAsia="仿宋" w:cs="仿宋"/>
          <w:color w:val="000000"/>
          <w:sz w:val="24"/>
          <w:szCs w:val="24"/>
          <w:highlight w:val="none"/>
          <w:u w:val="none"/>
          <w:lang w:eastAsia="zh-CN"/>
        </w:rPr>
        <w:t>竞争性磋商文件</w:t>
      </w:r>
      <w:r>
        <w:rPr>
          <w:rFonts w:hint="eastAsia" w:ascii="仿宋" w:hAnsi="仿宋" w:eastAsia="仿宋" w:cs="仿宋"/>
          <w:color w:val="000000"/>
          <w:sz w:val="24"/>
          <w:szCs w:val="24"/>
          <w:highlight w:val="none"/>
          <w:u w:val="none"/>
        </w:rPr>
        <w:t>相应内容为准｡如果乙方的</w:t>
      </w:r>
      <w:r>
        <w:rPr>
          <w:rFonts w:hint="eastAsia" w:ascii="仿宋" w:hAnsi="仿宋" w:eastAsia="仿宋" w:cs="仿宋"/>
          <w:color w:val="000000"/>
          <w:sz w:val="24"/>
          <w:szCs w:val="24"/>
          <w:highlight w:val="none"/>
          <w:u w:val="none"/>
          <w:lang w:eastAsia="zh-CN"/>
        </w:rPr>
        <w:t>磋商响应文件</w:t>
      </w:r>
      <w:r>
        <w:rPr>
          <w:rFonts w:hint="eastAsia" w:ascii="仿宋" w:hAnsi="仿宋" w:eastAsia="仿宋" w:cs="仿宋"/>
          <w:color w:val="000000"/>
          <w:sz w:val="24"/>
          <w:szCs w:val="24"/>
          <w:highlight w:val="none"/>
          <w:u w:val="none"/>
        </w:rPr>
        <w:t>及质疑解答文件内容高于甲方</w:t>
      </w:r>
      <w:r>
        <w:rPr>
          <w:rFonts w:hint="eastAsia" w:ascii="仿宋" w:hAnsi="仿宋" w:eastAsia="仿宋" w:cs="仿宋"/>
          <w:color w:val="000000"/>
          <w:sz w:val="24"/>
          <w:szCs w:val="24"/>
          <w:highlight w:val="none"/>
          <w:u w:val="none"/>
          <w:lang w:eastAsia="zh-CN"/>
        </w:rPr>
        <w:t>竞争性磋商文件</w:t>
      </w:r>
      <w:r>
        <w:rPr>
          <w:rFonts w:hint="eastAsia" w:ascii="仿宋" w:hAnsi="仿宋" w:eastAsia="仿宋" w:cs="仿宋"/>
          <w:color w:val="000000"/>
          <w:sz w:val="24"/>
          <w:szCs w:val="24"/>
          <w:highlight w:val="none"/>
          <w:u w:val="none"/>
        </w:rPr>
        <w:t>要求,则以乙方的</w:t>
      </w:r>
      <w:r>
        <w:rPr>
          <w:rFonts w:hint="eastAsia" w:ascii="仿宋" w:hAnsi="仿宋" w:eastAsia="仿宋" w:cs="仿宋"/>
          <w:color w:val="000000"/>
          <w:sz w:val="24"/>
          <w:szCs w:val="24"/>
          <w:highlight w:val="none"/>
          <w:u w:val="none"/>
          <w:lang w:eastAsia="zh-CN"/>
        </w:rPr>
        <w:t>磋商响应文件</w:t>
      </w:r>
      <w:r>
        <w:rPr>
          <w:rFonts w:hint="eastAsia" w:ascii="仿宋" w:hAnsi="仿宋" w:eastAsia="仿宋" w:cs="仿宋"/>
          <w:color w:val="000000"/>
          <w:sz w:val="24"/>
          <w:szCs w:val="24"/>
          <w:highlight w:val="none"/>
          <w:u w:val="none"/>
        </w:rPr>
        <w:t>及质疑解答文件内容为准｡如果合同条款与合同附件有矛盾之处,以合同条款内容为准｡如果合同附件之间有矛盾之处,以有利于甲方的附件内容为准｡</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三、</w:t>
      </w:r>
      <w:r>
        <w:rPr>
          <w:rFonts w:hint="eastAsia" w:ascii="仿宋" w:hAnsi="仿宋" w:eastAsia="仿宋" w:cs="仿宋"/>
          <w:b/>
          <w:color w:val="000000"/>
          <w:sz w:val="24"/>
          <w:szCs w:val="24"/>
          <w:highlight w:val="none"/>
          <w:u w:val="none"/>
          <w:lang w:val="en-US" w:eastAsia="zh-CN"/>
        </w:rPr>
        <w:t>合同价款</w:t>
      </w:r>
    </w:p>
    <w:p>
      <w:pPr>
        <w:numPr>
          <w:ilvl w:val="0"/>
          <w:numId w:val="3"/>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合同总价款为人民币(大写)</w:t>
      </w:r>
      <w:r>
        <w:rPr>
          <w:rFonts w:hint="eastAsia" w:ascii="仿宋" w:hAnsi="仿宋" w:eastAsia="仿宋" w:cs="仿宋"/>
          <w:b/>
          <w:color w:val="000000"/>
          <w:sz w:val="22"/>
          <w:szCs w:val="22"/>
          <w:highlight w:val="none"/>
          <w:u w:val="none"/>
          <w:lang w:val="en-US" w:eastAsia="zh-CN"/>
        </w:rPr>
        <w:t>人民币:(大写)</w:t>
      </w:r>
      <w:r>
        <w:rPr>
          <w:rFonts w:hint="eastAsia" w:ascii="仿宋" w:hAnsi="仿宋" w:eastAsia="仿宋" w:cs="仿宋"/>
          <w:b/>
          <w:color w:val="000000"/>
          <w:sz w:val="22"/>
          <w:szCs w:val="22"/>
          <w:highlight w:val="none"/>
          <w:u w:val="single"/>
          <w:lang w:val="en-US" w:eastAsia="zh-CN"/>
        </w:rPr>
        <w:t xml:space="preserve">        </w:t>
      </w:r>
      <w:r>
        <w:rPr>
          <w:rFonts w:hint="eastAsia" w:ascii="仿宋" w:hAnsi="仿宋" w:eastAsia="仿宋" w:cs="仿宋"/>
          <w:b/>
          <w:color w:val="000000"/>
          <w:sz w:val="22"/>
          <w:szCs w:val="22"/>
          <w:highlight w:val="none"/>
          <w:u w:val="none"/>
          <w:lang w:val="en-US" w:eastAsia="zh-CN"/>
        </w:rPr>
        <w:t>元整 (小写)</w:t>
      </w:r>
      <w:r>
        <w:rPr>
          <w:rFonts w:hint="eastAsia" w:ascii="仿宋" w:hAnsi="仿宋" w:eastAsia="仿宋" w:cs="仿宋"/>
          <w:b/>
          <w:color w:val="000000"/>
          <w:sz w:val="22"/>
          <w:szCs w:val="22"/>
          <w:highlight w:val="none"/>
          <w:u w:val="single"/>
          <w:lang w:val="en-US" w:eastAsia="zh-CN"/>
        </w:rPr>
        <w:t xml:space="preserve">     </w:t>
      </w:r>
      <w:r>
        <w:rPr>
          <w:rFonts w:hint="eastAsia" w:ascii="仿宋" w:hAnsi="仿宋" w:eastAsia="仿宋" w:cs="仿宋"/>
          <w:b/>
          <w:color w:val="000000"/>
          <w:sz w:val="22"/>
          <w:szCs w:val="22"/>
          <w:highlight w:val="none"/>
          <w:u w:val="none"/>
          <w:lang w:val="en-US" w:eastAsia="zh-CN"/>
        </w:rPr>
        <w:t>元</w:t>
      </w:r>
      <w:r>
        <w:rPr>
          <w:rFonts w:hint="eastAsia" w:ascii="仿宋" w:hAnsi="仿宋" w:eastAsia="仿宋" w:cs="仿宋"/>
          <w:color w:val="000000"/>
          <w:sz w:val="24"/>
          <w:szCs w:val="24"/>
          <w:highlight w:val="none"/>
          <w:u w:val="none"/>
        </w:rPr>
        <w:t>｡</w:t>
      </w:r>
    </w:p>
    <w:p>
      <w:pPr>
        <w:numPr>
          <w:ilvl w:val="0"/>
          <w:numId w:val="3"/>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合同总价包括:</w:t>
      </w:r>
      <w:r>
        <w:rPr>
          <w:rFonts w:hint="eastAsia" w:ascii="仿宋" w:hAnsi="仿宋" w:eastAsia="仿宋" w:cs="仿宋"/>
          <w:color w:val="000000"/>
          <w:sz w:val="24"/>
          <w:szCs w:val="24"/>
          <w:highlight w:val="none"/>
          <w:u w:val="none"/>
          <w:lang w:val="en-US" w:eastAsia="zh-CN"/>
        </w:rPr>
        <w:t>不限于场地租赁费、会务费、设计费、管理费、会议所涉及的工具、会场布置及材料、与本项目服务有关的一切费用。</w:t>
      </w:r>
    </w:p>
    <w:p>
      <w:pPr>
        <w:numPr>
          <w:ilvl w:val="0"/>
          <w:numId w:val="3"/>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合同总价一次性包死,不受市场价格变化因素的影响｡</w:t>
      </w:r>
    </w:p>
    <w:p>
      <w:pPr>
        <w:numPr>
          <w:ilvl w:val="0"/>
          <w:numId w:val="3"/>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甲方不再另付任何费用｡</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四、</w:t>
      </w:r>
      <w:r>
        <w:rPr>
          <w:rFonts w:hint="eastAsia" w:ascii="仿宋" w:hAnsi="仿宋" w:eastAsia="仿宋" w:cs="仿宋"/>
          <w:b/>
          <w:color w:val="000000"/>
          <w:sz w:val="24"/>
          <w:szCs w:val="24"/>
          <w:highlight w:val="none"/>
          <w:u w:val="none"/>
          <w:lang w:val="en-US" w:eastAsia="zh-CN"/>
        </w:rPr>
        <w:t>合同结算</w:t>
      </w:r>
    </w:p>
    <w:p>
      <w:pPr>
        <w:keepNext w:val="0"/>
        <w:keepLines w:val="0"/>
        <w:pageBreakBefore w:val="0"/>
        <w:numPr>
          <w:ilvl w:val="0"/>
          <w:numId w:val="4"/>
        </w:numPr>
        <w:shd w:val="clear" w:color="auto" w:fill="auto"/>
        <w:tabs>
          <w:tab w:val="left" w:pos="480"/>
        </w:tabs>
        <w:kinsoku/>
        <w:wordWrap/>
        <w:overflowPunct/>
        <w:topLinePunct w:val="0"/>
        <w:bidi w:val="0"/>
        <w:adjustRightInd/>
        <w:snapToGrid w:val="0"/>
        <w:spacing w:line="360" w:lineRule="auto"/>
        <w:ind w:left="0" w:leftChars="0" w:right="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支付方式:银行</w:t>
      </w:r>
      <w:r>
        <w:rPr>
          <w:rFonts w:hint="eastAsia" w:ascii="仿宋" w:hAnsi="仿宋" w:eastAsia="仿宋" w:cs="仿宋"/>
          <w:color w:val="000000"/>
          <w:sz w:val="24"/>
          <w:szCs w:val="24"/>
          <w:highlight w:val="none"/>
          <w:u w:val="none"/>
          <w:lang w:val="en-US" w:eastAsia="zh-CN"/>
        </w:rPr>
        <w:t>转账</w:t>
      </w:r>
      <w:r>
        <w:rPr>
          <w:rFonts w:hint="eastAsia" w:ascii="仿宋" w:hAnsi="仿宋" w:eastAsia="仿宋" w:cs="仿宋"/>
          <w:color w:val="000000"/>
          <w:sz w:val="24"/>
          <w:szCs w:val="24"/>
          <w:highlight w:val="none"/>
          <w:u w:val="none"/>
        </w:rPr>
        <w:t>｡</w:t>
      </w:r>
    </w:p>
    <w:p>
      <w:pPr>
        <w:keepNext w:val="0"/>
        <w:keepLines w:val="0"/>
        <w:pageBreakBefore w:val="0"/>
        <w:numPr>
          <w:ilvl w:val="0"/>
          <w:numId w:val="4"/>
        </w:numPr>
        <w:shd w:val="clear" w:color="auto" w:fill="auto"/>
        <w:tabs>
          <w:tab w:val="left" w:pos="480"/>
        </w:tabs>
        <w:kinsoku/>
        <w:wordWrap/>
        <w:overflowPunct/>
        <w:topLinePunct w:val="0"/>
        <w:bidi w:val="0"/>
        <w:adjustRightInd/>
        <w:snapToGrid w:val="0"/>
        <w:spacing w:line="360" w:lineRule="auto"/>
        <w:ind w:left="0" w:leftChars="0" w:right="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结算方式:服务费用分二次支付，合同签订且供应商开具增值税正式发票后的10个工作日内，以银行转账形式向其支付本合同总费用的50%；2026年11月供应商提供结案报告，经市委网信办验收合格出具验收报告和绩效目标后10个工作日内，向供应商支付剩余50%尾款。</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五、</w:t>
      </w:r>
      <w:r>
        <w:rPr>
          <w:rFonts w:hint="eastAsia" w:ascii="仿宋" w:hAnsi="仿宋" w:eastAsia="仿宋" w:cs="仿宋"/>
          <w:b/>
          <w:color w:val="000000"/>
          <w:sz w:val="24"/>
          <w:szCs w:val="24"/>
          <w:highlight w:val="none"/>
          <w:u w:val="none"/>
          <w:lang w:val="en-US" w:eastAsia="zh-CN"/>
        </w:rPr>
        <w:t>服务地点及服务期</w:t>
      </w:r>
    </w:p>
    <w:p>
      <w:pPr>
        <w:numPr>
          <w:ilvl w:val="0"/>
          <w:numId w:val="0"/>
        </w:numPr>
        <w:shd w:val="clear" w:color="auto" w:fill="auto"/>
        <w:snapToGrid w:val="0"/>
        <w:spacing w:line="360" w:lineRule="auto"/>
        <w:ind w:left="0" w:leftChars="0" w:firstLine="420" w:firstLineChars="0"/>
        <w:textAlignment w:val="baseline"/>
        <w:rPr>
          <w:rFonts w:hint="default" w:ascii="仿宋" w:hAnsi="仿宋" w:eastAsia="仿宋" w:cs="仿宋"/>
          <w:color w:val="000000"/>
          <w:sz w:val="24"/>
          <w:szCs w:val="24"/>
          <w:highlight w:val="none"/>
          <w:u w:val="none"/>
          <w:lang w:val="en-US" w:eastAsia="zh-CN"/>
        </w:rPr>
      </w:pPr>
      <w:r>
        <w:rPr>
          <w:rFonts w:hint="eastAsia" w:ascii="仿宋" w:hAnsi="仿宋" w:eastAsia="仿宋" w:cs="仿宋"/>
          <w:color w:val="000000"/>
          <w:kern w:val="2"/>
          <w:sz w:val="24"/>
          <w:szCs w:val="24"/>
          <w:highlight w:val="none"/>
          <w:lang w:val="en-US" w:eastAsia="zh-CN" w:bidi="ar-SA"/>
        </w:rPr>
        <w:t>（一）</w:t>
      </w:r>
      <w:r>
        <w:rPr>
          <w:rFonts w:hint="eastAsia" w:ascii="仿宋" w:hAnsi="仿宋" w:eastAsia="仿宋" w:cs="仿宋"/>
          <w:color w:val="000000"/>
          <w:sz w:val="24"/>
          <w:szCs w:val="24"/>
          <w:highlight w:val="none"/>
          <w:u w:val="none"/>
        </w:rPr>
        <w:t>服务地点:</w:t>
      </w:r>
      <w:r>
        <w:rPr>
          <w:rFonts w:hint="eastAsia" w:ascii="仿宋" w:hAnsi="仿宋" w:eastAsia="仿宋" w:cs="仿宋"/>
          <w:color w:val="000000"/>
          <w:sz w:val="24"/>
          <w:szCs w:val="24"/>
          <w:highlight w:val="none"/>
          <w:u w:val="none"/>
          <w:lang w:val="en-US" w:eastAsia="zh-CN"/>
        </w:rPr>
        <w:t>甲方指定地点</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lang w:val="en-US" w:eastAsia="zh-CN"/>
        </w:rPr>
      </w:pPr>
      <w:bookmarkStart w:id="1" w:name="OLE_LINK13"/>
      <w:r>
        <w:rPr>
          <w:rFonts w:hint="eastAsia" w:ascii="仿宋" w:hAnsi="仿宋" w:eastAsia="仿宋" w:cs="仿宋"/>
          <w:color w:val="000000"/>
          <w:kern w:val="2"/>
          <w:sz w:val="24"/>
          <w:szCs w:val="24"/>
          <w:highlight w:val="none"/>
          <w:lang w:val="en-US" w:eastAsia="zh-CN" w:bidi="ar-SA"/>
        </w:rPr>
        <w:t>（二）</w:t>
      </w:r>
      <w:r>
        <w:rPr>
          <w:rFonts w:hint="eastAsia" w:ascii="仿宋" w:hAnsi="仿宋" w:eastAsia="仿宋" w:cs="仿宋"/>
          <w:color w:val="000000"/>
          <w:sz w:val="24"/>
          <w:szCs w:val="24"/>
          <w:highlight w:val="none"/>
          <w:u w:val="none"/>
        </w:rPr>
        <w:t>服务</w:t>
      </w:r>
      <w:bookmarkEnd w:id="1"/>
      <w:r>
        <w:rPr>
          <w:rFonts w:hint="eastAsia" w:ascii="仿宋" w:hAnsi="仿宋" w:eastAsia="仿宋" w:cs="仿宋"/>
          <w:color w:val="000000"/>
          <w:sz w:val="24"/>
          <w:szCs w:val="24"/>
          <w:highlight w:val="none"/>
          <w:u w:val="none"/>
          <w:lang w:val="en-US" w:eastAsia="zh-CN"/>
        </w:rPr>
        <w:t>期限</w:t>
      </w:r>
      <w:r>
        <w:rPr>
          <w:rFonts w:hint="eastAsia" w:ascii="仿宋" w:hAnsi="仿宋" w:eastAsia="仿宋" w:cs="仿宋"/>
          <w:color w:val="000000"/>
          <w:sz w:val="24"/>
          <w:szCs w:val="24"/>
          <w:highlight w:val="none"/>
          <w:u w:val="none"/>
        </w:rPr>
        <w:t>:合同签订之日起至2026年11月</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六、</w:t>
      </w:r>
      <w:r>
        <w:rPr>
          <w:rFonts w:hint="eastAsia" w:ascii="仿宋" w:hAnsi="仿宋" w:eastAsia="仿宋" w:cs="仿宋"/>
          <w:b/>
          <w:color w:val="000000"/>
          <w:sz w:val="24"/>
          <w:szCs w:val="24"/>
          <w:highlight w:val="none"/>
          <w:u w:val="none"/>
          <w:lang w:val="en-US" w:eastAsia="zh-CN"/>
        </w:rPr>
        <w:t>双方的权利和义务</w:t>
      </w:r>
    </w:p>
    <w:p>
      <w:pPr>
        <w:numPr>
          <w:ilvl w:val="0"/>
          <w:numId w:val="5"/>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甲方的权利和义务</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1.甲方有权对合同规定范围内乙方的服务行为进行监督和检查，拥有监管权。有权定期核对乙方提供服务所配备的人员数量。对甲方认为不合理的部分有权下达整改通知书，并要求乙方限期整改。</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2.甲方有权依据双方签订的考评办法对乙方提供的服务进行定期考评</w:t>
      </w:r>
      <w:r>
        <w:rPr>
          <w:rFonts w:hint="eastAsia" w:ascii="仿宋" w:hAnsi="仿宋" w:eastAsia="仿宋" w:cs="仿宋"/>
          <w:color w:val="000000"/>
          <w:sz w:val="24"/>
          <w:szCs w:val="24"/>
          <w:highlight w:val="none"/>
          <w:u w:val="none"/>
          <w:lang w:eastAsia="zh-CN"/>
        </w:rPr>
        <w:t>，</w:t>
      </w:r>
      <w:r>
        <w:rPr>
          <w:rFonts w:hint="eastAsia" w:ascii="仿宋" w:hAnsi="仿宋" w:eastAsia="仿宋" w:cs="仿宋"/>
          <w:color w:val="000000"/>
          <w:sz w:val="24"/>
          <w:szCs w:val="24"/>
          <w:highlight w:val="none"/>
          <w:u w:val="none"/>
          <w:lang w:val="en-US" w:eastAsia="zh-CN"/>
        </w:rPr>
        <w:t>完成</w:t>
      </w:r>
      <w:r>
        <w:rPr>
          <w:rFonts w:hint="eastAsia" w:ascii="仿宋" w:hAnsi="仿宋" w:eastAsia="仿宋" w:cs="仿宋"/>
          <w:color w:val="000000"/>
          <w:sz w:val="24"/>
          <w:szCs w:val="24"/>
          <w:highlight w:val="none"/>
          <w:u w:val="none"/>
          <w:lang w:eastAsia="zh-CN"/>
        </w:rPr>
        <w:t>项目绩效目标</w:t>
      </w:r>
      <w:r>
        <w:rPr>
          <w:rFonts w:hint="eastAsia" w:ascii="仿宋" w:hAnsi="仿宋" w:eastAsia="仿宋" w:cs="仿宋"/>
          <w:color w:val="000000"/>
          <w:sz w:val="24"/>
          <w:szCs w:val="24"/>
          <w:highlight w:val="none"/>
          <w:u w:val="none"/>
        </w:rPr>
        <w:t>。当考评结果未达到标准时，有权依据考评办法约定的数额扣除。</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3.负责检查监督乙方管理工作的实施及制度的执行情况。</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4.根据本合同规定，按时向乙方支付应付服务费用。</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5.国家法律、法规所规定由甲方承担的其它责任。</w:t>
      </w:r>
    </w:p>
    <w:p>
      <w:pPr>
        <w:numPr>
          <w:ilvl w:val="0"/>
          <w:numId w:val="5"/>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乙方的权利和义务</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1.对本合同规定的委托服务范围内的项目享有管理权及服务义务。</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2.根据本合同的规定向甲方收取相关服务费用，并有权在本项目管理范围内管理及合理使用。</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3.及时向甲方通告本项目服务范围内有关服务的重大事项，及时配合处理投诉。</w:t>
      </w:r>
    </w:p>
    <w:p>
      <w:pPr>
        <w:numPr>
          <w:ilvl w:val="0"/>
          <w:numId w:val="0"/>
        </w:numPr>
        <w:shd w:val="clear" w:color="auto" w:fill="auto"/>
        <w:snapToGrid w:val="0"/>
        <w:spacing w:line="360" w:lineRule="auto"/>
        <w:ind w:left="0" w:leftChars="0" w:firstLine="420" w:firstLineChars="0"/>
        <w:textAlignment w:val="baseline"/>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4.接受项目行业管理部门及政府有关部门的指导，接受甲方的监督。</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val="0"/>
          <w:bCs/>
          <w:color w:val="000000"/>
          <w:sz w:val="24"/>
          <w:szCs w:val="24"/>
          <w:highlight w:val="none"/>
          <w:u w:val="none"/>
          <w:lang w:val="en-US" w:eastAsia="zh-CN"/>
        </w:rPr>
      </w:pPr>
      <w:r>
        <w:rPr>
          <w:rFonts w:hint="eastAsia" w:ascii="仿宋" w:hAnsi="仿宋" w:eastAsia="仿宋" w:cs="仿宋"/>
          <w:color w:val="000000"/>
          <w:sz w:val="24"/>
          <w:szCs w:val="24"/>
          <w:highlight w:val="none"/>
          <w:u w:val="none"/>
        </w:rPr>
        <w:t>5.国</w:t>
      </w:r>
      <w:r>
        <w:rPr>
          <w:rFonts w:hint="eastAsia" w:ascii="仿宋" w:hAnsi="仿宋" w:eastAsia="仿宋" w:cs="仿宋"/>
          <w:b w:val="0"/>
          <w:bCs/>
          <w:color w:val="000000"/>
          <w:sz w:val="24"/>
          <w:szCs w:val="24"/>
          <w:highlight w:val="none"/>
          <w:u w:val="none"/>
          <w:lang w:val="en-US" w:eastAsia="zh-CN"/>
        </w:rPr>
        <w:t>家法律、法规所规定由乙方承担的其它责任。</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sz w:val="24"/>
          <w:szCs w:val="24"/>
          <w:highlight w:val="none"/>
          <w:u w:val="none"/>
          <w:lang w:val="en-US" w:eastAsia="zh-CN"/>
        </w:rPr>
        <w:t>七、知识产权</w:t>
      </w:r>
    </w:p>
    <w:p>
      <w:pPr>
        <w:tabs>
          <w:tab w:val="left" w:pos="1440"/>
        </w:tabs>
        <w:spacing w:line="360" w:lineRule="auto"/>
        <w:ind w:firstLine="480" w:firstLineChars="200"/>
        <w:outlineLvl w:val="9"/>
        <w:rPr>
          <w:rFonts w:hint="eastAsia" w:ascii="仿宋" w:hAnsi="仿宋" w:eastAsia="仿宋" w:cs="仿宋"/>
          <w:b w:val="0"/>
          <w:bCs/>
          <w:color w:val="000000"/>
          <w:kern w:val="2"/>
          <w:sz w:val="24"/>
          <w:szCs w:val="24"/>
          <w:highlight w:val="none"/>
          <w:u w:val="none"/>
          <w:lang w:val="en-US" w:eastAsia="zh-CN" w:bidi="ar-SA"/>
        </w:rPr>
      </w:pPr>
      <w:r>
        <w:rPr>
          <w:rFonts w:hint="eastAsia" w:ascii="仿宋" w:hAnsi="仿宋" w:eastAsia="仿宋" w:cs="仿宋"/>
          <w:b w:val="0"/>
          <w:bCs/>
          <w:color w:val="000000"/>
          <w:kern w:val="2"/>
          <w:sz w:val="24"/>
          <w:szCs w:val="24"/>
          <w:highlight w:val="none"/>
          <w:u w:val="none"/>
          <w:lang w:val="en-US" w:eastAsia="zh-CN" w:bidi="ar-SA"/>
        </w:rPr>
        <w:t>乙方应保证所提供的服务或其任何一部分均不会侵犯任何第三方的专利权、商标权或著作权。</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sz w:val="24"/>
          <w:szCs w:val="24"/>
          <w:highlight w:val="none"/>
          <w:u w:val="none"/>
          <w:lang w:val="en-US" w:eastAsia="zh-CN"/>
        </w:rPr>
        <w:t>八、无产权瑕疵条款</w:t>
      </w:r>
    </w:p>
    <w:p>
      <w:pPr>
        <w:tabs>
          <w:tab w:val="left" w:pos="1440"/>
        </w:tabs>
        <w:spacing w:line="360" w:lineRule="auto"/>
        <w:ind w:firstLine="480" w:firstLineChars="200"/>
        <w:outlineLvl w:val="9"/>
        <w:rPr>
          <w:rFonts w:hint="eastAsia" w:ascii="仿宋" w:hAnsi="仿宋" w:eastAsia="仿宋" w:cs="仿宋"/>
          <w:b w:val="0"/>
          <w:bCs/>
          <w:color w:val="000000"/>
          <w:kern w:val="2"/>
          <w:sz w:val="24"/>
          <w:szCs w:val="24"/>
          <w:highlight w:val="none"/>
          <w:u w:val="none"/>
          <w:lang w:val="en-US" w:eastAsia="zh-CN" w:bidi="ar-SA"/>
        </w:rPr>
      </w:pPr>
      <w:r>
        <w:rPr>
          <w:rFonts w:hint="eastAsia" w:ascii="仿宋" w:hAnsi="仿宋" w:eastAsia="仿宋" w:cs="仿宋"/>
          <w:b w:val="0"/>
          <w:bCs/>
          <w:color w:val="000000"/>
          <w:kern w:val="2"/>
          <w:sz w:val="24"/>
          <w:szCs w:val="24"/>
          <w:highlight w:val="none"/>
          <w:u w:val="none"/>
          <w:lang w:val="en-US" w:eastAsia="zh-CN" w:bidi="ar-SA"/>
        </w:rPr>
        <w:t>乙方保证所提供的服务的所有权完全属于乙方且无任何抵押、查封等产权瑕疵。如有产权瑕疵的，视为乙方违约。乙方应负担由此而产生的一切损失。</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九、</w:t>
      </w:r>
      <w:r>
        <w:rPr>
          <w:rFonts w:hint="eastAsia" w:ascii="仿宋" w:hAnsi="仿宋" w:eastAsia="仿宋" w:cs="仿宋"/>
          <w:b/>
          <w:color w:val="000000"/>
          <w:sz w:val="24"/>
          <w:szCs w:val="24"/>
          <w:highlight w:val="none"/>
          <w:u w:val="none"/>
          <w:lang w:val="en-US" w:eastAsia="zh-CN"/>
        </w:rPr>
        <w:t>验收</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（一）验收条件：完成合同约定的启动仪式重点宣传片策划制作和多机位视频录制，完成系列短视频和海报，融媒直播、融媒聚合专栏和融媒体专题报道。</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kern w:val="2"/>
          <w:sz w:val="24"/>
          <w:szCs w:val="24"/>
          <w:highlight w:val="none"/>
          <w:lang w:val="en-US" w:eastAsia="zh-CN" w:bidi="ar-SA"/>
        </w:rPr>
        <w:t>（二）</w:t>
      </w:r>
      <w:r>
        <w:rPr>
          <w:rFonts w:hint="eastAsia" w:ascii="仿宋" w:hAnsi="仿宋" w:eastAsia="仿宋" w:cs="仿宋"/>
          <w:color w:val="000000"/>
          <w:sz w:val="24"/>
          <w:szCs w:val="24"/>
          <w:highlight w:val="none"/>
          <w:u w:val="none"/>
        </w:rPr>
        <w:t>验收依据:</w:t>
      </w:r>
    </w:p>
    <w:p>
      <w:pPr>
        <w:numPr>
          <w:ilvl w:val="0"/>
          <w:numId w:val="6"/>
        </w:numPr>
        <w:shd w:val="clear" w:color="auto" w:fill="auto"/>
        <w:tabs>
          <w:tab w:val="left" w:pos="480"/>
        </w:tabs>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eastAsia="zh-CN"/>
        </w:rPr>
        <w:t>竞争性磋商文件</w:t>
      </w:r>
      <w:r>
        <w:rPr>
          <w:rFonts w:hint="eastAsia" w:ascii="仿宋" w:hAnsi="仿宋" w:eastAsia="仿宋" w:cs="仿宋"/>
          <w:color w:val="000000"/>
          <w:sz w:val="24"/>
          <w:szCs w:val="24"/>
          <w:highlight w:val="none"/>
          <w:u w:val="none"/>
        </w:rPr>
        <w:t>､竞争性磋商</w:t>
      </w:r>
      <w:r>
        <w:rPr>
          <w:rFonts w:hint="eastAsia" w:ascii="仿宋" w:hAnsi="仿宋" w:eastAsia="仿宋" w:cs="仿宋"/>
          <w:color w:val="000000"/>
          <w:sz w:val="24"/>
          <w:szCs w:val="24"/>
          <w:highlight w:val="none"/>
          <w:u w:val="none"/>
          <w:lang w:val="en-US" w:eastAsia="zh-CN"/>
        </w:rPr>
        <w:t>响应</w:t>
      </w:r>
      <w:r>
        <w:rPr>
          <w:rFonts w:hint="eastAsia" w:ascii="仿宋" w:hAnsi="仿宋" w:eastAsia="仿宋" w:cs="仿宋"/>
          <w:color w:val="000000"/>
          <w:sz w:val="24"/>
          <w:szCs w:val="24"/>
          <w:highlight w:val="none"/>
          <w:u w:val="none"/>
        </w:rPr>
        <w:t>文件;</w:t>
      </w:r>
    </w:p>
    <w:p>
      <w:pPr>
        <w:numPr>
          <w:ilvl w:val="0"/>
          <w:numId w:val="6"/>
        </w:numPr>
        <w:shd w:val="clear" w:color="auto" w:fill="auto"/>
        <w:tabs>
          <w:tab w:val="left" w:pos="480"/>
        </w:tabs>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本合同及附件文本;</w:t>
      </w:r>
    </w:p>
    <w:p>
      <w:pPr>
        <w:numPr>
          <w:ilvl w:val="0"/>
          <w:numId w:val="6"/>
        </w:numPr>
        <w:shd w:val="clear" w:color="auto" w:fill="auto"/>
        <w:tabs>
          <w:tab w:val="left" w:pos="480"/>
        </w:tabs>
        <w:snapToGrid w:val="0"/>
        <w:spacing w:line="360" w:lineRule="auto"/>
        <w:ind w:left="0" w:leftChars="0" w:firstLine="40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国家相应的标准</w:t>
      </w:r>
      <w:r>
        <w:rPr>
          <w:rFonts w:hint="eastAsia" w:ascii="仿宋" w:hAnsi="仿宋" w:eastAsia="仿宋" w:cs="仿宋"/>
          <w:color w:val="000000"/>
          <w:sz w:val="24"/>
          <w:szCs w:val="24"/>
          <w:highlight w:val="none"/>
          <w:u w:val="none"/>
          <w:lang w:eastAsia="zh-CN"/>
        </w:rPr>
        <w:t>、</w:t>
      </w:r>
      <w:r>
        <w:rPr>
          <w:rFonts w:hint="eastAsia" w:ascii="仿宋" w:hAnsi="仿宋" w:eastAsia="仿宋" w:cs="仿宋"/>
          <w:color w:val="000000"/>
          <w:sz w:val="24"/>
          <w:szCs w:val="24"/>
          <w:highlight w:val="none"/>
          <w:u w:val="none"/>
        </w:rPr>
        <w:t>规范｡</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w:t>
      </w:r>
      <w:r>
        <w:rPr>
          <w:rFonts w:hint="eastAsia" w:ascii="仿宋" w:hAnsi="仿宋" w:eastAsia="仿宋" w:cs="仿宋"/>
          <w:b/>
          <w:color w:val="000000"/>
          <w:sz w:val="24"/>
          <w:szCs w:val="24"/>
          <w:highlight w:val="none"/>
          <w:u w:val="none"/>
          <w:lang w:val="en-US" w:eastAsia="zh-CN"/>
        </w:rPr>
        <w:t>乙方履约延误</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w w:val="95"/>
          <w:sz w:val="24"/>
          <w:szCs w:val="24"/>
          <w:highlight w:val="none"/>
          <w:u w:val="none"/>
        </w:rPr>
      </w:pPr>
      <w:r>
        <w:rPr>
          <w:rFonts w:hint="eastAsia" w:ascii="仿宋" w:hAnsi="仿宋" w:eastAsia="仿宋" w:cs="仿宋"/>
          <w:snapToGrid w:val="0"/>
          <w:color w:val="000000"/>
          <w:w w:val="95"/>
          <w:kern w:val="0"/>
          <w:sz w:val="24"/>
          <w:szCs w:val="24"/>
          <w:highlight w:val="none"/>
          <w:lang w:val="en-US" w:eastAsia="en-US" w:bidi="ar-SA"/>
        </w:rPr>
        <w:t>（一）</w:t>
      </w:r>
      <w:r>
        <w:rPr>
          <w:rFonts w:hint="eastAsia" w:ascii="仿宋" w:hAnsi="仿宋" w:eastAsia="仿宋" w:cs="仿宋"/>
          <w:color w:val="000000"/>
          <w:w w:val="95"/>
          <w:sz w:val="24"/>
          <w:szCs w:val="24"/>
          <w:highlight w:val="none"/>
          <w:u w:val="none"/>
        </w:rPr>
        <w:t>如乙方事先未征得甲方同意并得到甲方的谅解而单方面延迟交货,将按违约终止合同｡</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snapToGrid w:val="0"/>
          <w:color w:val="000000"/>
          <w:kern w:val="0"/>
          <w:sz w:val="24"/>
          <w:szCs w:val="24"/>
          <w:highlight w:val="none"/>
          <w:lang w:val="en-US" w:eastAsia="en-US" w:bidi="ar-SA"/>
        </w:rPr>
        <w:t>（二）</w:t>
      </w:r>
      <w:r>
        <w:rPr>
          <w:rFonts w:hint="eastAsia" w:ascii="仿宋" w:hAnsi="仿宋" w:eastAsia="仿宋" w:cs="仿宋"/>
          <w:color w:val="000000"/>
          <w:sz w:val="24"/>
          <w:szCs w:val="24"/>
          <w:highlight w:val="none"/>
          <w:u w:val="none"/>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误期赔偿金以每周0.5%计｡</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十一、</w:t>
      </w:r>
      <w:r>
        <w:rPr>
          <w:rFonts w:hint="eastAsia" w:ascii="仿宋" w:hAnsi="仿宋" w:eastAsia="仿宋" w:cs="仿宋"/>
          <w:b/>
          <w:color w:val="000000"/>
          <w:sz w:val="24"/>
          <w:szCs w:val="24"/>
          <w:highlight w:val="none"/>
          <w:u w:val="none"/>
          <w:lang w:val="en-US" w:eastAsia="zh-CN"/>
        </w:rPr>
        <w:t>违约责任</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Hans" w:bidi="ar-SA"/>
        </w:rPr>
      </w:pPr>
      <w:r>
        <w:rPr>
          <w:rFonts w:hint="eastAsia" w:ascii="仿宋" w:hAnsi="仿宋" w:eastAsia="仿宋" w:cs="仿宋"/>
          <w:snapToGrid w:val="0"/>
          <w:color w:val="000000"/>
          <w:w w:val="95"/>
          <w:kern w:val="0"/>
          <w:sz w:val="24"/>
          <w:szCs w:val="24"/>
          <w:highlight w:val="none"/>
          <w:lang w:val="en-US" w:eastAsia="zh-Hans" w:bidi="ar-SA"/>
        </w:rPr>
        <w:t>1</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违约责任按《中华人民共和国民法典》处理中的相关条款执行。</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Hans" w:bidi="ar-SA"/>
        </w:rPr>
      </w:pPr>
      <w:r>
        <w:rPr>
          <w:rFonts w:hint="eastAsia" w:ascii="仿宋" w:hAnsi="仿宋" w:eastAsia="仿宋" w:cs="仿宋"/>
          <w:snapToGrid w:val="0"/>
          <w:color w:val="000000"/>
          <w:w w:val="95"/>
          <w:kern w:val="0"/>
          <w:sz w:val="24"/>
          <w:szCs w:val="24"/>
          <w:highlight w:val="none"/>
          <w:lang w:val="en-US" w:eastAsia="zh-Hans" w:bidi="ar-SA"/>
        </w:rPr>
        <w:t>2</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乙方应按合同约定时间完成各阶段合同义务，若发生延迟，乙方应向甲方支付合同总价款10%的违约金，且甲方有权单方解除本合同。但甲方书面同意延迟或因甲方原因导致延迟的，乙方不承担违约责任。</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Hans" w:bidi="ar-SA"/>
        </w:rPr>
      </w:pPr>
      <w:r>
        <w:rPr>
          <w:rFonts w:hint="eastAsia" w:ascii="仿宋" w:hAnsi="仿宋" w:eastAsia="仿宋" w:cs="仿宋"/>
          <w:snapToGrid w:val="0"/>
          <w:color w:val="000000"/>
          <w:w w:val="95"/>
          <w:kern w:val="0"/>
          <w:sz w:val="24"/>
          <w:szCs w:val="24"/>
          <w:highlight w:val="none"/>
          <w:lang w:val="en-US" w:eastAsia="zh-Hans" w:bidi="ar-SA"/>
        </w:rPr>
        <w:t>3</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如甲方未能在本合同约定时间内支付款项，每延迟一天，甲方须向乙方承担迟延支付费用的0.5‰作为违约金，并将服务周期予以相应顺延。</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Hans" w:bidi="ar-SA"/>
        </w:rPr>
      </w:pPr>
      <w:r>
        <w:rPr>
          <w:rFonts w:hint="eastAsia" w:ascii="仿宋" w:hAnsi="仿宋" w:eastAsia="仿宋" w:cs="仿宋"/>
          <w:snapToGrid w:val="0"/>
          <w:color w:val="000000"/>
          <w:w w:val="95"/>
          <w:kern w:val="0"/>
          <w:sz w:val="24"/>
          <w:szCs w:val="24"/>
          <w:highlight w:val="none"/>
          <w:lang w:val="en-US" w:eastAsia="zh-Hans" w:bidi="ar-SA"/>
        </w:rPr>
        <w:t>4</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本次活动因乙方原因导致侵害甲方或第三方合法权益的，应由乙方承担相应赔偿责任，并向甲方支付合同总价款10%的违约金。</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Hans" w:bidi="ar-SA"/>
        </w:rPr>
      </w:pPr>
      <w:r>
        <w:rPr>
          <w:rFonts w:hint="eastAsia" w:ascii="仿宋" w:hAnsi="仿宋" w:eastAsia="仿宋" w:cs="仿宋"/>
          <w:snapToGrid w:val="0"/>
          <w:color w:val="000000"/>
          <w:w w:val="95"/>
          <w:kern w:val="0"/>
          <w:sz w:val="24"/>
          <w:szCs w:val="24"/>
          <w:highlight w:val="none"/>
          <w:lang w:val="en-US" w:eastAsia="zh-Hans" w:bidi="ar-SA"/>
        </w:rPr>
        <w:t>5</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若乙方未经甲方同意泄露本合同约定的任何秘密信息的，乙方应按照合同总价款的10%向甲方支付违约金， 并赔偿因此给甲方造成的损失。</w:t>
      </w:r>
    </w:p>
    <w:p>
      <w:pPr>
        <w:numPr>
          <w:ilvl w:val="0"/>
          <w:numId w:val="0"/>
        </w:numPr>
        <w:shd w:val="clear" w:color="auto" w:fill="auto"/>
        <w:tabs>
          <w:tab w:val="left" w:pos="480"/>
        </w:tabs>
        <w:snapToGrid w:val="0"/>
        <w:spacing w:line="360" w:lineRule="auto"/>
        <w:ind w:left="0" w:leftChars="0" w:firstLine="420" w:firstLineChars="0"/>
        <w:rPr>
          <w:rFonts w:hint="eastAsia" w:ascii="仿宋" w:hAnsi="仿宋" w:eastAsia="仿宋" w:cs="仿宋"/>
          <w:snapToGrid w:val="0"/>
          <w:color w:val="000000"/>
          <w:w w:val="95"/>
          <w:kern w:val="0"/>
          <w:sz w:val="24"/>
          <w:szCs w:val="24"/>
          <w:highlight w:val="none"/>
          <w:lang w:val="en-US" w:eastAsia="zh-CN" w:bidi="ar-SA"/>
        </w:rPr>
      </w:pPr>
      <w:r>
        <w:rPr>
          <w:rFonts w:hint="eastAsia" w:ascii="仿宋" w:hAnsi="仿宋" w:eastAsia="仿宋" w:cs="仿宋"/>
          <w:snapToGrid w:val="0"/>
          <w:color w:val="000000"/>
          <w:w w:val="95"/>
          <w:kern w:val="0"/>
          <w:sz w:val="24"/>
          <w:szCs w:val="24"/>
          <w:highlight w:val="none"/>
          <w:lang w:val="en-US" w:eastAsia="zh-Hans" w:bidi="ar-SA"/>
        </w:rPr>
        <w:t>6</w:t>
      </w:r>
      <w:r>
        <w:rPr>
          <w:rFonts w:hint="eastAsia" w:ascii="仿宋" w:hAnsi="仿宋" w:eastAsia="仿宋" w:cs="仿宋"/>
          <w:snapToGrid w:val="0"/>
          <w:color w:val="000000"/>
          <w:w w:val="95"/>
          <w:kern w:val="0"/>
          <w:sz w:val="24"/>
          <w:szCs w:val="24"/>
          <w:highlight w:val="none"/>
          <w:lang w:val="en-US" w:eastAsia="zh-CN" w:bidi="ar-SA"/>
        </w:rPr>
        <w:t>.</w:t>
      </w:r>
      <w:r>
        <w:rPr>
          <w:rFonts w:hint="eastAsia" w:ascii="仿宋" w:hAnsi="仿宋" w:eastAsia="仿宋" w:cs="仿宋"/>
          <w:snapToGrid w:val="0"/>
          <w:color w:val="000000"/>
          <w:w w:val="95"/>
          <w:kern w:val="0"/>
          <w:sz w:val="24"/>
          <w:szCs w:val="24"/>
          <w:highlight w:val="none"/>
          <w:lang w:val="en-US" w:eastAsia="zh-Hans" w:bidi="ar-SA"/>
        </w:rPr>
        <w:t>乙方保证向甲方开具发票的真实性、合法性，若乙方向甲方开具的发票存在真实性、合法性问题，给甲方造成损失的，乙方应按合同总价款的10%向甲方支付违约金，违约金不足以弥补损失的，乙方还应承担相应赔偿责任。</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十二、</w:t>
      </w:r>
      <w:r>
        <w:rPr>
          <w:rFonts w:hint="eastAsia" w:ascii="仿宋" w:hAnsi="仿宋" w:eastAsia="仿宋" w:cs="仿宋"/>
          <w:b/>
          <w:color w:val="000000"/>
          <w:sz w:val="24"/>
          <w:szCs w:val="24"/>
          <w:highlight w:val="none"/>
          <w:u w:val="none"/>
          <w:lang w:val="en-US" w:eastAsia="zh-CN"/>
        </w:rPr>
        <w:t>合同争议解决的方式</w:t>
      </w:r>
    </w:p>
    <w:p>
      <w:pPr>
        <w:shd w:val="clear" w:color="auto" w:fill="auto"/>
        <w:tabs>
          <w:tab w:val="left" w:pos="480"/>
        </w:tabs>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本合同在履行过程中发生的争议,由甲､乙双方当事人协商解决,协商不成的按下列</w:t>
      </w:r>
      <w:r>
        <w:rPr>
          <w:rFonts w:hint="eastAsia" w:ascii="仿宋" w:hAnsi="仿宋" w:eastAsia="仿宋" w:cs="仿宋"/>
          <w:color w:val="000000"/>
          <w:sz w:val="24"/>
          <w:szCs w:val="24"/>
          <w:highlight w:val="none"/>
          <w:u w:val="single"/>
        </w:rPr>
        <w:t>第二种</w:t>
      </w:r>
      <w:r>
        <w:rPr>
          <w:rFonts w:hint="eastAsia" w:ascii="仿宋" w:hAnsi="仿宋" w:eastAsia="仿宋" w:cs="仿宋"/>
          <w:color w:val="000000"/>
          <w:sz w:val="24"/>
          <w:szCs w:val="24"/>
          <w:highlight w:val="none"/>
          <w:u w:val="none"/>
        </w:rPr>
        <w:t>方式解决:</w:t>
      </w:r>
    </w:p>
    <w:p>
      <w:pPr>
        <w:numPr>
          <w:ilvl w:val="0"/>
          <w:numId w:val="7"/>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提交</w:t>
      </w:r>
      <w:r>
        <w:rPr>
          <w:rFonts w:hint="eastAsia" w:ascii="仿宋" w:hAnsi="仿宋" w:eastAsia="仿宋" w:cs="仿宋"/>
          <w:color w:val="000000"/>
          <w:sz w:val="24"/>
          <w:szCs w:val="24"/>
          <w:highlight w:val="none"/>
          <w:u w:val="none"/>
        </w:rPr>
        <w:softHyphen/>
      </w:r>
      <w:r>
        <w:rPr>
          <w:rFonts w:hint="eastAsia" w:ascii="仿宋" w:hAnsi="仿宋" w:eastAsia="仿宋" w:cs="仿宋"/>
          <w:color w:val="000000"/>
          <w:sz w:val="24"/>
          <w:szCs w:val="24"/>
          <w:highlight w:val="none"/>
          <w:u w:val="none"/>
        </w:rPr>
        <w:softHyphen/>
      </w:r>
      <w:r>
        <w:rPr>
          <w:rFonts w:hint="eastAsia" w:ascii="仿宋" w:hAnsi="仿宋" w:eastAsia="仿宋" w:cs="仿宋"/>
          <w:color w:val="000000"/>
          <w:sz w:val="24"/>
          <w:szCs w:val="24"/>
          <w:highlight w:val="none"/>
          <w:u w:val="none"/>
        </w:rPr>
        <w:softHyphen/>
      </w:r>
      <w:r>
        <w:rPr>
          <w:rFonts w:hint="eastAsia" w:ascii="仿宋" w:hAnsi="仿宋" w:eastAsia="仿宋" w:cs="仿宋"/>
          <w:color w:val="000000"/>
          <w:sz w:val="24"/>
          <w:szCs w:val="24"/>
          <w:highlight w:val="none"/>
          <w:u w:val="none"/>
        </w:rPr>
        <w:t>西安仲裁委员会仲裁;</w:t>
      </w:r>
    </w:p>
    <w:p>
      <w:pPr>
        <w:numPr>
          <w:ilvl w:val="0"/>
          <w:numId w:val="7"/>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依法向甲方所在地人民法院起诉｡</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十三、</w:t>
      </w:r>
      <w:r>
        <w:rPr>
          <w:rFonts w:hint="eastAsia" w:ascii="仿宋" w:hAnsi="仿宋" w:eastAsia="仿宋" w:cs="仿宋"/>
          <w:b/>
          <w:color w:val="000000"/>
          <w:sz w:val="24"/>
          <w:szCs w:val="24"/>
          <w:highlight w:val="none"/>
          <w:u w:val="none"/>
          <w:lang w:val="en-US" w:eastAsia="zh-CN"/>
        </w:rPr>
        <w:t>合同生效</w:t>
      </w:r>
    </w:p>
    <w:p>
      <w:pPr>
        <w:shd w:val="clear" w:color="auto" w:fill="auto"/>
        <w:snapToGrid w:val="0"/>
        <w:spacing w:line="360" w:lineRule="auto"/>
        <w:ind w:firstLine="470" w:firstLineChars="196"/>
        <w:rPr>
          <w:rFonts w:hint="eastAsia" w:ascii="仿宋" w:hAnsi="仿宋" w:eastAsia="仿宋" w:cs="仿宋"/>
          <w:b w:val="0"/>
          <w:bCs/>
          <w:color w:val="000000"/>
          <w:sz w:val="24"/>
          <w:szCs w:val="24"/>
          <w:highlight w:val="none"/>
          <w:u w:val="none"/>
        </w:rPr>
      </w:pPr>
      <w:r>
        <w:rPr>
          <w:rFonts w:hint="eastAsia" w:ascii="仿宋" w:hAnsi="仿宋" w:eastAsia="仿宋" w:cs="仿宋"/>
          <w:b w:val="0"/>
          <w:bCs/>
          <w:color w:val="000000"/>
          <w:sz w:val="24"/>
          <w:szCs w:val="24"/>
          <w:highlight w:val="none"/>
          <w:u w:val="none"/>
        </w:rPr>
        <w:t>本合同一式</w:t>
      </w:r>
      <w:r>
        <w:rPr>
          <w:rFonts w:hint="eastAsia" w:ascii="仿宋" w:hAnsi="仿宋" w:eastAsia="仿宋" w:cs="仿宋"/>
          <w:b/>
          <w:bCs w:val="0"/>
          <w:color w:val="000000"/>
          <w:sz w:val="24"/>
          <w:szCs w:val="24"/>
          <w:highlight w:val="none"/>
          <w:u w:val="single"/>
        </w:rPr>
        <w:t xml:space="preserve"> </w:t>
      </w:r>
      <w:r>
        <w:rPr>
          <w:rFonts w:hint="eastAsia" w:ascii="仿宋" w:hAnsi="仿宋" w:eastAsia="仿宋" w:cs="仿宋"/>
          <w:b/>
          <w:bCs w:val="0"/>
          <w:color w:val="000000"/>
          <w:sz w:val="24"/>
          <w:szCs w:val="24"/>
          <w:highlight w:val="none"/>
          <w:u w:val="single"/>
          <w:lang w:val="en-US" w:eastAsia="zh-CN"/>
        </w:rPr>
        <w:t xml:space="preserve"> </w:t>
      </w:r>
      <w:r>
        <w:rPr>
          <w:rFonts w:hint="eastAsia" w:ascii="仿宋" w:hAnsi="仿宋" w:eastAsia="仿宋" w:cs="仿宋"/>
          <w:b/>
          <w:bCs w:val="0"/>
          <w:color w:val="000000"/>
          <w:sz w:val="24"/>
          <w:szCs w:val="24"/>
          <w:highlight w:val="none"/>
          <w:u w:val="single"/>
        </w:rPr>
        <w:t xml:space="preserve"> </w:t>
      </w:r>
      <w:r>
        <w:rPr>
          <w:rFonts w:hint="eastAsia" w:ascii="仿宋" w:hAnsi="仿宋" w:eastAsia="仿宋" w:cs="仿宋"/>
          <w:b w:val="0"/>
          <w:bCs/>
          <w:color w:val="000000"/>
          <w:sz w:val="24"/>
          <w:szCs w:val="24"/>
          <w:highlight w:val="none"/>
          <w:u w:val="none"/>
        </w:rPr>
        <w:t>份,甲方</w:t>
      </w:r>
      <w:r>
        <w:rPr>
          <w:rFonts w:hint="eastAsia" w:ascii="仿宋" w:hAnsi="仿宋" w:eastAsia="仿宋" w:cs="仿宋"/>
          <w:b w:val="0"/>
          <w:bCs/>
          <w:color w:val="000000"/>
          <w:sz w:val="24"/>
          <w:szCs w:val="24"/>
          <w:highlight w:val="none"/>
          <w:u w:val="single"/>
        </w:rPr>
        <w:t xml:space="preserve"> </w:t>
      </w:r>
      <w:r>
        <w:rPr>
          <w:rFonts w:hint="eastAsia" w:ascii="仿宋" w:hAnsi="仿宋" w:eastAsia="仿宋" w:cs="仿宋"/>
          <w:b/>
          <w:bCs w:val="0"/>
          <w:color w:val="000000"/>
          <w:sz w:val="24"/>
          <w:szCs w:val="24"/>
          <w:highlight w:val="none"/>
          <w:u w:val="single"/>
          <w:lang w:val="en-US" w:eastAsia="zh-CN"/>
        </w:rPr>
        <w:t xml:space="preserve">   </w:t>
      </w:r>
      <w:r>
        <w:rPr>
          <w:rFonts w:hint="eastAsia" w:ascii="仿宋" w:hAnsi="仿宋" w:eastAsia="仿宋" w:cs="仿宋"/>
          <w:b w:val="0"/>
          <w:bCs/>
          <w:color w:val="000000"/>
          <w:sz w:val="24"/>
          <w:szCs w:val="24"/>
          <w:highlight w:val="none"/>
          <w:u w:val="none"/>
        </w:rPr>
        <w:t>份､乙方</w:t>
      </w:r>
      <w:r>
        <w:rPr>
          <w:rFonts w:hint="eastAsia" w:ascii="仿宋" w:hAnsi="仿宋" w:eastAsia="仿宋" w:cs="仿宋"/>
          <w:b/>
          <w:bCs w:val="0"/>
          <w:color w:val="000000"/>
          <w:sz w:val="24"/>
          <w:szCs w:val="24"/>
          <w:highlight w:val="none"/>
          <w:u w:val="single"/>
          <w:lang w:val="en-US" w:eastAsia="zh-CN"/>
        </w:rPr>
        <w:t xml:space="preserve">    </w:t>
      </w:r>
      <w:r>
        <w:rPr>
          <w:rFonts w:hint="eastAsia" w:ascii="仿宋" w:hAnsi="仿宋" w:eastAsia="仿宋" w:cs="仿宋"/>
          <w:b w:val="0"/>
          <w:bCs/>
          <w:color w:val="000000"/>
          <w:sz w:val="24"/>
          <w:szCs w:val="24"/>
          <w:highlight w:val="none"/>
          <w:u w:val="none"/>
        </w:rPr>
        <w:t>份､</w:t>
      </w:r>
      <w:r>
        <w:rPr>
          <w:rFonts w:hint="eastAsia" w:ascii="仿宋" w:hAnsi="仿宋" w:eastAsia="仿宋" w:cs="仿宋"/>
          <w:b w:val="0"/>
          <w:bCs/>
          <w:color w:val="000000"/>
          <w:sz w:val="24"/>
          <w:szCs w:val="24"/>
          <w:highlight w:val="none"/>
          <w:u w:val="none"/>
          <w:lang w:val="en-US" w:eastAsia="zh-CN"/>
        </w:rPr>
        <w:t>鉴证</w:t>
      </w:r>
      <w:r>
        <w:rPr>
          <w:rFonts w:hint="eastAsia" w:ascii="仿宋" w:hAnsi="仿宋" w:eastAsia="仿宋" w:cs="仿宋"/>
          <w:b w:val="0"/>
          <w:bCs/>
          <w:color w:val="000000"/>
          <w:sz w:val="24"/>
          <w:szCs w:val="24"/>
          <w:highlight w:val="none"/>
          <w:u w:val="none"/>
        </w:rPr>
        <w:t>方</w:t>
      </w:r>
      <w:r>
        <w:rPr>
          <w:rFonts w:hint="eastAsia" w:ascii="仿宋" w:hAnsi="仿宋" w:eastAsia="仿宋" w:cs="仿宋"/>
          <w:b w:val="0"/>
          <w:bCs/>
          <w:color w:val="000000"/>
          <w:sz w:val="24"/>
          <w:szCs w:val="24"/>
          <w:highlight w:val="none"/>
          <w:u w:val="single"/>
        </w:rPr>
        <w:t xml:space="preserve"> </w:t>
      </w:r>
      <w:r>
        <w:rPr>
          <w:rFonts w:hint="eastAsia" w:ascii="仿宋" w:hAnsi="仿宋" w:eastAsia="仿宋" w:cs="仿宋"/>
          <w:b/>
          <w:bCs w:val="0"/>
          <w:color w:val="000000"/>
          <w:sz w:val="24"/>
          <w:szCs w:val="24"/>
          <w:highlight w:val="none"/>
          <w:u w:val="single"/>
          <w:lang w:val="en-US" w:eastAsia="zh-CN"/>
        </w:rPr>
        <w:t>壹</w:t>
      </w:r>
      <w:r>
        <w:rPr>
          <w:rFonts w:hint="eastAsia" w:ascii="仿宋" w:hAnsi="仿宋" w:eastAsia="仿宋" w:cs="仿宋"/>
          <w:b w:val="0"/>
          <w:bCs/>
          <w:color w:val="000000"/>
          <w:sz w:val="24"/>
          <w:szCs w:val="24"/>
          <w:highlight w:val="none"/>
          <w:u w:val="single"/>
        </w:rPr>
        <w:t xml:space="preserve"> </w:t>
      </w:r>
      <w:r>
        <w:rPr>
          <w:rFonts w:hint="eastAsia" w:ascii="仿宋" w:hAnsi="仿宋" w:eastAsia="仿宋" w:cs="仿宋"/>
          <w:b w:val="0"/>
          <w:bCs/>
          <w:color w:val="000000"/>
          <w:sz w:val="24"/>
          <w:szCs w:val="24"/>
          <w:highlight w:val="none"/>
          <w:u w:val="none"/>
        </w:rPr>
        <w:t>份,</w:t>
      </w:r>
      <w:r>
        <w:rPr>
          <w:rFonts w:hint="eastAsia" w:ascii="仿宋" w:hAnsi="仿宋" w:eastAsia="仿宋" w:cs="仿宋"/>
          <w:b w:val="0"/>
          <w:bCs/>
          <w:color w:val="000000"/>
          <w:sz w:val="24"/>
          <w:szCs w:val="24"/>
          <w:highlight w:val="none"/>
          <w:u w:val="none"/>
          <w:lang w:val="en-US" w:eastAsia="zh-CN"/>
        </w:rPr>
        <w:t>西安市</w:t>
      </w:r>
      <w:r>
        <w:rPr>
          <w:rFonts w:hint="eastAsia" w:ascii="仿宋" w:hAnsi="仿宋" w:eastAsia="仿宋" w:cs="仿宋"/>
          <w:b w:val="0"/>
          <w:bCs/>
          <w:color w:val="000000"/>
          <w:sz w:val="24"/>
          <w:szCs w:val="24"/>
          <w:highlight w:val="none"/>
          <w:u w:val="none"/>
        </w:rPr>
        <w:t>财政局政府采购管理科备案</w:t>
      </w:r>
      <w:r>
        <w:rPr>
          <w:rFonts w:hint="eastAsia" w:ascii="仿宋" w:hAnsi="仿宋" w:eastAsia="仿宋" w:cs="仿宋"/>
          <w:b w:val="0"/>
          <w:bCs/>
          <w:color w:val="000000"/>
          <w:sz w:val="24"/>
          <w:szCs w:val="24"/>
          <w:highlight w:val="none"/>
          <w:u w:val="single"/>
          <w:lang w:val="en-US" w:eastAsia="zh-CN"/>
        </w:rPr>
        <w:t xml:space="preserve"> </w:t>
      </w:r>
      <w:r>
        <w:rPr>
          <w:rFonts w:hint="eastAsia" w:ascii="仿宋" w:hAnsi="仿宋" w:eastAsia="仿宋" w:cs="仿宋"/>
          <w:b/>
          <w:bCs w:val="0"/>
          <w:color w:val="000000"/>
          <w:sz w:val="24"/>
          <w:szCs w:val="24"/>
          <w:highlight w:val="none"/>
          <w:u w:val="single"/>
          <w:lang w:val="en-US" w:eastAsia="zh-CN"/>
        </w:rPr>
        <w:t xml:space="preserve">壹 </w:t>
      </w:r>
      <w:r>
        <w:rPr>
          <w:rFonts w:hint="eastAsia" w:ascii="仿宋" w:hAnsi="仿宋" w:eastAsia="仿宋" w:cs="仿宋"/>
          <w:b w:val="0"/>
          <w:bCs/>
          <w:color w:val="000000"/>
          <w:sz w:val="24"/>
          <w:szCs w:val="24"/>
          <w:highlight w:val="none"/>
          <w:u w:val="none"/>
        </w:rPr>
        <w:t>份,本合同甲､乙､</w:t>
      </w:r>
      <w:r>
        <w:rPr>
          <w:rFonts w:hint="eastAsia" w:ascii="仿宋" w:hAnsi="仿宋" w:eastAsia="仿宋" w:cs="仿宋"/>
          <w:b w:val="0"/>
          <w:bCs/>
          <w:color w:val="000000"/>
          <w:sz w:val="24"/>
          <w:szCs w:val="24"/>
          <w:highlight w:val="none"/>
          <w:u w:val="none"/>
          <w:lang w:val="en-US" w:eastAsia="zh-CN"/>
        </w:rPr>
        <w:t>鉴证</w:t>
      </w:r>
      <w:r>
        <w:rPr>
          <w:rFonts w:hint="eastAsia" w:ascii="仿宋" w:hAnsi="仿宋" w:eastAsia="仿宋" w:cs="仿宋"/>
          <w:b w:val="0"/>
          <w:bCs/>
          <w:color w:val="000000"/>
          <w:sz w:val="24"/>
          <w:szCs w:val="24"/>
          <w:highlight w:val="none"/>
          <w:u w:val="none"/>
        </w:rPr>
        <w:t>方各方签字盖章后生效,合同执行完毕后,自动失效(合同的服务承诺则长期有效)｡</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十四、</w:t>
      </w:r>
      <w:r>
        <w:rPr>
          <w:rFonts w:hint="eastAsia" w:ascii="仿宋" w:hAnsi="仿宋" w:eastAsia="仿宋" w:cs="仿宋"/>
          <w:b/>
          <w:color w:val="000000"/>
          <w:sz w:val="24"/>
          <w:szCs w:val="24"/>
          <w:highlight w:val="none"/>
          <w:u w:val="none"/>
          <w:lang w:val="en-US" w:eastAsia="zh-CN"/>
        </w:rPr>
        <w:t>其他事项</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鉴证方作为部门集中采购代理机构对合同进行确认｡</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val="en-US" w:eastAsia="zh-CN"/>
        </w:rPr>
        <w:t>西安市</w:t>
      </w:r>
      <w:r>
        <w:rPr>
          <w:rFonts w:hint="eastAsia" w:ascii="仿宋" w:hAnsi="仿宋" w:eastAsia="仿宋" w:cs="仿宋"/>
          <w:color w:val="000000"/>
          <w:sz w:val="24"/>
          <w:szCs w:val="24"/>
          <w:highlight w:val="none"/>
          <w:u w:val="none"/>
        </w:rPr>
        <w:t>财政局政府采购管理处在合同的履行期间以及履行期后,可以随时检查项目的执行情况,对采购内容､标准进行调查核实,并对发现的问题进行处理｡</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eastAsia="zh-CN"/>
        </w:rPr>
        <w:t>竞争性磋商文件</w:t>
      </w:r>
      <w:r>
        <w:rPr>
          <w:rFonts w:hint="eastAsia" w:ascii="仿宋" w:hAnsi="仿宋" w:eastAsia="仿宋" w:cs="仿宋"/>
          <w:color w:val="000000"/>
          <w:sz w:val="24"/>
          <w:szCs w:val="24"/>
          <w:highlight w:val="none"/>
          <w:u w:val="none"/>
        </w:rPr>
        <w:t>､竞争性磋商响应文件､中标通知书､合同附件均成为合同不可分割的部分｡</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合同未尽事宜,由甲､乙双方协商,经鉴证方确认后,作为合同补充,与原合同具有同等法律效力｡</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合同一经签订,不得擅自变更､中止或终止合同｡对确需变更､调整或中止､终止合同的,应按规定履行相应的手续｡</w:t>
      </w:r>
    </w:p>
    <w:p>
      <w:pPr>
        <w:numPr>
          <w:ilvl w:val="0"/>
          <w:numId w:val="8"/>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本合同按照中华人民共和国的现行法律进行解释｡</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十五、</w:t>
      </w:r>
      <w:r>
        <w:rPr>
          <w:rFonts w:hint="eastAsia" w:ascii="仿宋" w:hAnsi="仿宋" w:eastAsia="仿宋" w:cs="仿宋"/>
          <w:b/>
          <w:color w:val="000000"/>
          <w:sz w:val="24"/>
          <w:szCs w:val="24"/>
          <w:highlight w:val="none"/>
          <w:u w:val="none"/>
          <w:lang w:val="en-US" w:eastAsia="zh-CN"/>
        </w:rPr>
        <w:t>不可抗力</w:t>
      </w:r>
    </w:p>
    <w:p>
      <w:pPr>
        <w:shd w:val="clear" w:color="auto" w:fill="auto"/>
        <w:snapToGrid w:val="0"/>
        <w:spacing w:line="360" w:lineRule="auto"/>
        <w:ind w:firstLine="470" w:firstLineChars="196"/>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于承担违约责任｡</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十六、</w:t>
      </w:r>
      <w:r>
        <w:rPr>
          <w:rFonts w:hint="eastAsia" w:ascii="仿宋" w:hAnsi="仿宋" w:eastAsia="仿宋" w:cs="仿宋"/>
          <w:b/>
          <w:color w:val="000000"/>
          <w:sz w:val="24"/>
          <w:szCs w:val="24"/>
          <w:highlight w:val="none"/>
          <w:u w:val="none"/>
          <w:lang w:val="en-US" w:eastAsia="zh-CN"/>
        </w:rPr>
        <w:t>监督和管理</w:t>
      </w:r>
    </w:p>
    <w:p>
      <w:pPr>
        <w:numPr>
          <w:ilvl w:val="0"/>
          <w:numId w:val="9"/>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合同订立后,双方协商一致需变更合同实质性条款或订立补充合同的,应先征得政府采购监督部门同意并送其备案｡</w:t>
      </w:r>
    </w:p>
    <w:p>
      <w:pPr>
        <w:numPr>
          <w:ilvl w:val="0"/>
          <w:numId w:val="9"/>
        </w:numPr>
        <w:shd w:val="clear" w:color="auto" w:fill="auto"/>
        <w:tabs>
          <w:tab w:val="left" w:pos="480"/>
        </w:tabs>
        <w:snapToGrid w:val="0"/>
        <w:spacing w:line="360" w:lineRule="auto"/>
        <w:ind w:left="0" w:leftChars="0" w:firstLine="42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甲乙双方均应自觉配合有关监督管理部门对合同履行情况监督检查,如实反映情况,提供有关资料,否则将对有关单位､当事人按有关规定予以处罚｡</w:t>
      </w:r>
    </w:p>
    <w:p>
      <w:pPr>
        <w:pStyle w:val="9"/>
        <w:numPr>
          <w:ilvl w:val="0"/>
          <w:numId w:val="0"/>
        </w:numPr>
        <w:shd w:val="clear" w:color="auto" w:fill="auto"/>
        <w:spacing w:line="360" w:lineRule="auto"/>
        <w:ind w:left="0" w:leftChars="0" w:firstLine="420" w:firstLineChars="0"/>
        <w:jc w:val="left"/>
        <w:rPr>
          <w:rFonts w:hint="eastAsia" w:ascii="仿宋" w:hAnsi="仿宋" w:eastAsia="仿宋" w:cs="仿宋"/>
          <w:b/>
          <w:color w:val="000000"/>
          <w:sz w:val="24"/>
          <w:szCs w:val="24"/>
          <w:highlight w:val="none"/>
          <w:u w:val="none"/>
          <w:lang w:val="en-US" w:eastAsia="zh-CN"/>
        </w:rPr>
      </w:pPr>
      <w:r>
        <w:rPr>
          <w:rFonts w:hint="eastAsia" w:ascii="仿宋" w:hAnsi="仿宋" w:eastAsia="仿宋" w:cs="仿宋"/>
          <w:b/>
          <w:color w:val="000000"/>
          <w:kern w:val="2"/>
          <w:sz w:val="24"/>
          <w:szCs w:val="24"/>
          <w:highlight w:val="none"/>
          <w:lang w:val="en-US" w:eastAsia="zh-CN" w:bidi="ar-SA"/>
        </w:rPr>
        <w:t>十七、</w:t>
      </w:r>
      <w:r>
        <w:rPr>
          <w:rFonts w:hint="eastAsia" w:ascii="仿宋" w:hAnsi="仿宋" w:eastAsia="仿宋" w:cs="仿宋"/>
          <w:b/>
          <w:color w:val="000000"/>
          <w:sz w:val="24"/>
          <w:szCs w:val="24"/>
          <w:highlight w:val="none"/>
          <w:u w:val="none"/>
          <w:lang w:val="en-US" w:eastAsia="zh-CN"/>
        </w:rPr>
        <w:t>无效合同</w:t>
      </w:r>
    </w:p>
    <w:p>
      <w:pPr>
        <w:shd w:val="clear" w:color="auto" w:fill="auto"/>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甲乙双方如因违反政府采购法力相关法律法规的规定,被宣告合同无效的一切责任概由过错方自行承担｡</w:t>
      </w:r>
    </w:p>
    <w:p>
      <w:pPr>
        <w:pStyle w:val="4"/>
        <w:shd w:val="clear" w:color="auto" w:fill="auto"/>
        <w:rPr>
          <w:rFonts w:hint="eastAsia" w:ascii="仿宋" w:hAnsi="仿宋" w:eastAsia="仿宋" w:cs="仿宋"/>
          <w:color w:val="000000"/>
          <w:sz w:val="24"/>
          <w:szCs w:val="24"/>
          <w:highlight w:val="none"/>
          <w:u w:val="none"/>
        </w:rPr>
      </w:pPr>
    </w:p>
    <w:p>
      <w:pPr>
        <w:shd w:val="clear" w:color="auto" w:fill="auto"/>
        <w:tabs>
          <w:tab w:val="left" w:pos="480"/>
        </w:tabs>
        <w:snapToGrid w:val="0"/>
        <w:spacing w:line="360" w:lineRule="auto"/>
        <w:ind w:left="-199" w:leftChars="-95" w:firstLine="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甲  方(法人公章)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乙  方(法人公章)</w:t>
      </w:r>
    </w:p>
    <w:p>
      <w:pPr>
        <w:shd w:val="clear" w:color="auto" w:fill="auto"/>
        <w:tabs>
          <w:tab w:val="left" w:pos="480"/>
        </w:tabs>
        <w:snapToGrid w:val="0"/>
        <w:spacing w:line="360" w:lineRule="auto"/>
        <w:ind w:left="-199" w:leftChars="-95" w:firstLine="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单位名称: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单位名称:</w:t>
      </w:r>
    </w:p>
    <w:p>
      <w:pPr>
        <w:shd w:val="clear" w:color="auto" w:fill="auto"/>
        <w:tabs>
          <w:tab w:val="left" w:pos="480"/>
        </w:tabs>
        <w:snapToGrid w:val="0"/>
        <w:spacing w:line="360" w:lineRule="auto"/>
        <w:ind w:left="-199" w:leftChars="-95" w:firstLine="0" w:firstLineChars="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地  址: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地  址:</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法定代表人签字: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法定代表人签字:</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代理人签字: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 xml:space="preserve"> 代理人签字:</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val="en-US" w:eastAsia="zh-CN"/>
        </w:rPr>
        <w:t>项目主管部门负责人</w:t>
      </w:r>
      <w:r>
        <w:rPr>
          <w:rFonts w:hint="eastAsia" w:ascii="仿宋" w:hAnsi="仿宋" w:eastAsia="仿宋" w:cs="仿宋"/>
          <w:color w:val="000000"/>
          <w:sz w:val="24"/>
          <w:szCs w:val="24"/>
          <w:highlight w:val="none"/>
          <w:u w:val="none"/>
        </w:rPr>
        <w:t>:</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 xml:space="preserve"> 联系电话:</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lang w:val="en-US" w:eastAsia="zh-CN"/>
        </w:rPr>
        <w:t>招采办负责人:</w:t>
      </w:r>
      <w:r>
        <w:rPr>
          <w:rFonts w:hint="eastAsia" w:ascii="仿宋" w:hAnsi="仿宋" w:eastAsia="仿宋" w:cs="仿宋"/>
          <w:color w:val="000000"/>
          <w:sz w:val="24"/>
          <w:szCs w:val="24"/>
          <w:highlight w:val="none"/>
          <w:u w:val="none"/>
        </w:rPr>
        <w:t xml:space="preserve">                        </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开户银行:</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 xml:space="preserve">联系电话:              </w:t>
      </w:r>
      <w:r>
        <w:rPr>
          <w:rFonts w:hint="eastAsia" w:ascii="仿宋" w:hAnsi="仿宋" w:eastAsia="仿宋" w:cs="仿宋"/>
          <w:color w:val="000000"/>
          <w:sz w:val="24"/>
          <w:szCs w:val="24"/>
          <w:highlight w:val="none"/>
          <w:u w:val="none"/>
          <w:lang w:val="en-US" w:eastAsia="zh-CN"/>
        </w:rPr>
        <w:t xml:space="preserve">               账</w:t>
      </w:r>
      <w:r>
        <w:rPr>
          <w:rFonts w:hint="eastAsia" w:ascii="仿宋" w:hAnsi="仿宋" w:eastAsia="仿宋" w:cs="仿宋"/>
          <w:color w:val="000000"/>
          <w:sz w:val="24"/>
          <w:szCs w:val="24"/>
          <w:highlight w:val="none"/>
          <w:u w:val="none"/>
        </w:rPr>
        <w:t xml:space="preserve">  号:                                                                                             </w:t>
      </w:r>
    </w:p>
    <w:p>
      <w:pPr>
        <w:shd w:val="clear" w:color="auto" w:fill="auto"/>
        <w:tabs>
          <w:tab w:val="left" w:pos="480"/>
        </w:tabs>
        <w:snapToGrid w:val="0"/>
        <w:spacing w:line="360" w:lineRule="auto"/>
        <w:ind w:left="5321" w:leftChars="-95" w:hanging="5520" w:hangingChars="23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签订日期:</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年   月   日            签订日期:</w:t>
      </w:r>
      <w:r>
        <w:rPr>
          <w:rFonts w:hint="eastAsia" w:ascii="仿宋" w:hAnsi="仿宋" w:eastAsia="仿宋" w:cs="仿宋"/>
          <w:color w:val="000000"/>
          <w:sz w:val="24"/>
          <w:szCs w:val="24"/>
          <w:highlight w:val="none"/>
          <w:u w:val="none"/>
          <w:lang w:val="en-US" w:eastAsia="zh-CN"/>
        </w:rPr>
        <w:t xml:space="preserve">      </w:t>
      </w:r>
      <w:r>
        <w:rPr>
          <w:rFonts w:hint="eastAsia" w:ascii="仿宋" w:hAnsi="仿宋" w:eastAsia="仿宋" w:cs="仿宋"/>
          <w:color w:val="000000"/>
          <w:sz w:val="24"/>
          <w:szCs w:val="24"/>
          <w:highlight w:val="none"/>
          <w:u w:val="none"/>
        </w:rPr>
        <w:t>年   月   日</w:t>
      </w:r>
    </w:p>
    <w:p>
      <w:pPr>
        <w:shd w:val="clear" w:color="auto" w:fill="auto"/>
        <w:tabs>
          <w:tab w:val="left" w:pos="480"/>
        </w:tabs>
        <w:snapToGrid w:val="0"/>
        <w:spacing w:line="360" w:lineRule="auto"/>
        <w:ind w:firstLine="480" w:firstLineChars="200"/>
        <w:rPr>
          <w:rFonts w:hint="eastAsia" w:ascii="仿宋" w:hAnsi="仿宋" w:eastAsia="仿宋" w:cs="仿宋"/>
          <w:color w:val="000000"/>
          <w:sz w:val="24"/>
          <w:szCs w:val="24"/>
          <w:highlight w:val="none"/>
          <w:u w:val="none"/>
        </w:rPr>
      </w:pPr>
    </w:p>
    <w:bookmarkEnd w:id="0"/>
    <w:p>
      <w:pPr>
        <w:shd w:val="clear" w:color="auto" w:fill="auto"/>
        <w:rPr>
          <w:rFonts w:hint="eastAsia" w:ascii="仿宋" w:hAnsi="仿宋" w:eastAsia="仿宋" w:cs="仿宋"/>
          <w:color w:val="000000"/>
          <w:highlight w:val="none"/>
          <w:u w:val="none"/>
        </w:rPr>
      </w:pPr>
    </w:p>
    <w:p>
      <w:pPr>
        <w:rPr>
          <w:highlight w:val="none"/>
        </w:rPr>
      </w:pPr>
    </w:p>
    <w:p>
      <w:pPr>
        <w:pStyle w:val="10"/>
        <w:rPr>
          <w:rFonts w:hint="eastAsia"/>
          <w:highlight w:val="none"/>
          <w:lang w:val="en-US" w:eastAsia="zh-Hans"/>
        </w:rPr>
      </w:pPr>
    </w:p>
    <w:p/>
    <w:sectPr>
      <w:footerReference r:id="rId5" w:type="default"/>
      <w:pgSz w:w="11906" w:h="16838"/>
      <w:pgMar w:top="1440" w:right="1800" w:bottom="1440" w:left="1800"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815199"/>
    <w:multiLevelType w:val="singleLevel"/>
    <w:tmpl w:val="80815199"/>
    <w:lvl w:ilvl="0" w:tentative="0">
      <w:start w:val="1"/>
      <w:numFmt w:val="chineseCounting"/>
      <w:suff w:val="nothing"/>
      <w:lvlText w:val="（%1）"/>
      <w:lvlJc w:val="left"/>
      <w:pPr>
        <w:ind w:left="0" w:firstLine="420"/>
      </w:pPr>
      <w:rPr>
        <w:rFonts w:hint="eastAsia"/>
      </w:rPr>
    </w:lvl>
  </w:abstractNum>
  <w:abstractNum w:abstractNumId="1">
    <w:nsid w:val="84B881E0"/>
    <w:multiLevelType w:val="singleLevel"/>
    <w:tmpl w:val="84B881E0"/>
    <w:lvl w:ilvl="0" w:tentative="0">
      <w:start w:val="1"/>
      <w:numFmt w:val="decimal"/>
      <w:suff w:val="nothing"/>
      <w:lvlText w:val="%1．"/>
      <w:lvlJc w:val="left"/>
      <w:pPr>
        <w:ind w:left="0" w:firstLine="400"/>
      </w:pPr>
      <w:rPr>
        <w:rFonts w:hint="default"/>
      </w:rPr>
    </w:lvl>
  </w:abstractNum>
  <w:abstractNum w:abstractNumId="2">
    <w:nsid w:val="AB6B547A"/>
    <w:multiLevelType w:val="singleLevel"/>
    <w:tmpl w:val="AB6B547A"/>
    <w:lvl w:ilvl="0" w:tentative="0">
      <w:start w:val="1"/>
      <w:numFmt w:val="chineseCounting"/>
      <w:suff w:val="nothing"/>
      <w:lvlText w:val="（%1）"/>
      <w:lvlJc w:val="left"/>
      <w:pPr>
        <w:ind w:left="0" w:firstLine="420"/>
      </w:pPr>
      <w:rPr>
        <w:rFonts w:hint="eastAsia"/>
      </w:rPr>
    </w:lvl>
  </w:abstractNum>
  <w:abstractNum w:abstractNumId="3">
    <w:nsid w:val="F3162BD6"/>
    <w:multiLevelType w:val="singleLevel"/>
    <w:tmpl w:val="F3162BD6"/>
    <w:lvl w:ilvl="0" w:tentative="0">
      <w:start w:val="1"/>
      <w:numFmt w:val="chineseCounting"/>
      <w:suff w:val="nothing"/>
      <w:lvlText w:val="（%1）"/>
      <w:lvlJc w:val="left"/>
      <w:pPr>
        <w:ind w:left="0" w:firstLine="420"/>
      </w:pPr>
      <w:rPr>
        <w:rFonts w:hint="eastAsia"/>
      </w:rPr>
    </w:lvl>
  </w:abstractNum>
  <w:abstractNum w:abstractNumId="4">
    <w:nsid w:val="FF6666BA"/>
    <w:multiLevelType w:val="singleLevel"/>
    <w:tmpl w:val="FF6666BA"/>
    <w:lvl w:ilvl="0" w:tentative="0">
      <w:start w:val="1"/>
      <w:numFmt w:val="chineseCounting"/>
      <w:suff w:val="nothing"/>
      <w:lvlText w:val="（%1）"/>
      <w:lvlJc w:val="left"/>
      <w:pPr>
        <w:ind w:left="0" w:firstLine="420"/>
      </w:pPr>
      <w:rPr>
        <w:rFonts w:hint="eastAsia"/>
      </w:rPr>
    </w:lvl>
  </w:abstractNum>
  <w:abstractNum w:abstractNumId="5">
    <w:nsid w:val="03ACE02B"/>
    <w:multiLevelType w:val="singleLevel"/>
    <w:tmpl w:val="03ACE02B"/>
    <w:lvl w:ilvl="0" w:tentative="0">
      <w:start w:val="1"/>
      <w:numFmt w:val="decimal"/>
      <w:suff w:val="nothing"/>
      <w:lvlText w:val="%1．"/>
      <w:lvlJc w:val="left"/>
      <w:pPr>
        <w:ind w:left="0" w:firstLine="400"/>
      </w:pPr>
      <w:rPr>
        <w:rFonts w:hint="default"/>
      </w:rPr>
    </w:lvl>
  </w:abstractNum>
  <w:abstractNum w:abstractNumId="6">
    <w:nsid w:val="6DE2EB59"/>
    <w:multiLevelType w:val="singleLevel"/>
    <w:tmpl w:val="6DE2EB59"/>
    <w:lvl w:ilvl="0" w:tentative="0">
      <w:start w:val="1"/>
      <w:numFmt w:val="chineseCounting"/>
      <w:suff w:val="nothing"/>
      <w:lvlText w:val="（%1）"/>
      <w:lvlJc w:val="left"/>
      <w:pPr>
        <w:ind w:left="0" w:firstLine="420"/>
      </w:pPr>
      <w:rPr>
        <w:rFonts w:hint="eastAsia"/>
      </w:rPr>
    </w:lvl>
  </w:abstractNum>
  <w:abstractNum w:abstractNumId="7">
    <w:nsid w:val="7342A680"/>
    <w:multiLevelType w:val="singleLevel"/>
    <w:tmpl w:val="7342A680"/>
    <w:lvl w:ilvl="0" w:tentative="0">
      <w:start w:val="1"/>
      <w:numFmt w:val="chineseCounting"/>
      <w:suff w:val="nothing"/>
      <w:lvlText w:val="（%1）"/>
      <w:lvlJc w:val="left"/>
      <w:pPr>
        <w:ind w:left="0" w:firstLine="420"/>
      </w:pPr>
      <w:rPr>
        <w:rFonts w:hint="eastAsia"/>
      </w:rPr>
    </w:lvl>
  </w:abstractNum>
  <w:abstractNum w:abstractNumId="8">
    <w:nsid w:val="77B490ED"/>
    <w:multiLevelType w:val="singleLevel"/>
    <w:tmpl w:val="77B490ED"/>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4"/>
  </w:num>
  <w:num w:numId="4">
    <w:abstractNumId w:val="8"/>
  </w:num>
  <w:num w:numId="5">
    <w:abstractNumId w:val="6"/>
  </w:num>
  <w:num w:numId="6">
    <w:abstractNumId w:val="5"/>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GRjYTZmNzAxZmJiZmUwM2JlZTdjOTZlODJhYjUifQ=="/>
  </w:docVars>
  <w:rsids>
    <w:rsidRoot w:val="00000000"/>
    <w:rsid w:val="69536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62"/>
      <w:szCs w:val="62"/>
      <w:lang w:val="en-US" w:eastAsia="en-US" w:bidi="ar-SA"/>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列出段落1"/>
    <w:basedOn w:val="1"/>
    <w:qFormat/>
    <w:uiPriority w:val="0"/>
    <w:pPr>
      <w:ind w:firstLine="420" w:firstLineChars="200"/>
    </w:p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2026-07-28T08:48:45Z</dcterms:created>
  <dc:creator>陆文科</dc:creator>
  <cp:lastModifiedBy>1</cp:lastModifiedBy>
  <dcterms:modified xsi:type="dcterms:W3CDTF">2026-07-28T08:49:02Z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38FFF2291427435FB92EE0519DA779B7_12</vt:lpwstr>
  </property>
</Properties>
</file>