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版本号：GHZC2026-04-004.1B120260610001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陕西省公安厅交通管理总队民警备勤宿舍配套用品采购项目(二次)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GHZC2026-04-004.1B1</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陕西省公安厅交通管理总队民警备勤宿舍配套用品采购项目(二次)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GHZC2026-04-004.1B1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陕西省公安厅交通管理总队民警备勤宿舍配套用品采购项目(二次)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陕西省公安厅交通管理总队民警备勤宿舍配套用品采购项目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采购包1（民警备勤宿舍配套用品采购项目）：属于专门面向中小企业采购。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网站和中国政府采购网（www.ccgp.gov.cn）查询记录：未被列入“信用中国”网站(www.creditchina.gov.cn)失信被执行人名单、重大税收违法失信主体、未被列入“中国政府采购网”（www.ccgp.gov.cn）政府采购严重违法失信行为记录名单（以现场查询为准）；</w:t>
      </w:r>
    </w:p>
    <w:p>
      <w:pPr>
        <w:pStyle w:val="null3"/>
      </w:pPr>
      <w:r>
        <w:rPr>
          <w:rFonts w:ascii="仿宋_GB2312" w:hAnsi="仿宋_GB2312" w:cs="仿宋_GB2312" w:eastAsia="仿宋_GB2312"/>
        </w:rPr>
        <w:t>2、法定代表人授权书：提供法定代表人授权书、身份证复印件及被授权人在本单位连续六个月社保证明并加盖公章。（法定代表人直接投标只须提供其身份证明）；供应商需在项目电子化交易系统中按要求上传相应证明文件并进行电子签章。</w:t>
      </w:r>
    </w:p>
    <w:p>
      <w:pPr>
        <w:pStyle w:val="null3"/>
      </w:pPr>
      <w:r>
        <w:rPr>
          <w:rFonts w:ascii="仿宋_GB2312" w:hAnsi="仿宋_GB2312" w:cs="仿宋_GB2312" w:eastAsia="仿宋_GB2312"/>
        </w:rPr>
        <w:t>3、中小企业声明函：本项目专门面向中小企业采购，仅限符合《政府采购促进中小企业发展管理办法》财库〔2020〕46号文件的中小企业参与并提供中小企业声明函，残疾人福利企业及监狱企业视同小微企业；</w:t>
      </w:r>
    </w:p>
    <w:p>
      <w:pPr>
        <w:pStyle w:val="null3"/>
      </w:pPr>
      <w:r>
        <w:rPr>
          <w:rFonts w:ascii="仿宋_GB2312" w:hAnsi="仿宋_GB2312" w:cs="仿宋_GB2312" w:eastAsia="仿宋_GB2312"/>
        </w:rPr>
        <w:t>4、非联合体：本项目不允许联合体投标（提供承诺函）；供应商需在项目电子化交易系统中按要求上传相应证明文件并进行电子签章。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陕西省西安市经济技术开发区凤城七路长和国际A座26楼01室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采购包1：328,726.18元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代理服务费收费标准：参照《招标代理服务收费暂行办法》（计价格[2002]1980号）文件的规定标准收取。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地址：陕西省西安市经济技术开发区凤城七路长和国际A座26楼01室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陕西省公安厅交通管理总队民警备勤宿舍配套用品采购项目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328,726.18</w:t>
      </w:r>
    </w:p>
    <w:p>
      <w:pPr>
        <w:pStyle w:val="null3"/>
      </w:pPr>
      <w:r>
        <w:rPr>
          <w:rFonts w:ascii="仿宋_GB2312" w:hAnsi="仿宋_GB2312" w:cs="仿宋_GB2312" w:eastAsia="仿宋_GB2312"/>
        </w:rPr>
        <w:t>采购包最高限价（元）: 328,726.18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1.床2.床头柜3.衣柜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328,726.18</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标的名称：1.床2.床头柜3.衣柜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359"/>
              <w:gridCol w:w="540"/>
              <w:gridCol w:w="311"/>
              <w:gridCol w:w="237"/>
              <w:gridCol w:w="160"/>
              <w:gridCol w:w="220"/>
              <w:gridCol w:w="120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家具名称</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参考样式</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规格型号</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单位</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数量</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颜色</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参数要求</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after="630"/>
                    <w:jc w:val="center"/>
                  </w:pPr>
                  <w:r>
                    <w:rPr>
                      <w:rFonts w:ascii="仿宋_GB2312" w:hAnsi="仿宋_GB2312" w:cs="仿宋_GB2312" w:eastAsia="仿宋_GB2312"/>
                      <w:sz w:val="13"/>
                      <w:b/>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 米实木床（含床垫）-核心产品</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205740" cy="15380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05740" cy="153805"/>
                                </a:xfrm>
                                <a:prstGeom prst="rect">
                                  <a:avLst/>
                                </a:prstGeom>
                              </pic:spPr>
                            </pic:pic>
                          </a:graphicData>
                        </a:graphic>
                      </wp:inline>
                    </w:drawing>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1200W*2000D*400H</w:t>
                  </w:r>
                </w:p>
              </w:tc>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85</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天然胡桃色</w:t>
                  </w:r>
                  <w:r>
                    <w:rPr>
                      <w:rFonts w:ascii="仿宋_GB2312" w:hAnsi="仿宋_GB2312" w:cs="仿宋_GB2312" w:eastAsia="仿宋_GB2312"/>
                      <w:sz w:val="13"/>
                      <w:color w:val="000000"/>
                    </w:rPr>
                    <w:t>/北美黄橡色</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★尺寸：1200W*2000D*400H</w:t>
                  </w:r>
                </w:p>
                <w:p>
                  <w:pPr>
                    <w:pStyle w:val="null3"/>
                    <w:jc w:val="left"/>
                  </w:pPr>
                  <w:r>
                    <w:rPr>
                      <w:rFonts w:ascii="仿宋_GB2312" w:hAnsi="仿宋_GB2312" w:cs="仿宋_GB2312" w:eastAsia="仿宋_GB2312"/>
                      <w:sz w:val="13"/>
                      <w:color w:val="000000"/>
                    </w:rPr>
                    <w:t>▲1、原材：原木，无指接、所有原材均经过自然风干与人工烘干双重工艺处理，严格控制木材含水率木材应经干燥处理，符合GB/T3324-2024《木家具通用技术条件》，木材含水率应为8%~10%(产品所在地区年平均木材平衡含水率+1%)。</w:t>
                  </w:r>
                  <w:r>
                    <w:br/>
                  </w:r>
                  <w:r>
                    <w:rPr>
                      <w:rFonts w:ascii="仿宋_GB2312" w:hAnsi="仿宋_GB2312" w:cs="仿宋_GB2312" w:eastAsia="仿宋_GB2312"/>
                      <w:sz w:val="13"/>
                      <w:color w:val="000000"/>
                    </w:rPr>
                    <w:t>▲2、外观：应无贯通裂缝,符合GB/T3324-2024《木家具通用技术条件》.</w:t>
                  </w:r>
                  <w:r>
                    <w:br/>
                  </w:r>
                  <w:r>
                    <w:rPr>
                      <w:rFonts w:ascii="仿宋_GB2312" w:hAnsi="仿宋_GB2312" w:cs="仿宋_GB2312" w:eastAsia="仿宋_GB2312"/>
                      <w:sz w:val="13"/>
                      <w:color w:val="000000"/>
                    </w:rPr>
                    <w:t>▲3、实木材质环保要求：符合GB/T39600-2021《人造板及其制品甲醛释放量分级》、GB18580-2017《室内装饰装修材料人造板及其制品中甲醛释放限量》，甲醛释放量小于0. 010mg/m²。</w:t>
                  </w:r>
                  <w:r>
                    <w:br/>
                  </w:r>
                  <w:r>
                    <w:rPr>
                      <w:rFonts w:ascii="仿宋_GB2312" w:hAnsi="仿宋_GB2312" w:cs="仿宋_GB2312" w:eastAsia="仿宋_GB2312"/>
                      <w:sz w:val="13"/>
                      <w:color w:val="000000"/>
                    </w:rPr>
                    <w:t>▲4、工艺：榫卯结构拼接。</w:t>
                  </w:r>
                  <w:r>
                    <w:br/>
                  </w:r>
                  <w:r>
                    <w:rPr>
                      <w:rFonts w:ascii="仿宋_GB2312" w:hAnsi="仿宋_GB2312" w:cs="仿宋_GB2312" w:eastAsia="仿宋_GB2312"/>
                      <w:sz w:val="13"/>
                      <w:color w:val="000000"/>
                    </w:rPr>
                    <w:t>▲5、底漆：水性底漆，符合GB 18581-2020 《木器涂料中有害物质聚量》GB/T 23999-2009《室内装饰装修用水性木器涂料》GB/T35602-2017《绿色产品评价涂料》标准；VOC含量、甲醛含量、总铅(Pb)含量(限色漆、腻子和醇酸清漆)、乙二醇醚及其酯类的总量、烷基酚聚氧乙烯醚总和含量、苯系物总和含量均未检出；可溶性重金属（限色漆、腻子和醇酸类清漆）：镉(Cd)含量、铬(Cr)含量、汞(Hg)含量均未检出；重金属元素含量（限色漆和腻子）：钡（Ba）未检出；木制件表面理化性能：漆膜附着力，涂层交叉切割法，达到1级。</w:t>
                  </w:r>
                  <w:r>
                    <w:br/>
                  </w:r>
                  <w:r>
                    <w:rPr>
                      <w:rFonts w:ascii="仿宋_GB2312" w:hAnsi="仿宋_GB2312" w:cs="仿宋_GB2312" w:eastAsia="仿宋_GB2312"/>
                      <w:sz w:val="13"/>
                      <w:color w:val="000000"/>
                    </w:rPr>
                    <w:t>▲6、面漆：水性面漆，符合GB 18581-2020 《木器涂料中有害物质聚量》GB/T 23999-2009《室内装饰装修用水性木器涂料》GB/T35602-2017《绿色产品评价涂料》标准；VOC含量、甲醛含量、总铅(Pb)含量(限色漆、腻子和醇酸清漆)、乙二醇醚及其酯类的总量、烷基酚聚氧乙烯醚总和含量、苯系物总和含量均未检出；可溶性重金属（限色漆、腻子和醇酸类清漆）：镉(Cd)含量、铬(Cr)含量、汞(Hg)含量均未检出；重金属元素含量（限色漆和腻子）：钡（Ba）未检出；木制件表面理化性能：漆膜附着力，涂层交叉切割法，达到1级。硬度≧B.</w:t>
                  </w:r>
                  <w:r>
                    <w:br/>
                  </w:r>
                  <w:r>
                    <w:rPr>
                      <w:rFonts w:ascii="仿宋_GB2312" w:hAnsi="仿宋_GB2312" w:cs="仿宋_GB2312" w:eastAsia="仿宋_GB2312"/>
                      <w:sz w:val="13"/>
                      <w:color w:val="000000"/>
                    </w:rPr>
                    <w:t>▲7、提供产品质量监督检验中心出具的具有CNAS和CMA标识的检测报告。</w:t>
                  </w:r>
                  <w:r>
                    <w:br/>
                  </w:r>
                  <w:r>
                    <w:rPr>
                      <w:rFonts w:ascii="仿宋_GB2312" w:hAnsi="仿宋_GB2312" w:cs="仿宋_GB2312" w:eastAsia="仿宋_GB2312"/>
                      <w:sz w:val="13"/>
                      <w:color w:val="000000"/>
                    </w:rPr>
                    <w:t>▲8、 整体细节要求：简约素雅，适配休息室使用，无花哨装饰；表面平整光滑，无明显划伤、凹坑、鼓泡、黑色斑点、污渍等缺陷；木纹纹路一致，凹凸部分匀称，纹理清晰，色泽一致；无褪色、掉色现象，贴面严密平整，封边、包边无脱胶、鼓泡或开裂现象；</w:t>
                  </w:r>
                  <w:r>
                    <w:br/>
                  </w:r>
                  <w:r>
                    <w:rPr>
                      <w:rFonts w:ascii="仿宋_GB2312" w:hAnsi="仿宋_GB2312" w:cs="仿宋_GB2312" w:eastAsia="仿宋_GB2312"/>
                      <w:sz w:val="13"/>
                      <w:color w:val="000000"/>
                    </w:rPr>
                    <w:t>▲9、 耐用：表面漆膜遇生活中常见酸性或碱性液体不会出现褪色、变形、膨胀、纤维突起、开裂、鼓泡等现象，日常使用不会产生明显划痕和漆膜剥落现象；遇光照、冷、热、温差不易鼓泡、裂缝和明显失光。</w:t>
                  </w:r>
                </w:p>
              </w:tc>
            </w:tr>
            <w:tr>
              <w:tc>
                <w:tcPr>
                  <w:tcW w:type="dxa" w:w="142"/>
                  <w:vMerge/>
                  <w:tcBorders>
                    <w:top w:val="none" w:color="000000" w:sz="4"/>
                    <w:left w:val="single" w:color="000000" w:sz="4"/>
                    <w:bottom w:val="single" w:color="000000" w:sz="4"/>
                    <w:right w:val="single" w:color="000000" w:sz="4"/>
                  </w:tcBorders>
                </w:tcP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床垫</w:t>
                  </w:r>
                  <w:r>
                    <w:rPr>
                      <w:rFonts w:ascii="仿宋_GB2312" w:hAnsi="仿宋_GB2312" w:cs="仿宋_GB2312" w:eastAsia="仿宋_GB2312"/>
                      <w:sz w:val="13"/>
                      <w:color w:val="000000"/>
                    </w:rPr>
                    <w:t>-核心产品</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205740" cy="14499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05740" cy="144997"/>
                                </a:xfrm>
                                <a:prstGeom prst="rect">
                                  <a:avLst/>
                                </a:prstGeom>
                              </pic:spPr>
                            </pic:pic>
                          </a:graphicData>
                        </a:graphic>
                      </wp:inline>
                    </w:drawing>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1200W*2000D*230H</w:t>
                  </w:r>
                </w:p>
              </w:tc>
              <w:tc>
                <w:tcPr>
                  <w:tcW w:type="dxa" w:w="237"/>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米白色</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★1、床垫尺寸：1200W*2000D*230H</w:t>
                  </w:r>
                </w:p>
                <w:p>
                  <w:pPr>
                    <w:pStyle w:val="null3"/>
                    <w:jc w:val="left"/>
                  </w:pPr>
                  <w:r>
                    <w:rPr>
                      <w:rFonts w:ascii="仿宋_GB2312" w:hAnsi="仿宋_GB2312" w:cs="仿宋_GB2312" w:eastAsia="仿宋_GB2312"/>
                      <w:sz w:val="13"/>
                      <w:color w:val="000000"/>
                    </w:rPr>
                    <w:t>▲2、软硬程度:(可双面;正面适中反面硬);QB/T 1952.2-2023《软体家具 弹簧软床垫》符合QB/T 1952.2-2023标准要求，分级项目符合QB/T1952.2-2023标准C级要求。无霉变、无害虫及其污染物、废旧及工业下脚料纤维物质、无杂物、无异味、甲醛释放量小于0.05mg/m³笨、甲苯、二甲苯（二甲苯(邻、间、对二甲苯之和)释放量小于0.02mg/m³、总挥发性有机化合物(TVOC)</w:t>
                  </w:r>
                </w:p>
                <w:p>
                  <w:pPr>
                    <w:pStyle w:val="null3"/>
                    <w:jc w:val="left"/>
                  </w:pPr>
                  <w:r>
                    <w:rPr>
                      <w:rFonts w:ascii="仿宋_GB2312" w:hAnsi="仿宋_GB2312" w:cs="仿宋_GB2312" w:eastAsia="仿宋_GB2312"/>
                      <w:sz w:val="13"/>
                      <w:color w:val="000000"/>
                    </w:rPr>
                    <w:t>释放量小于</w:t>
                  </w:r>
                  <w:r>
                    <w:rPr>
                      <w:rFonts w:ascii="仿宋_GB2312" w:hAnsi="仿宋_GB2312" w:cs="仿宋_GB2312" w:eastAsia="仿宋_GB2312"/>
                      <w:sz w:val="13"/>
                      <w:color w:val="000000"/>
                    </w:rPr>
                    <w:t>0.14mg/m³，阻燃性通过《香烟抗引燃德性试验》、面料耐干摩擦色3级、抗起毛、起球3级、耐磨损5000次无破损、软质泡沫塑料垫慢回弹复原时间3s-12s、拉伸强度≥50kPa、其他拉伸强度≥80kPa。耐久性（软面）测试3万次无破损。</w:t>
                  </w:r>
                </w:p>
                <w:p>
                  <w:pPr>
                    <w:pStyle w:val="null3"/>
                    <w:jc w:val="left"/>
                  </w:pPr>
                  <w:r>
                    <w:rPr>
                      <w:rFonts w:ascii="仿宋_GB2312" w:hAnsi="仿宋_GB2312" w:cs="仿宋_GB2312" w:eastAsia="仿宋_GB2312"/>
                      <w:sz w:val="13"/>
                      <w:color w:val="000000"/>
                    </w:rPr>
                    <w:t>▲3、弹簧：使用70#弹簧钢丝，钢丝直径：Φ2.2（毫米）弹簧口径72 弹簧腰径38 2、穿簧：使用70#弹簧钢丝，弹簧口径72的床网使用钢丝直径Φ1.4（毫米）的穿簧 3、边撑簧：钢丝直径：Φ3.0（毫米）、边框钢丝：钢丝直径：Φ5.0（毫米）、白棉毡：400ɡ/㎡ (两面各2张，共4张毡)、海绵：21kg/立方米、喷胶棉：180g/㎡、无纺布：40g/㎡、经编面料：180g/㎡；</w:t>
                  </w:r>
                </w:p>
                <w:p>
                  <w:pPr>
                    <w:pStyle w:val="null3"/>
                    <w:jc w:val="left"/>
                  </w:pPr>
                  <w:r>
                    <w:rPr>
                      <w:rFonts w:ascii="仿宋_GB2312" w:hAnsi="仿宋_GB2312" w:cs="仿宋_GB2312" w:eastAsia="仿宋_GB2312"/>
                      <w:sz w:val="13"/>
                      <w:color w:val="000000"/>
                    </w:rPr>
                    <w:t>▲4、提供产品质量监督检验中心出具的具有CNAS和CMA标识的检测报告。</w:t>
                  </w:r>
                </w:p>
                <w:p>
                  <w:pPr>
                    <w:pStyle w:val="null3"/>
                    <w:jc w:val="left"/>
                  </w:pPr>
                  <w:r>
                    <w:rPr>
                      <w:rFonts w:ascii="仿宋_GB2312" w:hAnsi="仿宋_GB2312" w:cs="仿宋_GB2312" w:eastAsia="仿宋_GB2312"/>
                      <w:sz w:val="13"/>
                      <w:color w:val="000000"/>
                    </w:rPr>
                    <w:t>▲5.生态抗菌防螨布2cm3D纤维、3cm3D无胶椰棕、内部弹簧▲结构:7区独立袋装弹簧。质保期内如用坏无条件换新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after="630"/>
                    <w:jc w:val="center"/>
                  </w:pPr>
                  <w:r>
                    <w:rPr>
                      <w:rFonts w:ascii="仿宋_GB2312" w:hAnsi="仿宋_GB2312" w:cs="仿宋_GB2312" w:eastAsia="仿宋_GB2312"/>
                      <w:sz w:val="13"/>
                      <w:b/>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床头柜</w:t>
                  </w:r>
                  <w:r>
                    <w:rPr>
                      <w:rFonts w:ascii="仿宋_GB2312" w:hAnsi="仿宋_GB2312" w:cs="仿宋_GB2312" w:eastAsia="仿宋_GB2312"/>
                      <w:sz w:val="13"/>
                      <w:color w:val="000000"/>
                    </w:rPr>
                    <w:t>-核心产品</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205740" cy="21380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205740" cy="213808"/>
                                </a:xfrm>
                                <a:prstGeom prst="rect">
                                  <a:avLst/>
                                </a:prstGeom>
                              </pic:spPr>
                            </pic:pic>
                          </a:graphicData>
                        </a:graphic>
                      </wp:inline>
                    </w:drawing>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450W*400D*450H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个</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85</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天然胡桃色</w:t>
                  </w:r>
                  <w:r>
                    <w:rPr>
                      <w:rFonts w:ascii="仿宋_GB2312" w:hAnsi="仿宋_GB2312" w:cs="仿宋_GB2312" w:eastAsia="仿宋_GB2312"/>
                      <w:sz w:val="13"/>
                      <w:color w:val="000000"/>
                    </w:rPr>
                    <w:t>/北美黄橡色</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★尺寸：450W*400D*450H</w:t>
                  </w:r>
                </w:p>
                <w:p>
                  <w:pPr>
                    <w:pStyle w:val="null3"/>
                    <w:jc w:val="left"/>
                  </w:pPr>
                  <w:r>
                    <w:rPr>
                      <w:rFonts w:ascii="仿宋_GB2312" w:hAnsi="仿宋_GB2312" w:cs="仿宋_GB2312" w:eastAsia="仿宋_GB2312"/>
                      <w:sz w:val="13"/>
                      <w:color w:val="000000"/>
                    </w:rPr>
                    <w:t>▲1、原材：原木，无指接、所有原材均经过自然风干与人工烘干双重工艺处理，严格控制木材含水率木材应经干燥处理，符合GB/T3324-2024《木家具通用技术条件》，木材含水率应为8%~10%(产品所在地区年平均木材平衡含水率+1%)。</w:t>
                  </w:r>
                  <w:r>
                    <w:br/>
                  </w:r>
                  <w:r>
                    <w:rPr>
                      <w:rFonts w:ascii="仿宋_GB2312" w:hAnsi="仿宋_GB2312" w:cs="仿宋_GB2312" w:eastAsia="仿宋_GB2312"/>
                      <w:sz w:val="13"/>
                      <w:color w:val="000000"/>
                    </w:rPr>
                    <w:t>▲2、外观：应无贯通裂缝,符合GB/T3324-2024《木家具通用技术条件》.</w:t>
                  </w:r>
                  <w:r>
                    <w:br/>
                  </w:r>
                  <w:r>
                    <w:rPr>
                      <w:rFonts w:ascii="仿宋_GB2312" w:hAnsi="仿宋_GB2312" w:cs="仿宋_GB2312" w:eastAsia="仿宋_GB2312"/>
                      <w:sz w:val="13"/>
                      <w:color w:val="000000"/>
                    </w:rPr>
                    <w:t>▲3、实木材质环保要求：符合GB/T39600-2021《人造板及其制品甲醛释放量分级》、GB18580-2017《室内装饰装修材料人造板及其制品中甲醛释放限量》，甲醛释放量小于0. 010mg/m²。</w:t>
                  </w:r>
                  <w:r>
                    <w:br/>
                  </w:r>
                  <w:r>
                    <w:rPr>
                      <w:rFonts w:ascii="仿宋_GB2312" w:hAnsi="仿宋_GB2312" w:cs="仿宋_GB2312" w:eastAsia="仿宋_GB2312"/>
                      <w:sz w:val="13"/>
                      <w:color w:val="000000"/>
                    </w:rPr>
                    <w:t>▲4、工艺：榫卯结构拼接。</w:t>
                  </w:r>
                  <w:r>
                    <w:br/>
                  </w:r>
                  <w:r>
                    <w:rPr>
                      <w:rFonts w:ascii="仿宋_GB2312" w:hAnsi="仿宋_GB2312" w:cs="仿宋_GB2312" w:eastAsia="仿宋_GB2312"/>
                      <w:sz w:val="13"/>
                      <w:color w:val="000000"/>
                    </w:rPr>
                    <w:t>▲5、底漆：水性底漆，符合GB 18581-2020 《木器涂料中有害物质聚量》GB/T 23999-2009《室内装饰装修用水性木器涂料》GB/T35602-2017《绿色产品评价涂料》标准；VOC含量、甲醛含量、总铅(Pb)含量(限色漆、腻子和醇酸清漆)、乙二醇醚及其酯类的总量、烷基酚聚氧乙烯醚总和含量、苯系物总和含量均未检出；可溶性重金属（限色漆、腻子和醇酸类清漆）：镉(Cd)含量、铬(Cr)含量、汞(Hg)含量均未检出；重金属元素含量（限色漆和腻子）：钡（Ba）未检出；木制件表面理化性能：漆膜附着力，涂层交叉切割法，达到1级。</w:t>
                  </w:r>
                  <w:r>
                    <w:br/>
                  </w:r>
                  <w:r>
                    <w:rPr>
                      <w:rFonts w:ascii="仿宋_GB2312" w:hAnsi="仿宋_GB2312" w:cs="仿宋_GB2312" w:eastAsia="仿宋_GB2312"/>
                      <w:sz w:val="13"/>
                      <w:color w:val="000000"/>
                    </w:rPr>
                    <w:t>▲6、面漆：水性面漆，符合GB 18581-2020 《木器涂料中有害物质聚量》GB/T 23999-2009《室内装饰装修用水性木器涂料》GB/T35602-2017《绿色产品评价涂料》标准；VOC含量、甲醛含量、总铅(Pb)含量(限色漆、腻子和醇酸清漆)、乙二醇醚及其酯类的总量、烷基酚聚氧乙烯醚总和含量、苯系物总和含量均未检出；可溶性重金属（限色漆、腻子和醇酸类清漆）：镉(Cd)含量、铬(Cr)含量、汞(Hg)含量均未检出；重金属元素含量（限色漆和腻子）：钡（Ba）未检出；木制件表面理化性能：漆膜附着力，涂层交叉切割法，达到1级。硬度≧B.</w:t>
                  </w:r>
                  <w:r>
                    <w:br/>
                  </w:r>
                  <w:r>
                    <w:rPr>
                      <w:rFonts w:ascii="仿宋_GB2312" w:hAnsi="仿宋_GB2312" w:cs="仿宋_GB2312" w:eastAsia="仿宋_GB2312"/>
                      <w:sz w:val="13"/>
                      <w:color w:val="000000"/>
                    </w:rPr>
                    <w:t>▲7、轨道：品牌五金符合GB/T3325-2024《金属家具通用技术条件》QB/T2454-2013《家具五金抽屉导轨》GB/T10125-2021《人造气氛腐蚀试验盐雾试验》GB/T6461-2002《金属基体上金属和其他无机覆盖层经腐蚀试验后的试样和试件的评级》QB/T3832-1999《轻工产品金属镀层腐蚀试验结果的评价》</w:t>
                  </w:r>
                  <w:r>
                    <w:br/>
                  </w:r>
                  <w:r>
                    <w:rPr>
                      <w:rFonts w:ascii="仿宋_GB2312" w:hAnsi="仿宋_GB2312" w:cs="仿宋_GB2312" w:eastAsia="仿宋_GB2312"/>
                      <w:sz w:val="13"/>
                      <w:color w:val="000000"/>
                    </w:rPr>
                    <w:t>QB/T 3826-199《9轻工产品金属镀层和化学处理层的耐腐蚀试验方法中性盐雾试验(NSS)法》QB/T 3827-1999《轻工产品金属镀层和化学处理层的耐腐蚀试验方法 乙酸盐雾试验(ASS)法》垂直向下静载荷(过载)300N，10次无损伤、水平侧向静载荷(过载)150N，水平各5次无损伤、猛关或猛开(过载)K=2.5，各10次无损伤、耐久性（功能）测试200000次无损伤。</w:t>
                  </w:r>
                  <w:r>
                    <w:br/>
                  </w:r>
                  <w:r>
                    <w:rPr>
                      <w:rFonts w:ascii="仿宋_GB2312" w:hAnsi="仿宋_GB2312" w:cs="仿宋_GB2312" w:eastAsia="仿宋_GB2312"/>
                      <w:sz w:val="13"/>
                      <w:color w:val="000000"/>
                    </w:rPr>
                    <w:t>▲8、提供产品质量监督检验中心出具的具有CNAS和CMA标识的检测报告。</w:t>
                  </w:r>
                  <w:r>
                    <w:br/>
                  </w:r>
                  <w:r>
                    <w:rPr>
                      <w:rFonts w:ascii="仿宋_GB2312" w:hAnsi="仿宋_GB2312" w:cs="仿宋_GB2312" w:eastAsia="仿宋_GB2312"/>
                      <w:sz w:val="13"/>
                      <w:color w:val="000000"/>
                    </w:rPr>
                    <w:t>▲9、 整体细节要求：简约素雅，适配休息室使用，无花哨装饰；表面平整光滑，无明显划伤、凹坑、鼓泡、黑色斑点、污渍等缺陷；木纹纹路一致，凹凸部分匀称，纹理清晰，色泽一致；无褪色、掉色现象，贴面严密平整，封边、包边无脱胶、鼓泡或开裂现象；</w:t>
                  </w:r>
                  <w:r>
                    <w:br/>
                  </w:r>
                  <w:r>
                    <w:rPr>
                      <w:rFonts w:ascii="仿宋_GB2312" w:hAnsi="仿宋_GB2312" w:cs="仿宋_GB2312" w:eastAsia="仿宋_GB2312"/>
                      <w:sz w:val="13"/>
                      <w:color w:val="000000"/>
                    </w:rPr>
                    <w:t>▲10、 耐用：表面漆膜遇生活中常见酸性或碱性液体不会出现褪色、变形、膨胀、纤维突起、开裂、鼓泡等现象，日常使用不会产生明显划痕和漆膜剥落现象；遇光照、冷、热、温差不易鼓泡、裂缝和明显失光。</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after="630"/>
                    <w:jc w:val="center"/>
                  </w:pPr>
                  <w:r>
                    <w:rPr>
                      <w:rFonts w:ascii="仿宋_GB2312" w:hAnsi="仿宋_GB2312" w:cs="仿宋_GB2312" w:eastAsia="仿宋_GB2312"/>
                      <w:sz w:val="13"/>
                      <w:b/>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衣柜</w:t>
                  </w:r>
                  <w:r>
                    <w:rPr>
                      <w:rFonts w:ascii="仿宋_GB2312" w:hAnsi="仿宋_GB2312" w:cs="仿宋_GB2312" w:eastAsia="仿宋_GB2312"/>
                      <w:sz w:val="13"/>
                      <w:color w:val="000000"/>
                    </w:rPr>
                    <w:t>-核心产品</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205740" cy="63191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205740" cy="631915"/>
                                </a:xfrm>
                                <a:prstGeom prst="rect">
                                  <a:avLst/>
                                </a:prstGeom>
                              </pic:spPr>
                            </pic:pic>
                          </a:graphicData>
                        </a:graphic>
                      </wp:inline>
                    </w:drawing>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800W×600D×2000H</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组</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85</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天然胡桃色</w:t>
                  </w:r>
                  <w:r>
                    <w:rPr>
                      <w:rFonts w:ascii="仿宋_GB2312" w:hAnsi="仿宋_GB2312" w:cs="仿宋_GB2312" w:eastAsia="仿宋_GB2312"/>
                      <w:sz w:val="13"/>
                      <w:color w:val="000000"/>
                    </w:rPr>
                    <w:t>/北美黄橡色</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★尺寸：800W×600D×2000H</w:t>
                  </w:r>
                </w:p>
                <w:p>
                  <w:pPr>
                    <w:pStyle w:val="null3"/>
                    <w:jc w:val="left"/>
                  </w:pPr>
                  <w:r>
                    <w:rPr>
                      <w:rFonts w:ascii="仿宋_GB2312" w:hAnsi="仿宋_GB2312" w:cs="仿宋_GB2312" w:eastAsia="仿宋_GB2312"/>
                      <w:sz w:val="13"/>
                      <w:color w:val="000000"/>
                    </w:rPr>
                    <w:t>▲1、原材：原木，无指接、所有原材均经过自然风干与人工烘干双重工艺处理，严格控制木材含水率木材应经干燥处理，符合GB/T3324-2024《木家具通用技术条件》，木材含水率应为8%~10%(产品所在地区年平均木材平衡含水率+1%)。</w:t>
                  </w:r>
                  <w:r>
                    <w:br/>
                  </w:r>
                  <w:r>
                    <w:rPr>
                      <w:rFonts w:ascii="仿宋_GB2312" w:hAnsi="仿宋_GB2312" w:cs="仿宋_GB2312" w:eastAsia="仿宋_GB2312"/>
                      <w:sz w:val="13"/>
                      <w:color w:val="000000"/>
                    </w:rPr>
                    <w:t>▲2、外观：应无贯通裂缝,符合GB/T3324-2024《木家具通用技术条件》.</w:t>
                  </w:r>
                  <w:r>
                    <w:br/>
                  </w:r>
                  <w:r>
                    <w:rPr>
                      <w:rFonts w:ascii="仿宋_GB2312" w:hAnsi="仿宋_GB2312" w:cs="仿宋_GB2312" w:eastAsia="仿宋_GB2312"/>
                      <w:sz w:val="13"/>
                      <w:color w:val="000000"/>
                    </w:rPr>
                    <w:t>▲3、实木材质环保要求：符合GB/T39600-2021《人造板及其制品甲醛释放量分级》、GB18580-2017《室内装饰装修材料人造板及其制品中甲醛释放限量》，甲醛释放量小于0. 010mg/m²。</w:t>
                  </w:r>
                  <w:r>
                    <w:br/>
                  </w:r>
                  <w:r>
                    <w:rPr>
                      <w:rFonts w:ascii="仿宋_GB2312" w:hAnsi="仿宋_GB2312" w:cs="仿宋_GB2312" w:eastAsia="仿宋_GB2312"/>
                      <w:sz w:val="13"/>
                      <w:color w:val="000000"/>
                    </w:rPr>
                    <w:t>4、工艺：榫卯结构拼接。</w:t>
                  </w:r>
                  <w:r>
                    <w:br/>
                  </w:r>
                  <w:r>
                    <w:rPr>
                      <w:rFonts w:ascii="仿宋_GB2312" w:hAnsi="仿宋_GB2312" w:cs="仿宋_GB2312" w:eastAsia="仿宋_GB2312"/>
                      <w:sz w:val="13"/>
                      <w:color w:val="000000"/>
                    </w:rPr>
                    <w:t>▲5、底漆：水性底漆，符合GB 18581-2020 《木器涂料中有害物质聚量》GB/T 23999-2009《室内装饰装修用水性木器涂料》GB/T35602-2017《绿色产品评价涂料》标准；VOC含量、甲醛含量、总铅(Pb)含量(限色漆、腻子和醇酸清漆)、乙二醇醚及其酯类的总量、烷基酚聚氧乙烯醚总和含量、苯系物总和含量均未检出；可溶性重金属（限色漆、腻子和醇酸类清漆）：镉(Cd)含量、铬(Cr)含量、汞(Hg)含量均未检出；重金属元素含量（限色漆和腻子）：钡（Ba）未检出；木制件表面理化性能：漆膜附着力，涂层交叉切割法，达到1级。</w:t>
                  </w:r>
                  <w:r>
                    <w:br/>
                  </w:r>
                  <w:r>
                    <w:rPr>
                      <w:rFonts w:ascii="仿宋_GB2312" w:hAnsi="仿宋_GB2312" w:cs="仿宋_GB2312" w:eastAsia="仿宋_GB2312"/>
                      <w:sz w:val="13"/>
                      <w:color w:val="000000"/>
                    </w:rPr>
                    <w:t>▲6、面漆：水性面漆，符合GB 18581-2020 《木器涂料中有害物质聚量》GB/T 23999-2009《室内装饰装修用水性木器涂料》GB/T35602-2017《绿色产品评价涂料》标准；VOC含量、甲醛含量、总铅(Pb)含量(限色漆、腻子和醇酸清漆)、乙二醇醚及其酯类的总量、烷基酚聚氧乙烯醚总和含量、苯系物总和含量均未检出；可溶性重金属（限色漆、腻子和醇酸类清漆）：镉(Cd)含量、铬(Cr)含量、汞(Hg)含量均未检出；重金属元素含量（限色漆和腻子）：钡（Ba）未检出；木制件表面理化性能：漆膜附着力，涂层交叉切割法，达到1级。硬度≧B.</w:t>
                  </w:r>
                  <w:r>
                    <w:br/>
                  </w:r>
                  <w:r>
                    <w:rPr>
                      <w:rFonts w:ascii="仿宋_GB2312" w:hAnsi="仿宋_GB2312" w:cs="仿宋_GB2312" w:eastAsia="仿宋_GB2312"/>
                      <w:sz w:val="13"/>
                      <w:color w:val="000000"/>
                    </w:rPr>
                    <w:t>▲7、铰链：品牌五金符合GB/T3325-2024《金属家具通用技术条件》QB/T2454-2013《家具五金抽屉导轨》GB/T10125-2021《人造气氛腐蚀试验盐雾试验》GB/T6461-2002《金属基体上金属和其他无机覆盖层经腐蚀试验后的试样和试件的评级》QB/T3832-1999《轻工产品金属镀层腐蚀试验结果的评价》</w:t>
                  </w:r>
                  <w:r>
                    <w:br/>
                  </w:r>
                  <w:r>
                    <w:rPr>
                      <w:rFonts w:ascii="仿宋_GB2312" w:hAnsi="仿宋_GB2312" w:cs="仿宋_GB2312" w:eastAsia="仿宋_GB2312"/>
                      <w:sz w:val="13"/>
                      <w:color w:val="000000"/>
                    </w:rPr>
                    <w:t>QB/T 3826-199《9轻工产品金属镀层和化学处理层的耐腐蚀试验方法中性盐雾试验(NSS)法》QB/T 3827-1999《轻工产品金属镀层和化学处理层的耐腐蚀试验方法 乙酸盐雾试验(ASS)法》垂直向下静载荷(过载)30kg，10次无损伤、水平侧向静载荷(过载)70N，水平各10次无损伤、耐久性（功能）测试100000次无损伤。</w:t>
                  </w:r>
                  <w:r>
                    <w:br/>
                  </w:r>
                  <w:r>
                    <w:rPr>
                      <w:rFonts w:ascii="仿宋_GB2312" w:hAnsi="仿宋_GB2312" w:cs="仿宋_GB2312" w:eastAsia="仿宋_GB2312"/>
                      <w:sz w:val="13"/>
                      <w:color w:val="000000"/>
                    </w:rPr>
                    <w:t>▲8、提供产品质量监督检验中心出具的具有CNAS和CMA标识的检测报告。</w:t>
                  </w:r>
                  <w:r>
                    <w:br/>
                  </w:r>
                  <w:r>
                    <w:rPr>
                      <w:rFonts w:ascii="仿宋_GB2312" w:hAnsi="仿宋_GB2312" w:cs="仿宋_GB2312" w:eastAsia="仿宋_GB2312"/>
                      <w:sz w:val="13"/>
                      <w:color w:val="000000"/>
                    </w:rPr>
                    <w:t>▲9、 整体细节要求：简约素雅，适配休息室使用，无花哨装饰；表面平整光滑，无明显划伤、凹坑、鼓泡、黑色斑点、污渍等缺陷；木纹纹路一致，凹凸部分匀称，纹理清晰，色泽一致；无褪色、掉色现象，贴面严密平整，封边、包边无脱胶、鼓泡或开裂现象；</w:t>
                  </w:r>
                  <w:r>
                    <w:br/>
                  </w:r>
                  <w:r>
                    <w:rPr>
                      <w:rFonts w:ascii="仿宋_GB2312" w:hAnsi="仿宋_GB2312" w:cs="仿宋_GB2312" w:eastAsia="仿宋_GB2312"/>
                      <w:sz w:val="13"/>
                      <w:color w:val="000000"/>
                    </w:rPr>
                    <w:t>▲10、 耐用：表面漆膜遇生活中常见酸性或碱性液体不会出现褪色、变形、膨胀、纤维突起、开裂、鼓泡等现象，日常使用不会产生明显划痕和漆膜剥落现象；遇光照、冷、热、温差不易鼓泡、裂缝和明显失光。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进度款，交货完成 ，初次验收合格后，达到付款条件起10个工作日内，支付合同总金额的50.0%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进度款，最终验收合格并结算审计完成后 ，达到付款条件起10个工作日内，支付合同总金额的10.0%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包括但不限于以下要求： 1.设备到货后，依标书要求对全部设备、产品、型号、规格、数量、外型、外观、包装及资料、文件进行验收。 2.拆箱后，应对其全部产品、零件、配件、用户许可证书、资料、介质造册登记，并与装箱单对比，如有出入应立即书面记录，由中标供应商联络厂家解决，如影响安装则按合同有关条款处理。 3.验收按国家有关的规定、规范进行。如果合同设备运输和安装调试过程中因中标供应商原因发现设备有短缺、次品、损坏或其它不符合本合同规定或质量要求，中标供应商应在10个工作日内安排换货到指定地点，以保证合同设备成功完整交付。换货的全部费用由中标供应商承担，若超过合同期限的，应承担迟延履行的违约责任。 4.合同设备完成交货、安装、验收合格后，采购人、用户单位出具书面确认材料视为合同设备已经交付。出具书面确认材料并不能视为免除中标供应商对交付标的的质量保证责任。 5.中标供应商应负责在项目验收时将全部有关产品说明书、安装手册、技术文件、资料、及安装、验收报告等文档汇集成册交付采购人。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一、合同争议的解决：合同执行中发生争议的，当事人双方应协商解决，协商达不成一致时，可选 (1)h或（2）方式解决。（1）向有管辖权的人民法院提起诉讼 （2）向西安仲裁委员会提请仲裁 二、违约责任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延期15天内供应商交合同金额的5%作为违约金，未完成技术培训的供应商将退还所有培训费用，提供的货物、服务与投标文件承诺的不一致的供应商交付合同金额的10%作为违约金，若多次整改不达标时，采购方将解除合同并主张双倍返还已付款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为每种货物的完税单价，即包括但不限于货物本身的价格，含自购材料费、加工费、运输费、保险费、税费、管理费等，以及培训费、现场安装的实施费、维护保养服务费（指所供货物在保修期内的所有维修、保养、更换零部件等的全部费用）等以及为生产出合格产品并满足本项目采购需求之要求所需要的各项其他费用等。 2、特别注意：（1）投标保证金退还： A．未中标供应商：自中标通知书发出之日起5个工作日内退还未中标供应商的投标保证金，无需亲自前来办理； B.中标供应商：自采购合同签订之日起5个工作日内退还中标供应商的投标保证金。（须携带或邮寄合同原件或合同复印件（加盖单位鲜章）各一份，同时将合同扫描件发送至联系人邮箱），但因中标供应商自身原因导致无法及时退还的除外。 （2）有下列情况之一的，采购代理机构不予退还其交纳的投标保证金；情节严重的，由财政部门将其列入不良行为记录名单，在一至三年内禁止参加政府采购活动，并予以通报； A.开标后在招标文件规定的投标有效期间，投标供应商撤回其所投投标文件的； B.中标供应商无正当理由不与采购人签订合同的； C.中标供应商将中标项目转让给他人，或者在投标文件中未说明，且未经采购人同意，将中标项目分包给他人的； D.中标供应商拒绝履行合同义务的； E.中标供应商未按时缴付中标服务费的； F.由于中标供应商的原因导致中标无效的。 3.5.2其他要求 （1）供应商需要在线提交所有通过电子化交易平台实施的政府采购项目的投标文件，同时，线下提交纸质投标文件正本壹份、副本贰份。若电子投标文件与纸质投标文件不一致的，以电子投标文件为准。 （2）投标文件，正、副本分别各自装订成册密封。在封口处加盖供应商公章。 （3）线下投标文件递交截止时间与线上开评标时间一致。 （4）纸质投标文件可邮寄递交，应于递交投标文件截止时间前邮寄到陕西省西安市经济技术开发区凤城七路长和国际A座26楼02-01室。 （5）如提交保函，建议至少提前一个工作日将保函正本送至采购代理机构，如提供电子保函，应将电子保函发送至代理机构指定邮箱1184704529@qq.com。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提供①2024年度财务审计报告（成立时间至提交响应文件截止时间不足一年的可提供成立后任意时段的资产负债表）或②其基本存款账户开户银行出具的资信证明及基本存款账户的开户证明；3、提供2025年10月至今至少一个月纳税证明或完税证明，纳税证明或完税证明上应有代收机构或税务机关的公章，依法免税的供应商应提供相关文件证明；4、提供2025年10至今至少一个月的社会保障资金缴存单据或社保机构开具的社会保险参保缴费情况证明，依法不需要缴纳社会保障资金的单位应提供相关证明材料；5、提供参加本次政府采购活动前三年内在经营活动中没有重大违法记录（提供书面声明）；6、提供具有履行合同所必须的设备和专业技术能力的承诺书；7、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①2024年度财务审计报告（成立时间至提交响应文件截止时间不足一年的可提供成立后任意时段的资产负债表）或②其基本存款账户开户银行出具的资信证明及基本存款账户的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提供法人代表、控股股东、控股企业及管理、被管理单位情况声明且各供应商之间不存在单位负责人为同一人或者存在控股、管理关系情形的承诺函。2、提供为本项目提供整体设计、规范编制或者项目管理、监理、检测等服务的供应商，不得再参加该采购项目的其他采购活动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未被列入“信用中国”网站(www.creditchina.gov.cn)失信被执行人名单、重大税收违法失信主体、未被列入“中国政府采购网”（www.ccgp.gov.cn）政府采购严重违法失信行为记录名单（以现场查询为准）；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身份证复印件及被授权人在本单位连续六个月社保证明并加盖公章。（法定代表人直接投标只须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本项目专门面向中小企业采购，仅限符合《政府采购促进中小企业发展管理办法》财库〔2020〕46号文件的中小企业参与并提供中小企业声明函，残疾人福利企业及监狱企业视同小微企业；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（1）投标报价表填写符合要求；（2）投标 报价未超出采购预算（招标文件有最高限价的，报价未超过最高限价）。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投标方案.docx 投标函 中小企业声明函 残疾人福利性单位声明函 标的清单 投标文件封面 资格证明文件.docx 监狱企业的证明文件 商务条款响应说明.docx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投标方案.docx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投标文件封面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w:t>
            </w:r>
          </w:p>
        </w:tc>
        <w:tc>
          <w:tcPr>
            <w:tcW w:type="dxa" w:w="1661"/>
          </w:tcPr>
          <w:p>
            <w:pPr>
              <w:pStyle w:val="null3"/>
            </w:pPr>
            <w:r>
              <w:rPr>
                <w:rFonts w:ascii="仿宋_GB2312" w:hAnsi="仿宋_GB2312" w:cs="仿宋_GB2312" w:eastAsia="仿宋_GB2312"/>
              </w:rPr>
              <w:t>投标方案.docx 投标文件封面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所投产品技术参数清楚、明确,并能逐条逐项响应招标文件“技术参数表”要求，得20分。“▲”项参数负偏离每项扣1分，扣完为止。 备注：“▲”项参数须有佐证材料 , 否则不予得分（佐证材料例如：国家认可的检测机构出具的检测报告、官网功能截图等），不提供或缺漏项不得分。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一、评审内容根据项目实际需求，提供完整详细的项目实施方案。内容包含①安装验收方案②供货运输方案③人员配备方案④质量保证方案⑤应急预案。 要求方案须全面，对评审内容中的各项要求有详细描述；切合本项目实际情况，实施步骤清晰、合理； 二、评审标准 1、完整性：方案须全面，对评审内容中的各项要求描述详细； 2、可实施性：切合本项目实际情况，实施步骤清晰、合理； 3、针对性：方案能够紧扣项目实际情况，内容科学合理。 三、赋分依据 每项内容完整满足一个评审要求得0.8分，每项三个评审要求全部满足得2.4分，5项评审内容合计满分12分。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 3 项货物的合法来源渠道证明或情况说明，每提供一项，得3 分，满分 9 分，不提供不得分。投标人可根据自身情况提供以下资料： 1、如投标人为所投产品代理商:提供货物的合法来源渠道证明文件（例如：产品制造商授权、销售协议、代理协议等证明文件）。 2、如投标人为所投产品的制造商:需提供情况说明(说明某一项产品为制造商自己生产)。 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环保能力</w:t>
            </w:r>
          </w:p>
        </w:tc>
        <w:tc>
          <w:tcPr>
            <w:tcW w:type="dxa" w:w="2492"/>
          </w:tcPr>
          <w:p>
            <w:pPr>
              <w:pStyle w:val="null3"/>
            </w:pPr>
            <w:r>
              <w:rPr>
                <w:rFonts w:ascii="仿宋_GB2312" w:hAnsi="仿宋_GB2312" w:cs="仿宋_GB2312" w:eastAsia="仿宋_GB2312"/>
              </w:rPr>
              <w:t>1、投标人或所投产品制造商提供绿色包装评价报告、绿色低碳生产评价报告、产品设计先进性评价报告，得2分。 2、投标人或所投产品制造商提供绿色生产报告、绿色运输报告、绿色回收评价报告，得2分。 3、投标人具有中国环境标志产品认证证书得2分。 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①售后服务内容及保障措施：每完全满足一个评审标准得1.5分， 满分3分； ②响应时间及方式:每完全满足一个评审标准得1.5分，满分3分。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诺：质保期高于招标文件要求（3 年）的，每增加一年原厂质保得 1分，最高得3分。不承诺不得分（承诺须明确具体质保期）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投标人针对本项目提供有利于本项目开展的其它承诺（例如：①增值服务②终验前，有质量问题免费换新换新处理③优惠条件等），每提供一项承诺，经评标专家一致认定得2分，满分4分，无承诺不得分。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提供2023年1月1日以来类似项目业绩（以合同签订日期为准），每份合格业绩合同得2分，满分10分。备注：需提供业绩完整合同及对应货款发票复印件（任意一张）并加盖投标人公章，未提供或提供不全不得分。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100（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详见附件：合同5.17.docx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