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版本号：KY2026-1-515.1B120260707001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超高温激光共聚焦显微镜采购项目(二次)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KY2026-1-515.1B1</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超高温激光共聚焦显微镜采购项目(二次)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KY2026-1-515.1B1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超高温激光共聚焦显微镜采购项目(二次)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项目建设后将有效弥补校内现有同类设备在温度范围、分辨率和原位动态观察能力上的不足，服务国家重大工程相关材料研发、科研项目申报、本科生实验教学和研究生培养，并面向校内外开放共享，提升学校学科建设、科技创新和社会服务能力。具体内容详见谈判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1、法定代表人授权书：法定代表人授权书及被授权人身份证明。（法定代表人直接谈判只须提供其身份证明）</w:t>
      </w:r>
    </w:p>
    <w:p>
      <w:pPr>
        <w:pStyle w:val="null3"/>
      </w:pPr>
      <w:r>
        <w:rPr>
          <w:rFonts w:ascii="仿宋_GB2312" w:hAnsi="仿宋_GB2312" w:cs="仿宋_GB2312" w:eastAsia="仿宋_GB2312"/>
        </w:rPr>
        <w:t>2、所投进口产品的完整授权链证明材料：所投产品如为进口产品，提供所投进口产品的完整授权链证明材料。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李成龙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汪涛、刘金柯、卢韶华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银行账号：86113010750181502001172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说明：供应商成交后凭成交通知书向学校缴纳成交金额的5%作为履约保证金，待合同履约完毕后无息退还。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代理服务费收费标准：中标人应依据中标金额向采购代理机构交纳中标服务费，交费金额以国家计委颁布的《招标代理服务收费管理暂行办法》(计价格[2002]1980号)文件为依据计代理服务费，按照以下要求计： 1、项目金额在100万元及以下的，按中标金额全额计取； 2、项目金额超过100万元的，100万元及以下部分全额计取，超出部分按75%计取。 3、本项目代理服务费按货物计取。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按采购文件、响应文件及合同约定执行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联系人：汪涛、刘金柯</w:t>
      </w:r>
    </w:p>
    <w:p>
      <w:pPr>
        <w:pStyle w:val="null3"/>
      </w:pPr>
      <w:r>
        <w:rPr>
          <w:rFonts w:ascii="仿宋_GB2312" w:hAnsi="仿宋_GB2312" w:cs="仿宋_GB2312" w:eastAsia="仿宋_GB2312"/>
        </w:rPr>
        <w:t>联系电话：029-81206622-821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建设后将有效弥补校内现有同类设备在温度范围、分辨率和原位动态观察能力上的不足，服务国家重大工程相关材料研发、科研项目申报、本科生实验教学和研究生培养，并面向校内外开放共享，提升学校学科建设、科技创新和社会服务能力。具体采购内容详见技术参数与性能指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2,550,000.00</w:t>
      </w:r>
    </w:p>
    <w:p>
      <w:pPr>
        <w:pStyle w:val="null3"/>
      </w:pPr>
      <w:r>
        <w:rPr>
          <w:rFonts w:ascii="仿宋_GB2312" w:hAnsi="仿宋_GB2312" w:cs="仿宋_GB2312" w:eastAsia="仿宋_GB2312"/>
        </w:rPr>
        <w:t>采购包最高限价（元）: 2,300,000.00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超高温激光共聚焦显微镜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标的名称：超高温激光共聚焦显微镜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1.采购清单及技术标准、配置要求：</w:t>
            </w:r>
          </w:p>
          <w:p>
            <w:pPr>
              <w:pStyle w:val="null3"/>
            </w:pPr>
            <w:r>
              <w:rPr>
                <w:rFonts w:ascii="仿宋_GB2312" w:hAnsi="仿宋_GB2312" w:cs="仿宋_GB2312" w:eastAsia="仿宋_GB2312"/>
                <w:sz w:val="24"/>
                <w:b/>
                <w:shd w:fill="FFFFFF" w:val="clear"/>
              </w:rPr>
              <w:t>一、</w:t>
            </w:r>
            <w:r>
              <w:rPr>
                <w:rFonts w:ascii="仿宋_GB2312" w:hAnsi="仿宋_GB2312" w:cs="仿宋_GB2312" w:eastAsia="仿宋_GB2312"/>
                <w:sz w:val="24"/>
                <w:b/>
                <w:shd w:fill="FFFFFF" w:val="clear"/>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379"/>
              <w:gridCol w:w="1118"/>
              <w:gridCol w:w="526"/>
              <w:gridCol w:w="531"/>
            </w:tblGrid>
            <w:tr>
              <w:tc>
                <w:tcPr>
                  <w:tcW w:type="dxa" w:w="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序号</w:t>
                  </w:r>
                </w:p>
              </w:tc>
              <w:tc>
                <w:tcPr>
                  <w:tcW w:type="dxa" w:w="1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产品名称</w:t>
                  </w:r>
                </w:p>
              </w:tc>
              <w:tc>
                <w:tcPr>
                  <w:tcW w:type="dxa" w:w="5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数量</w:t>
                  </w:r>
                </w:p>
              </w:tc>
              <w:tc>
                <w:tcPr>
                  <w:tcW w:type="dxa" w:w="5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单位</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超高温激光共聚焦显微镜</w:t>
                  </w:r>
                </w:p>
                <w:p>
                  <w:pPr>
                    <w:pStyle w:val="null3"/>
                    <w:jc w:val="center"/>
                  </w:pPr>
                  <w:r>
                    <w:rPr>
                      <w:rFonts w:ascii="仿宋_GB2312" w:hAnsi="仿宋_GB2312" w:cs="仿宋_GB2312" w:eastAsia="仿宋_GB2312"/>
                      <w:sz w:val="24"/>
                    </w:rPr>
                    <w:t>【核心产品】</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bl>
          <w:p>
            <w:pPr>
              <w:pStyle w:val="null3"/>
              <w:jc w:val="left"/>
            </w:pPr>
            <w:r>
              <w:rPr>
                <w:rFonts w:ascii="仿宋_GB2312" w:hAnsi="仿宋_GB2312" w:cs="仿宋_GB2312" w:eastAsia="仿宋_GB2312"/>
                <w:sz w:val="24"/>
                <w:b/>
              </w:rPr>
              <w:t>二、技术标准、配置要求</w:t>
            </w:r>
          </w:p>
          <w:tbl>
            <w:tblPr>
              <w:tblInd w:type="dxa" w:w="120"/>
              <w:tblBorders>
                <w:top w:val="none" w:color="000000" w:sz="4"/>
                <w:left w:val="none" w:color="000000" w:sz="4"/>
                <w:bottom w:val="none" w:color="000000" w:sz="4"/>
                <w:right w:val="none" w:color="000000" w:sz="4"/>
                <w:insideH w:val="none"/>
                <w:insideV w:val="none"/>
              </w:tblBorders>
            </w:tblPr>
            <w:tblGrid>
              <w:gridCol w:w="134"/>
              <w:gridCol w:w="148"/>
              <w:gridCol w:w="1125"/>
              <w:gridCol w:w="807"/>
              <w:gridCol w:w="170"/>
              <w:gridCol w:w="169"/>
            </w:tblGrid>
            <w:tr>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产品名称</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技术标准</w:t>
                  </w:r>
                </w:p>
              </w:tc>
              <w:tc>
                <w:tcPr>
                  <w:tcW w:type="dxa" w:w="8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配置要求</w:t>
                  </w:r>
                </w:p>
              </w:tc>
              <w:tc>
                <w:tcPr>
                  <w:tcW w:type="dxa" w:w="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数量</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备注</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超高温激光共聚焦显微镜</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1.设备名称：超高温激光共聚焦显微镜；</w:t>
                  </w:r>
                </w:p>
                <w:p>
                  <w:pPr>
                    <w:pStyle w:val="null3"/>
                    <w:jc w:val="left"/>
                  </w:pPr>
                  <w:r>
                    <w:rPr>
                      <w:rFonts w:ascii="仿宋_GB2312" w:hAnsi="仿宋_GB2312" w:cs="仿宋_GB2312" w:eastAsia="仿宋_GB2312"/>
                      <w:sz w:val="24"/>
                    </w:rPr>
                    <w:t>2.常温与高温条件下均支持激光扫描成像；</w:t>
                  </w:r>
                </w:p>
                <w:p>
                  <w:pPr>
                    <w:pStyle w:val="null3"/>
                    <w:jc w:val="left"/>
                  </w:pPr>
                  <w:r>
                    <w:rPr>
                      <w:rFonts w:ascii="仿宋_GB2312" w:hAnsi="仿宋_GB2312" w:cs="仿宋_GB2312" w:eastAsia="仿宋_GB2312"/>
                      <w:sz w:val="24"/>
                    </w:rPr>
                    <w:t>3.最高加热温度可达1800℃；</w:t>
                  </w:r>
                  <w:r>
                    <w:rPr>
                      <w:rFonts w:ascii="仿宋_GB2312" w:hAnsi="仿宋_GB2312" w:cs="仿宋_GB2312" w:eastAsia="仿宋_GB2312"/>
                      <w:sz w:val="21"/>
                      <w:b/>
                      <w:color w:val="000000"/>
                    </w:rPr>
                    <w:t>（提供佐证材料）</w:t>
                  </w:r>
                </w:p>
                <w:p>
                  <w:pPr>
                    <w:pStyle w:val="null3"/>
                    <w:jc w:val="left"/>
                  </w:pPr>
                  <w:r>
                    <w:rPr>
                      <w:rFonts w:ascii="仿宋_GB2312" w:hAnsi="仿宋_GB2312" w:cs="仿宋_GB2312" w:eastAsia="仿宋_GB2312"/>
                      <w:sz w:val="24"/>
                    </w:rPr>
                    <w:t>4.温度控制精度不低于±0.1℃；</w:t>
                  </w:r>
                  <w:r>
                    <w:rPr>
                      <w:rFonts w:ascii="仿宋_GB2312" w:hAnsi="仿宋_GB2312" w:cs="仿宋_GB2312" w:eastAsia="仿宋_GB2312"/>
                      <w:sz w:val="21"/>
                      <w:b/>
                      <w:color w:val="000000"/>
                    </w:rPr>
                    <w:t>（提供佐证材料）</w:t>
                  </w:r>
                </w:p>
                <w:p>
                  <w:pPr>
                    <w:pStyle w:val="null3"/>
                    <w:jc w:val="left"/>
                  </w:pPr>
                  <w:r>
                    <w:rPr>
                      <w:rFonts w:ascii="仿宋_GB2312" w:hAnsi="仿宋_GB2312" w:cs="仿宋_GB2312" w:eastAsia="仿宋_GB2312"/>
                      <w:sz w:val="24"/>
                    </w:rPr>
                    <w:t>5.最大加热速率可达1000℃/min；</w:t>
                  </w:r>
                  <w:r>
                    <w:rPr>
                      <w:rFonts w:ascii="仿宋_GB2312" w:hAnsi="仿宋_GB2312" w:cs="仿宋_GB2312" w:eastAsia="仿宋_GB2312"/>
                      <w:sz w:val="21"/>
                      <w:b/>
                      <w:color w:val="000000"/>
                    </w:rPr>
                    <w:t>（提供佐证材料）</w:t>
                  </w:r>
                </w:p>
                <w:p>
                  <w:pPr>
                    <w:pStyle w:val="null3"/>
                    <w:jc w:val="left"/>
                  </w:pPr>
                  <w:r>
                    <w:rPr>
                      <w:rFonts w:ascii="仿宋_GB2312" w:hAnsi="仿宋_GB2312" w:cs="仿宋_GB2312" w:eastAsia="仿宋_GB2312"/>
                      <w:sz w:val="24"/>
                    </w:rPr>
                    <w:t>6.最大冷却速率可达-6000℃/min（He气助冷，高温段）；</w:t>
                  </w:r>
                  <w:r>
                    <w:rPr>
                      <w:rFonts w:ascii="仿宋_GB2312" w:hAnsi="仿宋_GB2312" w:cs="仿宋_GB2312" w:eastAsia="仿宋_GB2312"/>
                      <w:sz w:val="21"/>
                      <w:b/>
                      <w:color w:val="000000"/>
                    </w:rPr>
                    <w:t>（提供佐证材料）</w:t>
                  </w:r>
                </w:p>
                <w:p>
                  <w:pPr>
                    <w:pStyle w:val="null3"/>
                    <w:jc w:val="left"/>
                  </w:pPr>
                  <w:r>
                    <w:rPr>
                      <w:rFonts w:ascii="仿宋_GB2312" w:hAnsi="仿宋_GB2312" w:cs="仿宋_GB2312" w:eastAsia="仿宋_GB2312"/>
                      <w:sz w:val="24"/>
                    </w:rPr>
                    <w:t>7. 扫描速度不低于15帧/秒；</w:t>
                  </w:r>
                  <w:r>
                    <w:br/>
                  </w:r>
                  <w:r>
                    <w:rPr>
                      <w:rFonts w:ascii="仿宋_GB2312" w:hAnsi="仿宋_GB2312" w:cs="仿宋_GB2312" w:eastAsia="仿宋_GB2312"/>
                      <w:sz w:val="24"/>
                    </w:rPr>
                    <w:t>8. 配置高温长工作距离物镜2×、5×、10×、20×、50×及常温物镜10×、20×、50×、100×；</w:t>
                  </w:r>
                </w:p>
                <w:p>
                  <w:pPr>
                    <w:pStyle w:val="null3"/>
                    <w:jc w:val="left"/>
                  </w:pPr>
                  <w:r>
                    <w:rPr>
                      <w:rFonts w:ascii="仿宋_GB2312" w:hAnsi="仿宋_GB2312" w:cs="仿宋_GB2312" w:eastAsia="仿宋_GB2312"/>
                      <w:sz w:val="24"/>
                    </w:rPr>
                    <w:t>9.支持固体、液体及粉状试样测试；</w:t>
                  </w:r>
                </w:p>
                <w:p>
                  <w:pPr>
                    <w:pStyle w:val="null3"/>
                    <w:jc w:val="left"/>
                  </w:pPr>
                  <w:r>
                    <w:rPr>
                      <w:rFonts w:ascii="仿宋_GB2312" w:hAnsi="仿宋_GB2312" w:cs="仿宋_GB2312" w:eastAsia="仿宋_GB2312"/>
                      <w:sz w:val="24"/>
                    </w:rPr>
                    <w:t>10.具备大气、真空、惰性气氛、还原性气氛等工作环境；</w:t>
                  </w:r>
                </w:p>
                <w:p>
                  <w:pPr>
                    <w:pStyle w:val="null3"/>
                    <w:jc w:val="left"/>
                  </w:pPr>
                  <w:r>
                    <w:rPr>
                      <w:rFonts w:ascii="仿宋_GB2312" w:hAnsi="仿宋_GB2312" w:cs="仿宋_GB2312" w:eastAsia="仿宋_GB2312"/>
                      <w:sz w:val="24"/>
                    </w:rPr>
                    <w:t>11.具备吹扫观察窗及安全联锁功能，炉体温度超过50℃时系统自动停止工作。</w:t>
                  </w:r>
                </w:p>
                <w:p>
                  <w:pPr>
                    <w:pStyle w:val="null3"/>
                    <w:jc w:val="left"/>
                  </w:pPr>
                  <w:r>
                    <w:rPr>
                      <w:rFonts w:ascii="仿宋_GB2312" w:hAnsi="仿宋_GB2312" w:cs="仿宋_GB2312" w:eastAsia="仿宋_GB2312"/>
                      <w:sz w:val="24"/>
                    </w:rPr>
                    <w:t>12.固定式工作站：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1）显卡：</w:t>
                  </w:r>
                  <w:r>
                    <w:rPr>
                      <w:rFonts w:ascii="仿宋_GB2312" w:hAnsi="仿宋_GB2312" w:cs="仿宋_GB2312" w:eastAsia="仿宋_GB2312"/>
                      <w:sz w:val="24"/>
                    </w:rPr>
                    <w:t>配置显卡（</w:t>
                  </w:r>
                  <w:r>
                    <w:rPr>
                      <w:rFonts w:ascii="仿宋_GB2312" w:hAnsi="仿宋_GB2312" w:cs="仿宋_GB2312" w:eastAsia="仿宋_GB2312"/>
                      <w:sz w:val="24"/>
                    </w:rPr>
                    <w:t>GPU）1张，显存不低于24 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2）操作系统：正版Linux系统；</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3）CPU：20核40线程，支持双显卡运行；</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4）主板芯片：</w:t>
                  </w:r>
                  <w:r>
                    <w:rPr>
                      <w:rFonts w:ascii="仿宋_GB2312" w:hAnsi="仿宋_GB2312" w:cs="仿宋_GB2312" w:eastAsia="仿宋_GB2312"/>
                      <w:sz w:val="24"/>
                    </w:rPr>
                    <w:t>满足</w:t>
                  </w:r>
                  <w:r>
                    <w:rPr>
                      <w:rFonts w:ascii="仿宋_GB2312" w:hAnsi="仿宋_GB2312" w:cs="仿宋_GB2312" w:eastAsia="仿宋_GB2312"/>
                      <w:sz w:val="24"/>
                    </w:rPr>
                    <w:t>CPU和显卡的正常运行，内存插槽不低于8个，显卡槽不低于2个，网卡槽1个</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5）内存：≥64G（32 G×2)，</w:t>
                  </w:r>
                  <w:r>
                    <w:rPr>
                      <w:rFonts w:ascii="仿宋_GB2312" w:hAnsi="仿宋_GB2312" w:cs="仿宋_GB2312" w:eastAsia="仿宋_GB2312"/>
                      <w:sz w:val="24"/>
                    </w:rPr>
                    <w:t>频率不低于</w:t>
                  </w:r>
                  <w:r>
                    <w:rPr>
                      <w:rFonts w:ascii="仿宋_GB2312" w:hAnsi="仿宋_GB2312" w:cs="仿宋_GB2312" w:eastAsia="仿宋_GB2312"/>
                      <w:sz w:val="24"/>
                    </w:rPr>
                    <w:t>6000 MHz</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6）硬盘：≥3TB（固态1 TB，机械盘≥2 TB）；</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7）服务机箱：</w:t>
                  </w:r>
                  <w:r>
                    <w:rPr>
                      <w:rFonts w:ascii="仿宋_GB2312" w:hAnsi="仿宋_GB2312" w:cs="仿宋_GB2312" w:eastAsia="仿宋_GB2312"/>
                      <w:sz w:val="24"/>
                    </w:rPr>
                    <w:t>机箱必须符合主板和显卡装机要求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8）电源：满足以上所有配置</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9）键盘鼠标：有线键鼠套餐办公电脑专用键鼠；</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10）显示器：≥27英寸显示面板，刷新率≥100HZ，分辨率2560×1440像素；</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11）CPU风冷散热器：360风冷散热。</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12）移动存储硬盘：2TB。</w:t>
                  </w:r>
                </w:p>
                <w:p>
                  <w:pPr>
                    <w:pStyle w:val="null3"/>
                    <w:jc w:val="left"/>
                  </w:pPr>
                  <w:r>
                    <w:rPr>
                      <w:rFonts w:ascii="仿宋_GB2312" w:hAnsi="仿宋_GB2312" w:cs="仿宋_GB2312" w:eastAsia="仿宋_GB2312"/>
                      <w:sz w:val="24"/>
                    </w:rPr>
                    <w:t>13.移动数据处理终端：</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1）显卡：集成显卡；</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2）操作系统：正版windows11系统，配正版office办公软件；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3）CPU：≥</w:t>
                  </w:r>
                  <w:r>
                    <w:rPr>
                      <w:rFonts w:ascii="仿宋_GB2312" w:hAnsi="仿宋_GB2312" w:cs="仿宋_GB2312" w:eastAsia="仿宋_GB2312"/>
                      <w:sz w:val="24"/>
                    </w:rPr>
                    <w:t>16核，主频</w:t>
                  </w:r>
                  <w:r>
                    <w:rPr>
                      <w:rFonts w:ascii="仿宋_GB2312" w:hAnsi="仿宋_GB2312" w:cs="仿宋_GB2312" w:eastAsia="仿宋_GB2312"/>
                      <w:sz w:val="24"/>
                    </w:rPr>
                    <w:t>≥</w:t>
                  </w:r>
                  <w:r>
                    <w:rPr>
                      <w:rFonts w:ascii="仿宋_GB2312" w:hAnsi="仿宋_GB2312" w:cs="仿宋_GB2312" w:eastAsia="仿宋_GB2312"/>
                      <w:sz w:val="24"/>
                    </w:rPr>
                    <w:t>3.2GHz</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4）内存：≥32G（16G×2）；</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5）屏幕：120Hz，不小于16英寸，分辨率不小于2560*1600</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6）网络传输：支持wifi-6，蓝牙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7）键盘：全尺寸键盘</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8）电池容量：≥64Wh</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9）硬盘：≥1TB。</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 激光扫描共聚焦显微镜主机</w:t>
                  </w:r>
                  <w:r>
                    <w:rPr>
                      <w:rFonts w:ascii="仿宋_GB2312" w:hAnsi="仿宋_GB2312" w:cs="仿宋_GB2312" w:eastAsia="仿宋_GB2312"/>
                      <w:sz w:val="24"/>
                    </w:rPr>
                    <w:t>（双光路系统，含</w:t>
                  </w:r>
                  <w:r>
                    <w:rPr>
                      <w:rFonts w:ascii="仿宋_GB2312" w:hAnsi="仿宋_GB2312" w:cs="仿宋_GB2312" w:eastAsia="仿宋_GB2312"/>
                      <w:sz w:val="24"/>
                    </w:rPr>
                    <w:t>Z轴控制器、电动工作台）；</w:t>
                  </w:r>
                </w:p>
                <w:p>
                  <w:pPr>
                    <w:pStyle w:val="null3"/>
                    <w:jc w:val="left"/>
                  </w:pPr>
                  <w:r>
                    <w:rPr>
                      <w:rFonts w:ascii="仿宋_GB2312" w:hAnsi="仿宋_GB2312" w:cs="仿宋_GB2312" w:eastAsia="仿宋_GB2312"/>
                      <w:sz w:val="24"/>
                    </w:rPr>
                    <w:t>2. 超高温加热炉；</w:t>
                  </w:r>
                </w:p>
                <w:p>
                  <w:pPr>
                    <w:pStyle w:val="null3"/>
                    <w:jc w:val="left"/>
                  </w:pPr>
                  <w:r>
                    <w:rPr>
                      <w:rFonts w:ascii="仿宋_GB2312" w:hAnsi="仿宋_GB2312" w:cs="仿宋_GB2312" w:eastAsia="仿宋_GB2312"/>
                      <w:sz w:val="24"/>
                    </w:rPr>
                    <w:t>3. 常温图像分析软件及高温程序控制软件；</w:t>
                  </w:r>
                </w:p>
                <w:p>
                  <w:pPr>
                    <w:pStyle w:val="null3"/>
                    <w:jc w:val="left"/>
                  </w:pPr>
                  <w:r>
                    <w:rPr>
                      <w:rFonts w:ascii="仿宋_GB2312" w:hAnsi="仿宋_GB2312" w:cs="仿宋_GB2312" w:eastAsia="仿宋_GB2312"/>
                      <w:sz w:val="24"/>
                    </w:rPr>
                    <w:t>4. 真空单元（带自动阀门油封旋转泵）；</w:t>
                  </w:r>
                </w:p>
                <w:p>
                  <w:pPr>
                    <w:pStyle w:val="null3"/>
                    <w:jc w:val="left"/>
                  </w:pPr>
                  <w:r>
                    <w:rPr>
                      <w:rFonts w:ascii="仿宋_GB2312" w:hAnsi="仿宋_GB2312" w:cs="仿宋_GB2312" w:eastAsia="仿宋_GB2312"/>
                      <w:sz w:val="24"/>
                    </w:rPr>
                    <w:t>5. 气体净化装置（高纯氩气、氦气净化过滤单元）；</w:t>
                  </w:r>
                </w:p>
                <w:p>
                  <w:pPr>
                    <w:pStyle w:val="null3"/>
                    <w:jc w:val="left"/>
                  </w:pPr>
                  <w:r>
                    <w:rPr>
                      <w:rFonts w:ascii="仿宋_GB2312" w:hAnsi="仿宋_GB2312" w:cs="仿宋_GB2312" w:eastAsia="仿宋_GB2312"/>
                      <w:sz w:val="24"/>
                    </w:rPr>
                    <w:t>6. 水冷循环器、台式隔振器、光源冷却装置</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 固定式工作站1台；</w:t>
                  </w:r>
                </w:p>
                <w:p>
                  <w:pPr>
                    <w:pStyle w:val="null3"/>
                    <w:jc w:val="left"/>
                  </w:pPr>
                  <w:r>
                    <w:rPr>
                      <w:rFonts w:ascii="仿宋_GB2312" w:hAnsi="仿宋_GB2312" w:cs="仿宋_GB2312" w:eastAsia="仿宋_GB2312"/>
                      <w:sz w:val="24"/>
                    </w:rPr>
                    <w:t>8. 移动数据处理终端1台；</w:t>
                  </w:r>
                </w:p>
                <w:p>
                  <w:pPr>
                    <w:pStyle w:val="null3"/>
                    <w:jc w:val="left"/>
                  </w:pPr>
                  <w:r>
                    <w:rPr>
                      <w:rFonts w:ascii="仿宋_GB2312" w:hAnsi="仿宋_GB2312" w:cs="仿宋_GB2312" w:eastAsia="仿宋_GB2312"/>
                      <w:sz w:val="24"/>
                    </w:rPr>
                    <w:t>9. 提供设备正常运行1年所需备件及消耗件。</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进口设备</w:t>
                  </w:r>
                </w:p>
              </w:tc>
            </w:tr>
          </w:tbl>
          <w:p>
            <w:pPr>
              <w:pStyle w:val="null3"/>
            </w:pPr>
            <w:r>
              <w:rPr>
                <w:rFonts w:ascii="仿宋_GB2312" w:hAnsi="仿宋_GB2312" w:cs="仿宋_GB2312" w:eastAsia="仿宋_GB2312"/>
                <w:sz w:val="24"/>
                <w:b/>
              </w:rPr>
              <w:t>备注：</w:t>
            </w:r>
          </w:p>
          <w:p>
            <w:pPr>
              <w:pStyle w:val="null3"/>
            </w:pPr>
            <w:r>
              <w:rPr>
                <w:rFonts w:ascii="仿宋_GB2312" w:hAnsi="仿宋_GB2312" w:cs="仿宋_GB2312" w:eastAsia="仿宋_GB2312"/>
                <w:sz w:val="24"/>
                <w:b/>
              </w:rPr>
              <w:t>1、</w:t>
            </w:r>
            <w:r>
              <w:rPr>
                <w:rFonts w:ascii="仿宋_GB2312" w:hAnsi="仿宋_GB2312" w:cs="仿宋_GB2312" w:eastAsia="仿宋_GB2312"/>
                <w:sz w:val="24"/>
                <w:b/>
                <w:color w:val="000000"/>
              </w:rPr>
              <w:t>所有</w:t>
            </w:r>
            <w:r>
              <w:rPr>
                <w:rFonts w:ascii="仿宋_GB2312" w:hAnsi="仿宋_GB2312" w:cs="仿宋_GB2312" w:eastAsia="仿宋_GB2312"/>
                <w:sz w:val="24"/>
                <w:b/>
                <w:color w:val="000000"/>
              </w:rPr>
              <w:t>技术参数与性能指标</w:t>
            </w:r>
            <w:r>
              <w:rPr>
                <w:rFonts w:ascii="仿宋_GB2312" w:hAnsi="仿宋_GB2312" w:cs="仿宋_GB2312" w:eastAsia="仿宋_GB2312"/>
                <w:sz w:val="24"/>
                <w:b/>
                <w:color w:val="000000"/>
              </w:rPr>
              <w:t>不允许负偏离，任意一项负偏离按无效文件处理。需提供佐证材料的</w:t>
            </w:r>
            <w:r>
              <w:rPr>
                <w:rFonts w:ascii="仿宋_GB2312" w:hAnsi="仿宋_GB2312" w:cs="仿宋_GB2312" w:eastAsia="仿宋_GB2312"/>
                <w:sz w:val="24"/>
                <w:b/>
                <w:color w:val="000000"/>
              </w:rPr>
              <w:t>技术参数与性能指标，</w:t>
            </w:r>
            <w:r>
              <w:rPr>
                <w:rFonts w:ascii="仿宋_GB2312" w:hAnsi="仿宋_GB2312" w:cs="仿宋_GB2312" w:eastAsia="仿宋_GB2312"/>
                <w:sz w:val="24"/>
                <w:b/>
                <w:color w:val="000000"/>
              </w:rPr>
              <w:t>佐证材料包括但不限于产品彩页、厂家盖章出具的技术白皮书、官网截图等（技术要求中有佐证要求的以技术要求为准）。未提供或提供的佐证材料低于文件规定的相应技术参数时视为负偏离。</w:t>
            </w:r>
          </w:p>
          <w:p>
            <w:pPr>
              <w:pStyle w:val="null3"/>
            </w:pPr>
            <w:r>
              <w:rPr>
                <w:rFonts w:ascii="仿宋_GB2312" w:hAnsi="仿宋_GB2312" w:cs="仿宋_GB2312" w:eastAsia="仿宋_GB2312"/>
                <w:sz w:val="24"/>
                <w:b/>
              </w:rPr>
              <w:t>2、本项目采购的如有产品属于节能产品政府采购品目清单中应强制采购的产品范围，供应商应当提供国家确定的认证机构出具的、处于有效期之内的节能产品认证证书，否则作无效投标处理。（节能产品政府采购品目清单见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 180 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西安建筑科技大学工科附体楼226</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国产设备：签订合同后15日内，乙方提供经甲方认可的合同金额100%的预付款保函或双方认可的其他担保措施，支付合同金额的100%。进口设备：合同生效后，由甲方通过双方认可的进口业务代理公司向中标人指定国外设备供应商开出100%信用证，其中80%货款凭外贸合同约定的发货单据及西安建筑科技大学出具的开箱记录单原件，经安装调试后解付，剩余20%货款在设备验收合格后凭甲方签署的验收报告原件解付，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1、整机质保3年，软件、数据库终身免费升级；供应商需提供安装调试、操作培训和售后维护服务，并保证备品备件及时供应。 2、售后服务响应时间（质保期内）：即时响应（包括电话响应）；电话响应无法解决 24 小时内到达现场。修复时间 48 小时内解决；如在 48 小时内无法修复，则提供部件冗余服务或采取应急措施，提供相同产品或不低于故障产品规格档次的备用产品供采购人使用，以确保货物的正常使用。 3、售后服务要求： 3.1 质保期内，因项目产品质量问题所产生的一切费用（包括但不限于维修费、零部件更换费、人工费、差旅费等）由投标人全额承担 ； 3.2 投标人应提供每半年不少于1次的免费预防性维护服务，对加热炉、光学系统、激光器等核心部件进行检测、清洁和校准，并出具书面报告； 3.3 投标人承诺提供终身维修服务，维修只收取零配件成本费用，免收上门服务费和人工费。投标人须在投标文件中提供质保期后主要零配件（含加热炉组件、物镜、激光器等关键部件）的价格清单及折扣承诺； 3.4 投标人应在投标文件中提供设备正常运行所必需的易耗品、消耗材料清单，并承诺在质保期后按不高于市场同期优惠价格供应； 3.5 投标人须保证在设备停产后不少于10年内，持续供应设备维修所需的原厂或同等质量零配件。 4、培训服务： 4.1 设备安装调试完成后，投标人须在用户现场提供不少于3个工作日的免费系统技术培训，以参训人员能够独立操作为目标 。 4.2 投标人须免费提供全套培训教材，包括但不限于培训课件、操作手册（图文版）、快速操作指南、常见问题解答集（FAQ）等。 4.3 质保期内，投标人须根据用户需求，每年提供不少于1次的现场培训或应用讲座，重点围绕用户实际研究方向和实验需求进行定制化指导。</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成交）结果发布后，中标（成交）供应商在2个工作日内向采购代理机构提供一正一副（和上传文件保持一致的）、电子版壹份（U盘壹份注明单位名称）,纸质投标（响应）文件用于备案及档案保存。纸质谈判响应文件正副本分别胶装（纸质谈判响应文件建议采用双面打印）。 2、保证金的退还：自成交通知书发出之日起5个工作日内退还未成交供应商的谈判保证金,自采购合同签订之日起5个工作日内退还成交供应商的谈判保证金。 3、采购人应按照采购文件和成交供应商响应文件，在成交通知书发出之日起25日内签订合同。 4、对本国产品的支持政策：政府采购活动中既有本国产品又有非本国产品参与竞争的，依法对本国产品给予价格评审优惠，对本国产品的报价给予20%的价格扣除，用扣除后的价格参与评审。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5、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6、本项目谈判报价包括设备配套固定件、安装与调试。 7、供应商所投产品为成熟商业化产品，不接受处于科研阶段或需定制的产品。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5月至今已缴纳至少一个月的依法缴纳税款的相关凭据（时间以税款所属日期为准），凭据应有税务机关或代收机关的公章或业务专用章。依法免税或无须缴纳税款的投标人，应提供相关证明文件。 ③社会保障资金缴存证明：提供2025年5月至今已缴存的至少一个月的社会保障资金缴存单据或社保机构开具的社会保险参保缴费情况证明，依法不需要缴纳社会保障资金的单位应提供相关证明材料。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供应商承诺书.docx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所投进口产品的完整授权链证明材料</w:t>
            </w:r>
          </w:p>
        </w:tc>
        <w:tc>
          <w:tcPr>
            <w:tcW w:type="dxa" w:w="3322"/>
          </w:tcPr>
          <w:p>
            <w:pPr>
              <w:pStyle w:val="null3"/>
            </w:pPr>
            <w:r>
              <w:rPr>
                <w:rFonts w:ascii="仿宋_GB2312" w:hAnsi="仿宋_GB2312" w:cs="仿宋_GB2312" w:eastAsia="仿宋_GB2312"/>
              </w:rPr>
              <w:t>所投产品如为进口产品，提供所投进口产品的完整授权链证明材料。</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分项报价表.docx 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有下列情形之一的，应在符合性审查时按照无效响应处理： (1)响应文件未按照采购文件规定要求签署、盖章； (2)不满足本谈判文件中“交货时间、交货地点、采购资金的支付方式及约定、质量保修范围和保修期”的实质性条款要求； (3)谈判有效期不足或无有效期； (4)报价超过谈判文件中规定的最高限价； (5)保证金交纳不符合谈判文件要求； (6)未提供或未填写产品使用寿命承诺函； (7)法律、法规和谈判文件规定的其他无效情形。</w:t>
            </w:r>
          </w:p>
        </w:tc>
        <w:tc>
          <w:tcPr>
            <w:tcW w:type="dxa" w:w="1661"/>
          </w:tcPr>
          <w:p>
            <w:pPr>
              <w:pStyle w:val="null3"/>
            </w:pPr>
            <w:r>
              <w:rPr>
                <w:rFonts w:ascii="仿宋_GB2312" w:hAnsi="仿宋_GB2312" w:cs="仿宋_GB2312" w:eastAsia="仿宋_GB2312"/>
              </w:rPr>
              <w:t>关于符合本国产品标准的声明函.docx 中小企业声明函.docx 保证金交纳凭证保函.docx 供应商承诺书.docx 技术指标偏差表.docx 商务条款响应说明.docx 响应文件封面 分项报价表.docx 附件：节能产品政府采购品目清单.docx 残疾人福利性单位声明函 标的清单 响应报价表.docx 谈判响应方案说明.docx 响应函 监狱企业的证明文件 供应商资格条件证明文件.docx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910"/>
          </w:tcPr>
          <w:p>
            <w:pPr>
              <w:pStyle w:val="null3"/>
            </w:pPr>
            <w:r>
              <w:rPr>
                <w:rFonts w:ascii="仿宋_GB2312" w:hAnsi="仿宋_GB2312" w:cs="仿宋_GB2312" w:eastAsia="仿宋_GB2312"/>
              </w:rPr>
              <w:t>中小企业声明函.docx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关于符合本国产品标准的声明函.docx 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详见附件：谈判响应方案说明.docx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详见附件：保证金交纳凭证保函.docx</w:t>
      </w:r>
    </w:p>
    <w:p>
      <w:pPr>
        <w:pStyle w:val="null3"/>
        <w:ind w:firstLine="960"/>
      </w:pPr>
      <w:r>
        <w:rPr>
          <w:rFonts w:ascii="仿宋_GB2312" w:hAnsi="仿宋_GB2312" w:cs="仿宋_GB2312" w:eastAsia="仿宋_GB2312"/>
        </w:rPr>
        <w:t>详见附件：附件：节能产品政府采购品目清单.docx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