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版本号：XDZ2026-142-N-2420260513001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五星街道办事处2026年廉政灶服务外包项目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XDZ2026-142-N-24</w:t>
      </w:r>
      <w:r>
        <w:br/>
      </w:r>
      <w:r>
        <w:br/>
      </w:r>
      <w:r>
        <w:br/>
      </w:r>
    </w:p>
    <w:p>
      <w:pPr>
        <w:pStyle w:val="null3"/>
        <w:jc w:val="center"/>
        <w:outlineLvl w:val="2"/>
      </w:pPr>
      <w:r>
        <w:rPr>
          <w:rFonts w:ascii="仿宋_GB2312" w:hAnsi="仿宋_GB2312" w:cs="仿宋_GB2312" w:eastAsia="仿宋_GB2312"/>
          <w:sz w:val="28"/>
          <w:b/>
        </w:rPr>
        <w:t>西安市长安区五星街道办事处</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西安市长安区五星街道办事处</w:t>
      </w:r>
      <w:r>
        <w:rPr>
          <w:rFonts w:ascii="仿宋_GB2312" w:hAnsi="仿宋_GB2312" w:cs="仿宋_GB2312" w:eastAsia="仿宋_GB2312"/>
        </w:rPr>
        <w:t>委托，拟对</w:t>
      </w:r>
      <w:r>
        <w:rPr>
          <w:rFonts w:ascii="仿宋_GB2312" w:hAnsi="仿宋_GB2312" w:cs="仿宋_GB2312" w:eastAsia="仿宋_GB2312"/>
        </w:rPr>
        <w:t>五星街道办事处2026年廉政灶服务外包项目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XDZ2026-142-N-24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五星街道办事处2026年廉政灶服务外包项目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保障我单位廉政灶全年合同包含或其它食材物资（包含米、面、油、蔬菜、肉蛋奶、调味料等）的供应。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采购包1（五星街道办事处2026年廉政灶服务外包项目）：属于专门面向中小企业采购。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委托书：法定代表人参加投标的，须出示身份证复印件；法定代表人授权他人参加投标的，须提供法定代表人授权委托书及被授权人身份证复印件，被授权人参与投标需提供投标截止时间前三个月的本单位社保证明（不含当月）;</w:t>
      </w:r>
    </w:p>
    <w:p>
      <w:pPr>
        <w:pStyle w:val="null3"/>
      </w:pPr>
      <w:r>
        <w:rPr>
          <w:rFonts w:ascii="仿宋_GB2312" w:hAnsi="仿宋_GB2312" w:cs="仿宋_GB2312" w:eastAsia="仿宋_GB2312"/>
        </w:rPr>
        <w:t>3、信用信誉（供应商可不提供，以现场查询结果为准）：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4、资质要求：供应商须提供合法有效的食品经营许可证；</w:t>
      </w:r>
    </w:p>
    <w:p>
      <w:pPr>
        <w:pStyle w:val="null3"/>
      </w:pPr>
      <w:r>
        <w:rPr>
          <w:rFonts w:ascii="仿宋_GB2312" w:hAnsi="仿宋_GB2312" w:cs="仿宋_GB2312" w:eastAsia="仿宋_GB2312"/>
        </w:rPr>
        <w:t>5、控股管理关系：本项目不接受联合体磋商，单位负责人为同一人或者存在直接控股、管理关系的不同供应商，不得参加同一合同项下的政府采购活动。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西安市长安区五星街道办事处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西安市长安区五星街道进五路1号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029-85860304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中标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西安市长安区五星街道办事处</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西安市长安区五星街道办事处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西安市长安区五星街道办事处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保障我单位廉政灶全年合同包含或其它食材物资（包含米、面、油、蔬菜、肉蛋奶、调味料等）的供应。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537,600.00</w:t>
      </w:r>
    </w:p>
    <w:p>
      <w:pPr>
        <w:pStyle w:val="null3"/>
      </w:pPr>
      <w:r>
        <w:rPr>
          <w:rFonts w:ascii="仿宋_GB2312" w:hAnsi="仿宋_GB2312" w:cs="仿宋_GB2312" w:eastAsia="仿宋_GB2312"/>
        </w:rPr>
        <w:t>采购包最高限价（元）: 537,600.00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五星街道办事处2026年廉政灶服务外包项目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标的名称：五星街道办事处2026年廉政灶服务外包项目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一、服务要求</w:t>
            </w:r>
          </w:p>
          <w:p>
            <w:pPr>
              <w:pStyle w:val="null3"/>
              <w:jc w:val="both"/>
            </w:pPr>
            <w:r>
              <w:rPr>
                <w:rFonts w:ascii="仿宋_GB2312" w:hAnsi="仿宋_GB2312" w:cs="仿宋_GB2312" w:eastAsia="仿宋_GB2312"/>
                <w:sz w:val="24"/>
              </w:rPr>
              <w:t>（一）食材采购费用</w:t>
            </w:r>
          </w:p>
          <w:p>
            <w:pPr>
              <w:pStyle w:val="null3"/>
              <w:ind w:firstLine="480"/>
              <w:jc w:val="both"/>
            </w:pPr>
            <w:r>
              <w:rPr>
                <w:rFonts w:ascii="仿宋_GB2312" w:hAnsi="仿宋_GB2312" w:cs="仿宋_GB2312" w:eastAsia="仿宋_GB2312"/>
                <w:sz w:val="24"/>
              </w:rPr>
              <w:t>1、采购责任单位需保障我单位廉政灶全年合同包含或其它食材物资（包含米、面、油、蔬菜、肉蛋奶、调味料等）的供应。</w:t>
            </w:r>
          </w:p>
          <w:p>
            <w:pPr>
              <w:pStyle w:val="null3"/>
              <w:ind w:firstLine="480"/>
              <w:jc w:val="both"/>
            </w:pPr>
            <w:r>
              <w:rPr>
                <w:rFonts w:ascii="仿宋_GB2312" w:hAnsi="仿宋_GB2312" w:cs="仿宋_GB2312" w:eastAsia="仿宋_GB2312"/>
                <w:sz w:val="24"/>
              </w:rPr>
              <w:t>2、确保采购食材物资的新鲜、健康、质量合格。</w:t>
            </w:r>
          </w:p>
          <w:p>
            <w:pPr>
              <w:pStyle w:val="null3"/>
              <w:ind w:firstLine="480"/>
              <w:jc w:val="both"/>
            </w:pPr>
            <w:r>
              <w:rPr>
                <w:rFonts w:ascii="仿宋_GB2312" w:hAnsi="仿宋_GB2312" w:cs="仿宋_GB2312" w:eastAsia="仿宋_GB2312"/>
                <w:sz w:val="24"/>
              </w:rPr>
              <w:t>3、保障物资配送时效性，当天物资于每日上午9点前运达，有其他特殊情况的，需在2小时内运达。</w:t>
            </w:r>
          </w:p>
          <w:p>
            <w:pPr>
              <w:pStyle w:val="null3"/>
              <w:ind w:firstLine="480"/>
              <w:jc w:val="both"/>
            </w:pPr>
            <w:r>
              <w:rPr>
                <w:rFonts w:ascii="仿宋_GB2312" w:hAnsi="仿宋_GB2312" w:cs="仿宋_GB2312" w:eastAsia="仿宋_GB2312"/>
                <w:sz w:val="24"/>
              </w:rPr>
              <w:t>（二）廉政灶工作人员费用</w:t>
            </w:r>
          </w:p>
          <w:p>
            <w:pPr>
              <w:pStyle w:val="null3"/>
              <w:ind w:firstLine="480"/>
              <w:jc w:val="both"/>
            </w:pPr>
            <w:r>
              <w:rPr>
                <w:rFonts w:ascii="仿宋_GB2312" w:hAnsi="仿宋_GB2312" w:cs="仿宋_GB2312" w:eastAsia="仿宋_GB2312"/>
                <w:sz w:val="24"/>
              </w:rPr>
              <w:t>第三方为我单位提供劳务人员</w:t>
            </w:r>
            <w:r>
              <w:rPr>
                <w:rFonts w:ascii="仿宋_GB2312" w:hAnsi="仿宋_GB2312" w:cs="仿宋_GB2312" w:eastAsia="仿宋_GB2312"/>
                <w:sz w:val="24"/>
              </w:rPr>
              <w:t>5名，保障全年机关灶房运转，按相关法律法规提供工资、社保、保险等服务。</w:t>
            </w:r>
          </w:p>
          <w:p>
            <w:pPr>
              <w:pStyle w:val="null3"/>
              <w:ind w:firstLine="480"/>
              <w:jc w:val="both"/>
            </w:pPr>
            <w:r>
              <w:rPr>
                <w:rFonts w:ascii="仿宋_GB2312" w:hAnsi="仿宋_GB2312" w:cs="仿宋_GB2312" w:eastAsia="仿宋_GB2312"/>
                <w:sz w:val="24"/>
              </w:rPr>
              <w:t>劳务人员包含主厨</w:t>
            </w:r>
            <w:r>
              <w:rPr>
                <w:rFonts w:ascii="仿宋_GB2312" w:hAnsi="仿宋_GB2312" w:cs="仿宋_GB2312" w:eastAsia="仿宋_GB2312"/>
                <w:sz w:val="24"/>
              </w:rPr>
              <w:t>2人、帮厨3人。</w:t>
            </w:r>
          </w:p>
          <w:p>
            <w:pPr>
              <w:pStyle w:val="null3"/>
              <w:ind w:firstLine="480"/>
              <w:jc w:val="both"/>
            </w:pPr>
            <w:r>
              <w:rPr>
                <w:rFonts w:ascii="仿宋_GB2312" w:hAnsi="仿宋_GB2312" w:cs="仿宋_GB2312" w:eastAsia="仿宋_GB2312"/>
                <w:sz w:val="24"/>
              </w:rPr>
              <w:t>（三）维修清洁费用</w:t>
            </w:r>
          </w:p>
          <w:p>
            <w:pPr>
              <w:pStyle w:val="null3"/>
              <w:ind w:firstLine="480"/>
              <w:jc w:val="both"/>
            </w:pPr>
            <w:r>
              <w:rPr>
                <w:rFonts w:ascii="仿宋_GB2312" w:hAnsi="仿宋_GB2312" w:cs="仿宋_GB2312" w:eastAsia="仿宋_GB2312"/>
                <w:sz w:val="24"/>
              </w:rPr>
              <w:t>以实际需求为准，保障灶房和就餐区整洁卫生，确保灶房内设备正常运转，无安全隐患。</w:t>
            </w:r>
          </w:p>
          <w:p>
            <w:pPr>
              <w:pStyle w:val="null3"/>
              <w:jc w:val="both"/>
            </w:pPr>
            <w:r>
              <w:rPr>
                <w:rFonts w:ascii="仿宋_GB2312" w:hAnsi="仿宋_GB2312" w:cs="仿宋_GB2312" w:eastAsia="仿宋_GB2312"/>
                <w:sz w:val="24"/>
                <w:b/>
              </w:rPr>
              <w:t>二、费用支付与核算管理</w:t>
            </w:r>
          </w:p>
          <w:p>
            <w:pPr>
              <w:pStyle w:val="null3"/>
              <w:jc w:val="both"/>
            </w:pPr>
            <w:r>
              <w:rPr>
                <w:rFonts w:ascii="仿宋_GB2312" w:hAnsi="仿宋_GB2312" w:cs="仿宋_GB2312" w:eastAsia="仿宋_GB2312"/>
                <w:sz w:val="24"/>
              </w:rPr>
              <w:t>（一）费用支付申请</w:t>
            </w:r>
          </w:p>
          <w:p>
            <w:pPr>
              <w:pStyle w:val="null3"/>
              <w:ind w:firstLine="480"/>
              <w:jc w:val="both"/>
            </w:pPr>
            <w:r>
              <w:rPr>
                <w:rFonts w:ascii="仿宋_GB2312" w:hAnsi="仿宋_GB2312" w:cs="仿宋_GB2312" w:eastAsia="仿宋_GB2312"/>
                <w:sz w:val="24"/>
              </w:rPr>
              <w:t>第三方公司每月向综合办提交费用支付申请，并附上采购明细、发票等相关凭证。综合办对服务完成情况进行核实，就支付金额、验收意见等再确定。</w:t>
            </w:r>
          </w:p>
          <w:p>
            <w:pPr>
              <w:pStyle w:val="null3"/>
              <w:jc w:val="both"/>
            </w:pPr>
            <w:r>
              <w:rPr>
                <w:rFonts w:ascii="仿宋_GB2312" w:hAnsi="仿宋_GB2312" w:cs="仿宋_GB2312" w:eastAsia="仿宋_GB2312"/>
                <w:sz w:val="24"/>
              </w:rPr>
              <w:t>（二）费用支付审批</w:t>
            </w:r>
          </w:p>
          <w:p>
            <w:pPr>
              <w:pStyle w:val="null3"/>
              <w:ind w:firstLine="480"/>
              <w:jc w:val="both"/>
            </w:pPr>
            <w:r>
              <w:rPr>
                <w:rFonts w:ascii="仿宋_GB2312" w:hAnsi="仿宋_GB2312" w:cs="仿宋_GB2312" w:eastAsia="仿宋_GB2312"/>
                <w:sz w:val="24"/>
              </w:rPr>
              <w:t>费用支付审批流程为：综合办经办人签字</w:t>
            </w:r>
            <w:r>
              <w:rPr>
                <w:rFonts w:ascii="仿宋_GB2312" w:hAnsi="仿宋_GB2312" w:cs="仿宋_GB2312" w:eastAsia="仿宋_GB2312"/>
                <w:sz w:val="24"/>
              </w:rPr>
              <w:t>→综合办负责人审核→街道分管领导审批→街道主要领导审批。未经审批或审批手续不全的，不得办理支付手续。</w:t>
            </w:r>
          </w:p>
          <w:p>
            <w:pPr>
              <w:pStyle w:val="null3"/>
              <w:jc w:val="both"/>
            </w:pPr>
            <w:r>
              <w:rPr>
                <w:rFonts w:ascii="仿宋_GB2312" w:hAnsi="仿宋_GB2312" w:cs="仿宋_GB2312" w:eastAsia="仿宋_GB2312"/>
                <w:sz w:val="24"/>
              </w:rPr>
              <w:t>（三）费用支付执行</w:t>
            </w:r>
          </w:p>
          <w:p>
            <w:pPr>
              <w:pStyle w:val="null3"/>
              <w:ind w:firstLine="480"/>
              <w:jc w:val="both"/>
            </w:pPr>
            <w:r>
              <w:rPr>
                <w:rFonts w:ascii="仿宋_GB2312" w:hAnsi="仿宋_GB2312" w:cs="仿宋_GB2312" w:eastAsia="仿宋_GB2312"/>
                <w:sz w:val="24"/>
              </w:rPr>
              <w:t>按照国库集中支付制度和街道财务管理制度的规定，及时将费用支付至第三方公司的指定账户，严禁支付至个人账户或非合同约定账户。</w:t>
            </w:r>
          </w:p>
          <w:p>
            <w:pPr>
              <w:pStyle w:val="null3"/>
              <w:jc w:val="both"/>
            </w:pPr>
            <w:r>
              <w:rPr>
                <w:rFonts w:ascii="仿宋_GB2312" w:hAnsi="仿宋_GB2312" w:cs="仿宋_GB2312" w:eastAsia="仿宋_GB2312"/>
                <w:sz w:val="24"/>
                <w:b/>
              </w:rPr>
              <w:t>三、食材采购数量表</w:t>
            </w:r>
          </w:p>
          <w:tbl>
            <w:tblPr>
              <w:tblBorders>
                <w:top w:val="none" w:color="000000" w:sz="4"/>
                <w:left w:val="none" w:color="000000" w:sz="4"/>
                <w:bottom w:val="none" w:color="000000" w:sz="4"/>
                <w:right w:val="none" w:color="000000" w:sz="4"/>
                <w:insideH w:val="none"/>
                <w:insideV w:val="none"/>
              </w:tblBorders>
            </w:tblPr>
            <w:tblGrid>
              <w:gridCol w:w="309"/>
              <w:gridCol w:w="651"/>
              <w:gridCol w:w="571"/>
              <w:gridCol w:w="463"/>
              <w:gridCol w:w="53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p>
                  <w:pPr>
                    <w:pStyle w:val="null3"/>
                    <w:jc w:val="center"/>
                  </w:pPr>
                  <w:r>
                    <w:rPr>
                      <w:rFonts w:ascii="仿宋_GB2312" w:hAnsi="仿宋_GB2312" w:cs="仿宋_GB2312" w:eastAsia="仿宋_GB2312"/>
                      <w:sz w:val="24"/>
                    </w:rPr>
                    <w:t>（蔬菜）</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品牌规格</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小葱</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大葱</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红洋葱</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红椒</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红米椒</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线椒</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尖椒</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韭菜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嫩蒜苗</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蒜台</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麦芹</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西芹</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土芹菜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小青菜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菠菜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西蓝花</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西葫芦</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紫甘蓝</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大叶生菜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圆叶生菜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苦菊</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大土豆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牛心花白</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广东菜心</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广茄</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有机菜花</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豆王</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油麦菜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净笋</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荷兰豆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蜜豆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缸豆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扁豆角</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红萝卜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广白</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青萝卜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西红柿</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丝瓜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冬瓜</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香菇</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蘑菇</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金针菇</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杏鲍菇</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老豆腐</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嫩豆腐</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8"/>
              <w:gridCol w:w="544"/>
              <w:gridCol w:w="906"/>
              <w:gridCol w:w="319"/>
              <w:gridCol w:w="485"/>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p>
                  <w:pPr>
                    <w:pStyle w:val="null3"/>
                    <w:jc w:val="center"/>
                  </w:pPr>
                  <w:r>
                    <w:rPr>
                      <w:rFonts w:ascii="仿宋_GB2312" w:hAnsi="仿宋_GB2312" w:cs="仿宋_GB2312" w:eastAsia="仿宋_GB2312"/>
                      <w:sz w:val="24"/>
                    </w:rPr>
                    <w:t>（米面油）</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品牌规格</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五得利、每袋</w:t>
                  </w:r>
                  <w:r>
                    <w:rPr>
                      <w:rFonts w:ascii="仿宋_GB2312" w:hAnsi="仿宋_GB2312" w:cs="仿宋_GB2312" w:eastAsia="仿宋_GB2312"/>
                      <w:sz w:val="24"/>
                    </w:rPr>
                    <w:t>50斤</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爱菊、每桶</w:t>
                  </w:r>
                  <w:r>
                    <w:rPr>
                      <w:rFonts w:ascii="仿宋_GB2312" w:hAnsi="仿宋_GB2312" w:cs="仿宋_GB2312" w:eastAsia="仿宋_GB2312"/>
                      <w:sz w:val="24"/>
                    </w:rPr>
                    <w:t>50斤</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长粒香、每袋</w:t>
                  </w:r>
                  <w:r>
                    <w:rPr>
                      <w:rFonts w:ascii="仿宋_GB2312" w:hAnsi="仿宋_GB2312" w:cs="仿宋_GB2312" w:eastAsia="仿宋_GB2312"/>
                      <w:sz w:val="24"/>
                    </w:rPr>
                    <w:t>30斤</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355"/>
              <w:gridCol w:w="632"/>
              <w:gridCol w:w="589"/>
              <w:gridCol w:w="460"/>
              <w:gridCol w:w="503"/>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p>
                  <w:pPr>
                    <w:pStyle w:val="null3"/>
                    <w:jc w:val="center"/>
                  </w:pPr>
                  <w:r>
                    <w:rPr>
                      <w:rFonts w:ascii="仿宋_GB2312" w:hAnsi="仿宋_GB2312" w:cs="仿宋_GB2312" w:eastAsia="仿宋_GB2312"/>
                      <w:sz w:val="24"/>
                    </w:rPr>
                    <w:t>（肉蛋奶）</w:t>
                  </w:r>
                </w:p>
              </w:tc>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品牌规格</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猪蹄</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黑鱼</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鸡块</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纯奶</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1件</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酸奶</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1件</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398"/>
              <w:gridCol w:w="745"/>
              <w:gridCol w:w="499"/>
              <w:gridCol w:w="379"/>
              <w:gridCol w:w="518"/>
            </w:tblGrid>
            <w:tr>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p>
                  <w:pPr>
                    <w:pStyle w:val="null3"/>
                    <w:jc w:val="center"/>
                  </w:pPr>
                  <w:r>
                    <w:rPr>
                      <w:rFonts w:ascii="仿宋_GB2312" w:hAnsi="仿宋_GB2312" w:cs="仿宋_GB2312" w:eastAsia="仿宋_GB2312"/>
                      <w:sz w:val="24"/>
                    </w:rPr>
                    <w:t>（调料、干货）</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品牌规格</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花生米</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碱面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蒸鱼翅油</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料酒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厚道醋</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老干妈</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豆腐乳</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白醋</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大包</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辣椒段</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白糖</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十三香</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1板</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粉丝</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海鲜酱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海侯酱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蒜蓉酱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老抽</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细辣面</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安琪酵母</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胡椒粉</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木耳</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生抽</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泡姜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火锅底料</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500g</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穆堂香</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味精</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红九九</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根据技术参数与性能指标配备相应设施设备，确保项目顺利实施。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甲方在付款前，乙方应提供等额正式发票及服务验收合格确认单，甲方一次性将本月服务费以银行转账方式支付于乙方。（付款方式以此条内容为准）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法定代表人授权他人参加投标的，须提供法定代表人授权委托书及被授权人身份证复印件，被授权人参与投标需提供投标截止时间前三个月的本单位社保证明（不含当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信用信誉（供应商可不提供，以现场查询结果为准）</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（2）响应文件格式：应符合磋商文件要求； （3）报价唯一：只能有一个有效报价， 不得提交选择性报价，且报价不超过采购预算；</w:t>
            </w:r>
          </w:p>
        </w:tc>
        <w:tc>
          <w:tcPr>
            <w:tcW w:type="dxa" w:w="1661"/>
          </w:tcPr>
          <w:p>
            <w:pPr>
              <w:pStyle w:val="null3"/>
            </w:pPr>
            <w:r>
              <w:rPr>
                <w:rFonts w:ascii="仿宋_GB2312" w:hAnsi="仿宋_GB2312" w:cs="仿宋_GB2312" w:eastAsia="仿宋_GB2312"/>
              </w:rPr>
              <w:t>响应文件封面 中小企业声明函 标的清单 服务内容及服务邀请应答表.docx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业绩一览表.docx 供应商应提交的相关资格证明材料.docx 残疾人福利性单位声明函 中小企业声明函 商务应答表 标的清单 服务内容及服务邀请应答表.docx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（1）服务时间满足磋商文件要求 （2）服务地点满足磋商文件要求 （3）磋商有效期：满足磋商文件中的规定。</w:t>
            </w:r>
          </w:p>
        </w:tc>
        <w:tc>
          <w:tcPr>
            <w:tcW w:type="dxa" w:w="1661"/>
          </w:tcPr>
          <w:p>
            <w:pPr>
              <w:pStyle w:val="null3"/>
            </w:pPr>
            <w:r>
              <w:rPr>
                <w:rFonts w:ascii="仿宋_GB2312" w:hAnsi="仿宋_GB2312" w:cs="仿宋_GB2312" w:eastAsia="仿宋_GB2312"/>
              </w:rPr>
              <w:t>响应文件封面 中小企业声明函 商务应答表 标的清单 服务内容及服务邀请应答表.docx 响应函 陕西省政府采购供应商拒绝政府采购领域商业贿赂承诺书.docx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各投标人提供的食品安全管理方案（包括但不限于①食品质量控制；②食品安全；③食材的采购；④食材贮存计划⑤安全执行标准；⑥检验检查；⑦日常维护措施及责任范围方案;⑧食材管控）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各投标人针对本项目提供以两周为周期的配餐方案及就餐多样性，（包括但不限于①菜品；②主食种类；③菜品数量；④科学营养；⑤菜品质量等），按其响应程度进行综合赋分。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等详细说明；④操作规范），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根据突发情况处置，（包含但不限于：①停水、停电、停气应急预案；②食物中毒应急预案；③消防安全突发事件应急预案等），按其响应程度进行综合赋分。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根据各投标人针对本项目的管理服务措施，具有规范的管理服务流程，（包含但不限于：①内部管理架构、②工作流程、③自查制度、④激励机制、⑤信息反馈渠道、⑥服务标准；⑦餐厅环境卫生；⑧服务人员个人卫生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投标人应提供合理的价格方案，进行成本控制（包括但不限于①问题分析；②具体措施；③最终目标；④成本与餐标的匹配度）等方面，按其响应程度进行综合赋分。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各投标人在满足磋商文件要求以及本项目人员组织的基础上，制定具体的人员配备方案（包括但不限于①人员岗位职责；②人员组成；③人员管理制度；④相关奖惩措施；⑤人员的从业资格证、健康证等证明材料）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针对本项目服务制定具体的服务承诺（包括但不限于①服务的响应时间；②所提供服务的重点及难点解决措施；③安全质量承诺等），按其响应程度进行综合赋分。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投标人提供自2023年4月1日以来（以合同签订时间为准）类似项目业绩，每提供1份合同得2分，最高得10分。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价格分统一采用低价优先法计算，即满足磋商文件要求且价格最低的报价为磋商基准价，其价格分为满分。其他响应单位的价格分统一按照下列公式计算： 磋商报价得分= （评标基准价/磋商报价）×10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