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9C2230">
      <w:pPr>
        <w:bidi w:val="0"/>
        <w:spacing w:line="360" w:lineRule="auto"/>
        <w:jc w:val="center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采购需求</w:t>
      </w:r>
      <w:bookmarkStart w:id="2" w:name="_GoBack"/>
      <w:bookmarkEnd w:id="2"/>
    </w:p>
    <w:p w14:paraId="6C103715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一、主要目标</w:t>
      </w:r>
    </w:p>
    <w:p w14:paraId="46ED1AAF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承担陕西省交通运行监测调度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平台</w:t>
      </w:r>
      <w:r>
        <w:rPr>
          <w:rFonts w:hint="eastAsia" w:ascii="仿宋" w:hAnsi="仿宋" w:eastAsia="仿宋" w:cs="仿宋"/>
          <w:sz w:val="24"/>
          <w:szCs w:val="24"/>
        </w:rPr>
        <w:t>运维服务。确保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省交通监测调度平台</w:t>
      </w:r>
      <w:r>
        <w:rPr>
          <w:rFonts w:hint="eastAsia" w:ascii="仿宋" w:hAnsi="仿宋" w:eastAsia="仿宋" w:cs="仿宋"/>
          <w:sz w:val="24"/>
          <w:szCs w:val="24"/>
        </w:rPr>
        <w:t>稳定、可靠、持续运行，支撑全省交通运行监测与应急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通信</w:t>
      </w:r>
      <w:r>
        <w:rPr>
          <w:rFonts w:hint="eastAsia" w:ascii="仿宋" w:hAnsi="仿宋" w:eastAsia="仿宋" w:cs="仿宋"/>
          <w:sz w:val="24"/>
          <w:szCs w:val="24"/>
        </w:rPr>
        <w:t>调度工作。</w:t>
      </w:r>
    </w:p>
    <w:p w14:paraId="7568F71C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二、安全保密</w:t>
      </w:r>
    </w:p>
    <w:p w14:paraId="53716686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1.增强人员安全意识，严格按照相关规定流程操作。</w:t>
      </w:r>
    </w:p>
    <w:p w14:paraId="5AAC1AD8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2.签订《省交通监测调度平台维护保密协议》，确保信息安全。</w:t>
      </w:r>
    </w:p>
    <w:p w14:paraId="58F8D4C5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三、</w:t>
      </w:r>
      <w:r>
        <w:rPr>
          <w:rFonts w:hint="eastAsia" w:ascii="仿宋" w:hAnsi="仿宋" w:eastAsia="仿宋" w:cs="仿宋"/>
          <w:sz w:val="24"/>
          <w:szCs w:val="24"/>
        </w:rPr>
        <w:t>省交通监测调度平台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维护</w:t>
      </w:r>
    </w:p>
    <w:p w14:paraId="4E1A6F2E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1.主要目标</w:t>
      </w:r>
    </w:p>
    <w:p w14:paraId="7C6D94A1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承担陕西省交通运行监测调度平台运维服务，通过持续优化完善系统功能，确保平台中数据展示、公路运行管理、道路运输运行管理、水路运行管理、应急指挥、交通安全生产综合监管、统计分析等子系统，以及历年运维中新增功能、电子地图、远程桌面、接口、中间件等稳定、可靠、持续运行，支撑全省交通运行监测调度工作。</w:t>
      </w:r>
    </w:p>
    <w:p w14:paraId="54A7C1F6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2.维护清单</w:t>
      </w:r>
    </w:p>
    <w:p w14:paraId="07732AF4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</w:rPr>
      </w:pPr>
      <w:bookmarkStart w:id="0" w:name="_Hlk206504766"/>
      <w:bookmarkStart w:id="1" w:name="_Hlk206504827"/>
      <w:r>
        <w:rPr>
          <w:rFonts w:hint="eastAsia" w:ascii="仿宋" w:hAnsi="仿宋" w:eastAsia="仿宋" w:cs="仿宋"/>
          <w:sz w:val="24"/>
          <w:szCs w:val="24"/>
        </w:rPr>
        <w:t>（1）软件维护清单</w:t>
      </w:r>
    </w:p>
    <w:bookmarkEnd w:id="0"/>
    <w:bookmarkEnd w:id="1"/>
    <w:tbl>
      <w:tblPr>
        <w:tblStyle w:val="2"/>
        <w:tblW w:w="8278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"/>
        <w:gridCol w:w="1990"/>
        <w:gridCol w:w="4301"/>
        <w:gridCol w:w="1375"/>
      </w:tblGrid>
      <w:tr w14:paraId="6F3F47E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7A0EF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eastAsia="zh-CN"/>
              </w:rPr>
              <w:t>序号</w:t>
            </w:r>
          </w:p>
        </w:tc>
        <w:tc>
          <w:tcPr>
            <w:tcW w:w="19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231DC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eastAsia="zh-CN"/>
              </w:rPr>
              <w:t>子系统</w:t>
            </w:r>
          </w:p>
        </w:tc>
        <w:tc>
          <w:tcPr>
            <w:tcW w:w="4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33C807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eastAsia="zh-CN"/>
              </w:rPr>
              <w:t>功能模块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B4CDE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2"/>
                <w:lang w:eastAsia="zh-CN"/>
              </w:rPr>
              <w:t>数量（套）</w:t>
            </w:r>
          </w:p>
        </w:tc>
      </w:tr>
      <w:tr w14:paraId="1016951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7E8C04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F51FC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应急指挥系统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76B73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应急值守、指挥调度、资源管理、信息发布、应急评估、培训演练。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B38081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</w:tr>
      <w:tr w14:paraId="4A3F22E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C6DAB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235342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交通安全生产综合监管系统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3D82A1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人员机构、基础信息、平安工地、评分列表、风险关注点、事故推送。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E5933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</w:tr>
      <w:tr w14:paraId="4B2AC01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99A9C8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262FE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道路运输运行管理系统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9AD9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首页数据展示、客运站、重点车辆、运政执法、城市客运、基础信息。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A344E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</w:tr>
      <w:tr w14:paraId="4B8FD5D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FA669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16C19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公路运行管理系统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14F71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路网监测、基础设施监测、车辆监管、视频监控、统计分析。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803BBD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</w:tr>
      <w:tr w14:paraId="1A1E1BD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C834F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CBC5C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水路运行管理系统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8E3889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前端视频信息采集，对汉江流域重点水域、码头视频监控的全覆盖，提升水路交通安全动态监管、处置能力。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191A87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</w:tr>
      <w:tr w14:paraId="2BF2E4B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B9E6C4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196DCB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行业通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832AE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通知、文件的收发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0086A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</w:p>
        </w:tc>
      </w:tr>
      <w:tr w14:paraId="533B05C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48918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A6E444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系统外部接口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A18FA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系统外部接口维护。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1A5FC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</w:tr>
      <w:tr w14:paraId="19444FF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CCCC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EAC5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支撑系统维护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C16383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工作流、中间件等原有应用支撑系统维护。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0A4A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</w:tr>
      <w:tr w14:paraId="6E86D32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  <w:jc w:val="center"/>
        </w:trPr>
        <w:tc>
          <w:tcPr>
            <w:tcW w:w="61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6D225D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99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6A83F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left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历年运维中新增功能维护</w:t>
            </w:r>
          </w:p>
        </w:tc>
        <w:tc>
          <w:tcPr>
            <w:tcW w:w="430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5DB3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5" w:leftChars="50" w:right="105" w:rightChars="50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系统历年维护中增加的数据可视化、统计分析系统等功能维护，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包含2024年系统优化升级中行业通、远程桌面、综合展示等功能维护</w:t>
            </w:r>
          </w:p>
        </w:tc>
        <w:tc>
          <w:tcPr>
            <w:tcW w:w="13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10F163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  <w:t>1</w:t>
            </w:r>
          </w:p>
        </w:tc>
      </w:tr>
    </w:tbl>
    <w:p w14:paraId="3E01849B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（2）日常维护服务</w:t>
      </w:r>
    </w:p>
    <w:p w14:paraId="417CD038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①派驻具有一年以上软件运维工作经验的技术人员在工作日、重大节日和重大事件期间驻场保障，协助开展应急突发事项处置工作，为驻场技术维护岗设置双人A、B角色互为备份。</w:t>
      </w:r>
    </w:p>
    <w:p w14:paraId="152D1C5F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②对数据库进行定期监控，发现问题及时报告，并协商解决，服务项目的运行性能监测。</w:t>
      </w:r>
    </w:p>
    <w:p w14:paraId="71EBD448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③所约定服务对象软件故障的诊断、分析和排除，对已知的性能问题及时优化。</w:t>
      </w:r>
    </w:p>
    <w:p w14:paraId="4F5FC85F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④系统的安全防护工作，防病毒软件及时更新的病毒库增量。及时应对攻击和病毒入侵、系统文件遭到破坏删除或数据库崩溃等情况。</w:t>
      </w:r>
    </w:p>
    <w:p w14:paraId="34307632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⑤备份系统数据库形成基线，并进行基线管理以及配置管理，并对基线的调整以及配置的改变在每月进行报告。</w:t>
      </w:r>
    </w:p>
    <w:p w14:paraId="475E0ADA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⑥为采购人免费提供技术培训。</w:t>
      </w:r>
    </w:p>
    <w:p w14:paraId="042F023C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⑦负责解答采购人提出的与网络发展和技术应用相关的各种问题，设备的优化、调整、配置。</w:t>
      </w:r>
    </w:p>
    <w:p w14:paraId="67A45BC0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⑧定期巡检服务。工作日每天检测相关系统接口、数据质量等重要节点，有问题及时向采购人报备（未报备默认为正常）。</w:t>
      </w:r>
    </w:p>
    <w:p w14:paraId="5ABD1723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⑨软件升级服务。调研梳理系统功能现状，根据业主需求开展并完成系统优化升级工作。</w:t>
      </w:r>
    </w:p>
    <w:p w14:paraId="07135217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⑩应急演练与日常演示配合。配合采购人或其指定的第三方开展监测应急演练。参与配合采购人开展系统日常汇报演示。</w:t>
      </w:r>
    </w:p>
    <w:p w14:paraId="2677092F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⑪按时提交重要节假日、重要时期、月度、季度、年度全省交通运行监测报告。</w:t>
      </w:r>
    </w:p>
    <w:p w14:paraId="49D1AFA0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⑫年末，提交2026年度运维报告。</w:t>
      </w:r>
    </w:p>
    <w:p w14:paraId="39BFEAD6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⑬云平台主中心虚拟服务器维护：</w:t>
      </w:r>
    </w:p>
    <w:tbl>
      <w:tblPr>
        <w:tblStyle w:val="3"/>
        <w:tblW w:w="83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3415"/>
        <w:gridCol w:w="3978"/>
      </w:tblGrid>
      <w:tr w14:paraId="26743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744DB0B2">
            <w:pPr>
              <w:bidi w:val="0"/>
              <w:spacing w:line="360" w:lineRule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415" w:type="dxa"/>
            <w:vAlign w:val="center"/>
          </w:tcPr>
          <w:p w14:paraId="350C8364">
            <w:pPr>
              <w:bidi w:val="0"/>
              <w:spacing w:line="360" w:lineRule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名称</w:t>
            </w:r>
          </w:p>
        </w:tc>
        <w:tc>
          <w:tcPr>
            <w:tcW w:w="3978" w:type="dxa"/>
            <w:vAlign w:val="center"/>
          </w:tcPr>
          <w:p w14:paraId="4A90704C">
            <w:pPr>
              <w:bidi w:val="0"/>
              <w:spacing w:line="360" w:lineRule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功能</w:t>
            </w:r>
          </w:p>
        </w:tc>
      </w:tr>
      <w:tr w14:paraId="1EEFA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0A40CEC2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415" w:type="dxa"/>
            <w:vAlign w:val="center"/>
          </w:tcPr>
          <w:p w14:paraId="213B61C6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oracle数据库服务器</w:t>
            </w:r>
          </w:p>
        </w:tc>
        <w:tc>
          <w:tcPr>
            <w:tcW w:w="3978" w:type="dxa"/>
            <w:vAlign w:val="center"/>
          </w:tcPr>
          <w:p w14:paraId="0C01A747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应用系统的数据库</w:t>
            </w:r>
          </w:p>
        </w:tc>
      </w:tr>
      <w:tr w14:paraId="54CBE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069B5732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415" w:type="dxa"/>
            <w:vAlign w:val="center"/>
          </w:tcPr>
          <w:p w14:paraId="520F4EE5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达梦数据库服务器</w:t>
            </w:r>
          </w:p>
        </w:tc>
        <w:tc>
          <w:tcPr>
            <w:tcW w:w="3978" w:type="dxa"/>
            <w:vAlign w:val="center"/>
          </w:tcPr>
          <w:p w14:paraId="402B45E9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应用系统的数据库</w:t>
            </w:r>
          </w:p>
        </w:tc>
      </w:tr>
      <w:tr w14:paraId="21692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46CC66C5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415" w:type="dxa"/>
            <w:vAlign w:val="center"/>
          </w:tcPr>
          <w:p w14:paraId="45EE25D4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应用服务器</w:t>
            </w:r>
          </w:p>
        </w:tc>
        <w:tc>
          <w:tcPr>
            <w:tcW w:w="3978" w:type="dxa"/>
            <w:vAlign w:val="center"/>
          </w:tcPr>
          <w:p w14:paraId="78FFFA1F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部署应用程序服务</w:t>
            </w:r>
          </w:p>
        </w:tc>
      </w:tr>
      <w:tr w14:paraId="4BFE9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2039A7E5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415" w:type="dxa"/>
            <w:vAlign w:val="center"/>
          </w:tcPr>
          <w:p w14:paraId="06F733BF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两客一危GPS服务器</w:t>
            </w:r>
          </w:p>
        </w:tc>
        <w:tc>
          <w:tcPr>
            <w:tcW w:w="3978" w:type="dxa"/>
            <w:vAlign w:val="center"/>
          </w:tcPr>
          <w:p w14:paraId="0116D7C8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两客一危GPS数据推送</w:t>
            </w:r>
          </w:p>
        </w:tc>
      </w:tr>
      <w:tr w14:paraId="385B5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3DE7F7E6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3415" w:type="dxa"/>
            <w:vAlign w:val="center"/>
          </w:tcPr>
          <w:p w14:paraId="3E9FDDD6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小程序</w:t>
            </w:r>
          </w:p>
        </w:tc>
        <w:tc>
          <w:tcPr>
            <w:tcW w:w="3978" w:type="dxa"/>
            <w:vAlign w:val="center"/>
          </w:tcPr>
          <w:p w14:paraId="5EAB8D9F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小程序部署</w:t>
            </w:r>
          </w:p>
        </w:tc>
      </w:tr>
      <w:tr w14:paraId="58E51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006" w:type="dxa"/>
            <w:vAlign w:val="center"/>
          </w:tcPr>
          <w:p w14:paraId="3144BCA7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3415" w:type="dxa"/>
            <w:vAlign w:val="center"/>
          </w:tcPr>
          <w:p w14:paraId="74E576F3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arcgis 部署 、（旧应用系统部署）mongodb数据库</w:t>
            </w:r>
          </w:p>
        </w:tc>
        <w:tc>
          <w:tcPr>
            <w:tcW w:w="3978" w:type="dxa"/>
            <w:vAlign w:val="center"/>
          </w:tcPr>
          <w:p w14:paraId="1F690CC7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旧应用平台、arcgis部署、mongodb数据库</w:t>
            </w:r>
          </w:p>
        </w:tc>
      </w:tr>
      <w:tr w14:paraId="2E7DC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02356F1E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3415" w:type="dxa"/>
            <w:vAlign w:val="center"/>
          </w:tcPr>
          <w:p w14:paraId="270789A4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mongdb服务</w:t>
            </w:r>
          </w:p>
        </w:tc>
        <w:tc>
          <w:tcPr>
            <w:tcW w:w="3978" w:type="dxa"/>
            <w:vAlign w:val="center"/>
          </w:tcPr>
          <w:p w14:paraId="134C0585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两客一危路线mongdb服务</w:t>
            </w:r>
          </w:p>
        </w:tc>
      </w:tr>
      <w:tr w14:paraId="054EB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154673AA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3415" w:type="dxa"/>
            <w:vAlign w:val="center"/>
          </w:tcPr>
          <w:p w14:paraId="516F51E2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远程桌面服务器</w:t>
            </w:r>
          </w:p>
        </w:tc>
        <w:tc>
          <w:tcPr>
            <w:tcW w:w="3978" w:type="dxa"/>
            <w:vAlign w:val="center"/>
          </w:tcPr>
          <w:p w14:paraId="5FA8782C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远程桌面服务端</w:t>
            </w:r>
          </w:p>
        </w:tc>
      </w:tr>
      <w:tr w14:paraId="0136E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20A00BA0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3415" w:type="dxa"/>
            <w:vAlign w:val="center"/>
          </w:tcPr>
          <w:p w14:paraId="612639C4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远程桌面服务器</w:t>
            </w:r>
          </w:p>
        </w:tc>
        <w:tc>
          <w:tcPr>
            <w:tcW w:w="3978" w:type="dxa"/>
            <w:vAlign w:val="center"/>
          </w:tcPr>
          <w:p w14:paraId="6360282A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远程桌面客户端</w:t>
            </w:r>
          </w:p>
        </w:tc>
      </w:tr>
      <w:tr w14:paraId="1C2A3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416452DE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3415" w:type="dxa"/>
            <w:vAlign w:val="center"/>
          </w:tcPr>
          <w:p w14:paraId="06BE8880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远程桌面服务器</w:t>
            </w:r>
          </w:p>
        </w:tc>
        <w:tc>
          <w:tcPr>
            <w:tcW w:w="3978" w:type="dxa"/>
            <w:vAlign w:val="center"/>
          </w:tcPr>
          <w:p w14:paraId="2A3C8C00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远程桌面客户端</w:t>
            </w:r>
          </w:p>
        </w:tc>
      </w:tr>
      <w:tr w14:paraId="3120C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006" w:type="dxa"/>
            <w:vAlign w:val="center"/>
          </w:tcPr>
          <w:p w14:paraId="59D3B4E9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3415" w:type="dxa"/>
            <w:vAlign w:val="center"/>
          </w:tcPr>
          <w:p w14:paraId="1492D00A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远程桌面服务器</w:t>
            </w:r>
          </w:p>
        </w:tc>
        <w:tc>
          <w:tcPr>
            <w:tcW w:w="3978" w:type="dxa"/>
            <w:vAlign w:val="center"/>
          </w:tcPr>
          <w:p w14:paraId="25970ADB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远程桌面客户端</w:t>
            </w:r>
          </w:p>
        </w:tc>
      </w:tr>
      <w:tr w14:paraId="515DE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006" w:type="dxa"/>
            <w:vAlign w:val="center"/>
          </w:tcPr>
          <w:p w14:paraId="31202387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3415" w:type="dxa"/>
            <w:vAlign w:val="center"/>
          </w:tcPr>
          <w:p w14:paraId="083E539C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远程桌面服务器</w:t>
            </w:r>
          </w:p>
        </w:tc>
        <w:tc>
          <w:tcPr>
            <w:tcW w:w="3978" w:type="dxa"/>
            <w:vAlign w:val="center"/>
          </w:tcPr>
          <w:p w14:paraId="52DA06CE">
            <w:pPr>
              <w:bidi w:val="0"/>
              <w:spacing w:line="360" w:lineRule="auto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远程桌面客户端</w:t>
            </w:r>
          </w:p>
        </w:tc>
      </w:tr>
    </w:tbl>
    <w:p w14:paraId="4F243626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3.量化指标</w:t>
      </w:r>
    </w:p>
    <w:p w14:paraId="1A4BD119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（1）承诺7×24小时的客户热线响应技术支持服务；</w:t>
      </w:r>
    </w:p>
    <w:p w14:paraId="6D6351A8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（2）远程诊断，及时的故障诊断；</w:t>
      </w:r>
    </w:p>
    <w:p w14:paraId="1802275B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（3）现场维护，现场解决客户问题；</w:t>
      </w:r>
    </w:p>
    <w:p w14:paraId="79DE3726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（4）工作日内，接客户问题前往现场响应时间5分钟内；非工作日，前往现场响应时间1小时内。</w:t>
      </w:r>
    </w:p>
    <w:p w14:paraId="3F3189F9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（5）设备发生故障时，及时与厂家沟通协助解决。</w:t>
      </w:r>
    </w:p>
    <w:p w14:paraId="0AD8BB81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4.服务期限：2026年7月3至2027年7月2日</w:t>
      </w:r>
    </w:p>
    <w:p w14:paraId="6FBBA64A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四、其它要求</w:t>
      </w:r>
    </w:p>
    <w:p w14:paraId="35255002">
      <w:pPr>
        <w:bidi w:val="0"/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1、运维单位须参加考核，按照《陕西省交通运行监测中心信息化系统运维服务考核办法》执行。</w:t>
      </w:r>
    </w:p>
    <w:p w14:paraId="791ED222"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2、合同期满，项目必须通过验收。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32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2026-05-27T10:34:45Z</dcterms:created>
  <dc:creator>DRZB</dc:creator>
  <cp:lastModifiedBy>zl</cp:lastModifiedBy>
  <dcterms:modified xsi:type="dcterms:W3CDTF">2026-05-27T10:35:35Z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eyJoZGlkIjoiYTFiMDNiZWQ5MWQxMjIzYjU0MTBhYTU0MzhiYWE1ZmUiLCJ1c2VySWQiOiIyNzQ5OTcwMTQifQ==</vt:lpwstr>
  </property>
  <property fmtid="{D5CDD505-2E9C-101B-9397-08002B2CF9AE}" pid="4" name="ICV">
    <vt:lpwstr>6CA49AAB42F54AB69086D7E55C57DEFB_12</vt:lpwstr>
  </property>
</Properties>
</file>