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828409">
      <w:pPr>
        <w:jc w:val="center"/>
        <w:rPr>
          <w:rFonts w:hint="eastAsia" w:ascii="宋体" w:hAnsi="宋体" w:cs="宋体"/>
          <w:b/>
          <w:color w:val="auto"/>
          <w:sz w:val="44"/>
          <w:szCs w:val="44"/>
          <w:highlight w:val="none"/>
        </w:rPr>
      </w:pPr>
      <w:r>
        <w:rPr>
          <w:rFonts w:hint="eastAsia" w:ascii="宋体" w:hAnsi="宋体" w:cs="宋体"/>
          <w:b/>
          <w:color w:val="auto"/>
          <w:sz w:val="36"/>
          <w:szCs w:val="36"/>
          <w:highlight w:val="none"/>
        </w:rPr>
        <w:t>拟签订的合同文本</w:t>
      </w:r>
    </w:p>
    <w:p w14:paraId="41A56DC7">
      <w:pPr>
        <w:jc w:val="center"/>
        <w:rPr>
          <w:rFonts w:hint="eastAsia" w:ascii="宋体" w:hAnsi="宋体" w:cs="宋体"/>
          <w:b/>
          <w:color w:val="auto"/>
          <w:sz w:val="44"/>
          <w:szCs w:val="44"/>
          <w:highlight w:val="none"/>
        </w:rPr>
      </w:pPr>
    </w:p>
    <w:p w14:paraId="6D7A8548">
      <w:pPr>
        <w:jc w:val="center"/>
        <w:rPr>
          <w:rFonts w:hint="eastAsia" w:ascii="宋体" w:hAnsi="宋体" w:cs="宋体"/>
          <w:b/>
          <w:color w:val="auto"/>
          <w:sz w:val="44"/>
          <w:szCs w:val="44"/>
          <w:highlight w:val="none"/>
        </w:rPr>
      </w:pPr>
    </w:p>
    <w:p w14:paraId="3D8C3748">
      <w:pPr>
        <w:jc w:val="center"/>
        <w:rPr>
          <w:rFonts w:hint="eastAsia" w:ascii="宋体" w:hAnsi="宋体" w:cs="宋体"/>
          <w:b/>
          <w:color w:val="auto"/>
          <w:sz w:val="44"/>
          <w:szCs w:val="44"/>
          <w:highlight w:val="none"/>
        </w:rPr>
      </w:pPr>
    </w:p>
    <w:p w14:paraId="6835E0B8">
      <w:pPr>
        <w:pStyle w:val="3"/>
        <w:rPr>
          <w:rFonts w:hint="eastAsia"/>
          <w:color w:val="auto"/>
          <w:highlight w:val="none"/>
        </w:rPr>
      </w:pPr>
    </w:p>
    <w:p w14:paraId="202954B7">
      <w:pPr>
        <w:jc w:val="center"/>
        <w:rPr>
          <w:rFonts w:hint="eastAsia" w:ascii="宋体" w:hAnsi="宋体" w:cs="宋体"/>
          <w:b/>
          <w:color w:val="auto"/>
          <w:sz w:val="52"/>
          <w:szCs w:val="52"/>
          <w:highlight w:val="none"/>
        </w:rPr>
      </w:pPr>
      <w:r>
        <w:rPr>
          <w:rFonts w:hint="eastAsia" w:ascii="宋体" w:hAnsi="宋体" w:cs="宋体"/>
          <w:b/>
          <w:color w:val="auto"/>
          <w:sz w:val="52"/>
          <w:szCs w:val="52"/>
          <w:highlight w:val="none"/>
        </w:rPr>
        <w:t>合 同 书</w:t>
      </w:r>
    </w:p>
    <w:p w14:paraId="74E699A6">
      <w:pPr>
        <w:jc w:val="center"/>
        <w:rPr>
          <w:rFonts w:hint="eastAsia" w:ascii="宋体" w:hAnsi="宋体" w:cs="宋体"/>
          <w:b/>
          <w:color w:val="auto"/>
          <w:sz w:val="48"/>
          <w:szCs w:val="48"/>
          <w:highlight w:val="none"/>
        </w:rPr>
      </w:pPr>
    </w:p>
    <w:p w14:paraId="34284B1A">
      <w:pPr>
        <w:jc w:val="center"/>
        <w:rPr>
          <w:rFonts w:hint="eastAsia" w:ascii="宋体" w:hAnsi="宋体" w:cs="宋体"/>
          <w:b/>
          <w:color w:val="auto"/>
          <w:sz w:val="48"/>
          <w:szCs w:val="48"/>
          <w:highlight w:val="none"/>
        </w:rPr>
      </w:pPr>
    </w:p>
    <w:p w14:paraId="0588583A">
      <w:pPr>
        <w:rPr>
          <w:rFonts w:hint="eastAsia" w:ascii="宋体" w:hAnsi="宋体" w:cs="宋体"/>
          <w:b/>
          <w:color w:val="auto"/>
          <w:highlight w:val="none"/>
        </w:rPr>
      </w:pPr>
    </w:p>
    <w:p w14:paraId="1A103412">
      <w:pPr>
        <w:rPr>
          <w:rFonts w:hint="eastAsia" w:ascii="宋体" w:hAnsi="宋体" w:cs="宋体"/>
          <w:b/>
          <w:color w:val="auto"/>
          <w:highlight w:val="none"/>
        </w:rPr>
      </w:pPr>
    </w:p>
    <w:p w14:paraId="3CD593B2">
      <w:pPr>
        <w:rPr>
          <w:rFonts w:hint="eastAsia" w:ascii="宋体" w:hAnsi="宋体" w:cs="宋体"/>
          <w:b/>
          <w:color w:val="auto"/>
          <w:highlight w:val="none"/>
        </w:rPr>
      </w:pPr>
    </w:p>
    <w:p w14:paraId="4B4102EB">
      <w:pPr>
        <w:rPr>
          <w:rFonts w:hint="eastAsia" w:ascii="宋体" w:hAnsi="宋体" w:cs="宋体"/>
          <w:b/>
          <w:color w:val="auto"/>
          <w:highlight w:val="none"/>
        </w:rPr>
      </w:pPr>
    </w:p>
    <w:p w14:paraId="273D1F49">
      <w:pPr>
        <w:rPr>
          <w:rFonts w:hint="eastAsia" w:ascii="宋体" w:hAnsi="宋体" w:cs="宋体"/>
          <w:b/>
          <w:color w:val="auto"/>
          <w:highlight w:val="none"/>
        </w:rPr>
      </w:pPr>
    </w:p>
    <w:p w14:paraId="448FE94C">
      <w:pPr>
        <w:pStyle w:val="3"/>
        <w:rPr>
          <w:rFonts w:hint="eastAsia"/>
          <w:color w:val="auto"/>
          <w:highlight w:val="none"/>
        </w:rPr>
      </w:pPr>
    </w:p>
    <w:p w14:paraId="5213764C">
      <w:pPr>
        <w:rPr>
          <w:rFonts w:hint="eastAsia" w:ascii="宋体" w:hAnsi="宋体" w:cs="宋体"/>
          <w:b/>
          <w:color w:val="auto"/>
          <w:highlight w:val="none"/>
        </w:rPr>
      </w:pPr>
    </w:p>
    <w:p w14:paraId="117734DE">
      <w:pPr>
        <w:rPr>
          <w:rFonts w:hint="eastAsia" w:ascii="宋体" w:hAnsi="宋体" w:cs="宋体"/>
          <w:b/>
          <w:color w:val="auto"/>
          <w:highlight w:val="none"/>
        </w:rPr>
      </w:pPr>
    </w:p>
    <w:p w14:paraId="51FF74C0">
      <w:pPr>
        <w:rPr>
          <w:rFonts w:hint="eastAsia" w:ascii="宋体" w:hAnsi="宋体" w:cs="宋体"/>
          <w:b/>
          <w:color w:val="auto"/>
          <w:highlight w:val="none"/>
        </w:rPr>
      </w:pPr>
    </w:p>
    <w:p w14:paraId="6FDCC006">
      <w:pPr>
        <w:spacing w:line="360" w:lineRule="auto"/>
        <w:ind w:left="1469" w:hanging="1465" w:hangingChars="400"/>
        <w:jc w:val="center"/>
        <w:rPr>
          <w:rFonts w:hint="eastAsia" w:ascii="宋体" w:hAnsi="宋体" w:cs="宋体"/>
          <w:b/>
          <w:color w:val="auto"/>
          <w:spacing w:val="23"/>
          <w:sz w:val="32"/>
          <w:szCs w:val="32"/>
          <w:highlight w:val="none"/>
        </w:rPr>
      </w:pPr>
      <w:r>
        <w:rPr>
          <w:rFonts w:hint="eastAsia" w:ascii="宋体" w:hAnsi="宋体" w:cs="宋体"/>
          <w:b/>
          <w:color w:val="auto"/>
          <w:spacing w:val="23"/>
          <w:sz w:val="32"/>
          <w:szCs w:val="32"/>
          <w:highlight w:val="none"/>
        </w:rPr>
        <w:t>甲方(</w:t>
      </w:r>
      <w:r>
        <w:rPr>
          <w:rFonts w:hint="eastAsia" w:ascii="宋体" w:hAnsi="宋体" w:cs="宋体"/>
          <w:b/>
          <w:color w:val="auto"/>
          <w:spacing w:val="23"/>
          <w:sz w:val="32"/>
          <w:szCs w:val="32"/>
          <w:highlight w:val="none"/>
        </w:rPr>
        <w:fldChar w:fldCharType="begin"/>
      </w:r>
      <w:r>
        <w:rPr>
          <w:rFonts w:hint="eastAsia" w:ascii="宋体" w:hAnsi="宋体" w:cs="宋体"/>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cs="宋体"/>
          <w:b/>
          <w:color w:val="auto"/>
          <w:spacing w:val="23"/>
          <w:sz w:val="32"/>
          <w:szCs w:val="32"/>
          <w:highlight w:val="none"/>
        </w:rPr>
        <w:fldChar w:fldCharType="separate"/>
      </w:r>
      <w:r>
        <w:rPr>
          <w:rFonts w:hint="eastAsia" w:ascii="宋体" w:hAnsi="宋体" w:cs="宋体"/>
          <w:b/>
          <w:color w:val="auto"/>
          <w:spacing w:val="23"/>
          <w:sz w:val="32"/>
          <w:szCs w:val="32"/>
          <w:highlight w:val="none"/>
        </w:rPr>
        <w:t>采购人</w:t>
      </w:r>
      <w:r>
        <w:rPr>
          <w:rFonts w:hint="eastAsia" w:ascii="宋体" w:hAnsi="宋体" w:cs="宋体"/>
          <w:b/>
          <w:color w:val="auto"/>
          <w:spacing w:val="23"/>
          <w:sz w:val="32"/>
          <w:szCs w:val="32"/>
          <w:highlight w:val="none"/>
        </w:rPr>
        <w:fldChar w:fldCharType="end"/>
      </w:r>
      <w:r>
        <w:rPr>
          <w:rFonts w:hint="eastAsia" w:ascii="宋体" w:hAnsi="宋体" w:cs="宋体"/>
          <w:b/>
          <w:color w:val="auto"/>
          <w:spacing w:val="23"/>
          <w:sz w:val="32"/>
          <w:szCs w:val="32"/>
          <w:highlight w:val="none"/>
        </w:rPr>
        <w:t>)：</w:t>
      </w:r>
      <w:r>
        <w:rPr>
          <w:rFonts w:hint="eastAsia" w:ascii="宋体" w:hAnsi="宋体" w:cs="宋体"/>
          <w:color w:val="auto"/>
          <w:spacing w:val="23"/>
          <w:sz w:val="28"/>
          <w:szCs w:val="28"/>
          <w:highlight w:val="none"/>
        </w:rPr>
        <w:t></w:t>
      </w:r>
    </w:p>
    <w:p w14:paraId="2C7EFCA3">
      <w:pPr>
        <w:spacing w:line="360" w:lineRule="auto"/>
        <w:ind w:left="1285" w:hanging="1465" w:hangingChars="400"/>
        <w:jc w:val="center"/>
        <w:rPr>
          <w:rFonts w:hint="eastAsia" w:ascii="宋体" w:hAnsi="宋体" w:cs="宋体"/>
          <w:color w:val="auto"/>
          <w:spacing w:val="23"/>
          <w:sz w:val="28"/>
          <w:szCs w:val="28"/>
          <w:highlight w:val="none"/>
        </w:rPr>
      </w:pPr>
      <w:r>
        <w:rPr>
          <w:rFonts w:hint="eastAsia" w:ascii="宋体" w:hAnsi="宋体" w:cs="宋体"/>
          <w:b/>
          <w:color w:val="auto"/>
          <w:spacing w:val="23"/>
          <w:sz w:val="32"/>
          <w:szCs w:val="32"/>
          <w:highlight w:val="none"/>
        </w:rPr>
        <w:fldChar w:fldCharType="begin"/>
      </w:r>
      <w:r>
        <w:rPr>
          <w:rFonts w:hint="eastAsia" w:ascii="宋体" w:hAnsi="宋体" w:cs="宋体"/>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cs="宋体"/>
          <w:b/>
          <w:color w:val="auto"/>
          <w:spacing w:val="23"/>
          <w:sz w:val="32"/>
          <w:szCs w:val="32"/>
          <w:highlight w:val="none"/>
        </w:rPr>
        <w:fldChar w:fldCharType="separate"/>
      </w:r>
      <w:r>
        <w:rPr>
          <w:rFonts w:hint="eastAsia" w:ascii="宋体" w:hAnsi="宋体" w:cs="宋体"/>
          <w:b/>
          <w:color w:val="auto"/>
          <w:spacing w:val="23"/>
          <w:sz w:val="32"/>
          <w:szCs w:val="32"/>
          <w:highlight w:val="none"/>
        </w:rPr>
        <w:t>乙方</w:t>
      </w:r>
      <w:r>
        <w:rPr>
          <w:rFonts w:hint="eastAsia" w:ascii="宋体" w:hAnsi="宋体" w:cs="宋体"/>
          <w:b/>
          <w:color w:val="auto"/>
          <w:spacing w:val="23"/>
          <w:sz w:val="32"/>
          <w:szCs w:val="32"/>
          <w:highlight w:val="none"/>
        </w:rPr>
        <w:fldChar w:fldCharType="end"/>
      </w:r>
      <w:r>
        <w:rPr>
          <w:rFonts w:hint="eastAsia" w:ascii="宋体" w:hAnsi="宋体" w:cs="宋体"/>
          <w:b/>
          <w:color w:val="auto"/>
          <w:spacing w:val="23"/>
          <w:sz w:val="32"/>
          <w:szCs w:val="32"/>
          <w:highlight w:val="none"/>
        </w:rPr>
        <w:t>(供应商)：</w:t>
      </w:r>
      <w:r>
        <w:rPr>
          <w:rFonts w:hint="eastAsia" w:ascii="宋体" w:hAnsi="宋体" w:cs="宋体"/>
          <w:color w:val="auto"/>
          <w:spacing w:val="23"/>
          <w:sz w:val="28"/>
          <w:szCs w:val="28"/>
          <w:highlight w:val="none"/>
        </w:rPr>
        <w:t></w:t>
      </w:r>
    </w:p>
    <w:p w14:paraId="3EA472C9">
      <w:pPr>
        <w:kinsoku w:val="0"/>
        <w:spacing w:line="360" w:lineRule="auto"/>
        <w:jc w:val="center"/>
        <w:rPr>
          <w:rFonts w:hint="eastAsia" w:ascii="宋体" w:hAnsi="宋体" w:cs="宋体"/>
          <w:b/>
          <w:color w:val="auto"/>
          <w:spacing w:val="23"/>
          <w:sz w:val="32"/>
          <w:szCs w:val="32"/>
          <w:highlight w:val="none"/>
        </w:rPr>
      </w:pPr>
      <w:r>
        <w:rPr>
          <w:rFonts w:hint="eastAsia" w:ascii="宋体" w:hAnsi="宋体" w:cs="宋体"/>
          <w:b/>
          <w:color w:val="auto"/>
          <w:spacing w:val="23"/>
          <w:sz w:val="32"/>
          <w:szCs w:val="32"/>
          <w:highlight w:val="none"/>
        </w:rPr>
        <w:t>签订时间：</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年</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月</w:t>
      </w:r>
      <w:r>
        <w:rPr>
          <w:rFonts w:hint="eastAsia" w:ascii="宋体" w:hAnsi="宋体" w:cs="宋体"/>
          <w:color w:val="auto"/>
          <w:spacing w:val="23"/>
          <w:sz w:val="28"/>
          <w:szCs w:val="28"/>
          <w:highlight w:val="none"/>
        </w:rPr>
        <w:t></w:t>
      </w:r>
      <w:r>
        <w:rPr>
          <w:rFonts w:hint="eastAsia" w:ascii="宋体" w:hAnsi="宋体" w:cs="宋体"/>
          <w:b/>
          <w:color w:val="auto"/>
          <w:spacing w:val="23"/>
          <w:sz w:val="32"/>
          <w:szCs w:val="32"/>
          <w:highlight w:val="none"/>
        </w:rPr>
        <w:t>日</w:t>
      </w:r>
    </w:p>
    <w:p w14:paraId="60800362">
      <w:pPr>
        <w:keepNext w:val="0"/>
        <w:keepLines w:val="0"/>
        <w:pageBreakBefore w:val="0"/>
        <w:kinsoku/>
        <w:wordWrap/>
        <w:topLinePunct w:val="0"/>
        <w:bidi w:val="0"/>
        <w:snapToGrid/>
        <w:spacing w:line="360" w:lineRule="auto"/>
        <w:ind w:firstLine="512" w:firstLineChars="200"/>
        <w:textAlignment w:val="auto"/>
        <w:rPr>
          <w:rFonts w:hint="default" w:ascii="宋体" w:hAnsi="宋体" w:eastAsia="宋体" w:cs="宋体"/>
          <w:color w:val="auto"/>
          <w:sz w:val="24"/>
          <w:szCs w:val="32"/>
          <w:highlight w:val="none"/>
          <w:lang w:val="en-US" w:eastAsia="zh-CN"/>
        </w:rPr>
      </w:pPr>
      <w:r>
        <w:rPr>
          <w:rFonts w:hint="eastAsia" w:ascii="宋体" w:hAnsi="宋体" w:cs="宋体"/>
          <w:b/>
          <w:color w:val="auto"/>
          <w:spacing w:val="23"/>
          <w:szCs w:val="32"/>
          <w:highlight w:val="none"/>
        </w:rPr>
        <w:br w:type="page"/>
      </w:r>
      <w:r>
        <w:rPr>
          <w:rFonts w:hint="eastAsia" w:ascii="宋体" w:hAnsi="宋体" w:eastAsia="宋体" w:cs="宋体"/>
          <w:color w:val="auto"/>
          <w:sz w:val="24"/>
          <w:szCs w:val="32"/>
          <w:highlight w:val="none"/>
        </w:rPr>
        <w:t>采购人（以下简称甲方）：</w:t>
      </w:r>
      <w:r>
        <w:rPr>
          <w:rFonts w:hint="eastAsia" w:ascii="宋体" w:hAnsi="宋体" w:cs="宋体"/>
          <w:color w:val="auto"/>
          <w:sz w:val="24"/>
          <w:szCs w:val="32"/>
          <w:highlight w:val="none"/>
          <w:u w:val="single"/>
          <w:lang w:val="en-US" w:eastAsia="zh-CN"/>
        </w:rPr>
        <w:t xml:space="preserve">                        </w:t>
      </w:r>
      <w:r>
        <w:rPr>
          <w:rFonts w:hint="eastAsia" w:ascii="宋体" w:hAnsi="宋体" w:cs="宋体"/>
          <w:color w:val="auto"/>
          <w:sz w:val="24"/>
          <w:szCs w:val="32"/>
          <w:highlight w:val="none"/>
          <w:lang w:val="en-US" w:eastAsia="zh-CN"/>
        </w:rPr>
        <w:t xml:space="preserve">      </w:t>
      </w:r>
    </w:p>
    <w:p w14:paraId="1A65911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r>
        <w:rPr>
          <w:rFonts w:hint="eastAsia" w:ascii="宋体" w:hAnsi="宋体" w:cs="宋体"/>
          <w:color w:val="auto"/>
          <w:sz w:val="24"/>
          <w:szCs w:val="32"/>
          <w:highlight w:val="none"/>
          <w:u w:val="single"/>
          <w:lang w:val="en-US" w:eastAsia="zh-CN"/>
        </w:rPr>
        <w:t xml:space="preserve">                        </w:t>
      </w:r>
    </w:p>
    <w:p w14:paraId="7A99FA4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21459C02">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46F5B4FA">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11A336F">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273FB0FD">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文件及澄清文件。</w:t>
      </w:r>
    </w:p>
    <w:p w14:paraId="484C692E">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乙方的响应文件及质疑解答文件。</w:t>
      </w:r>
    </w:p>
    <w:p w14:paraId="62CB48C7">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089126A2">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42866ED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59E76671">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344686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如果乙方的响应文件及质疑解答文件内容违背或低于</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文件要求或任何可能导致影响当次采购目的的情形，均应当被视为乙方自动放弃响应文件及质疑解答文件中相应部分而同意以</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文件相应内容为准。如果乙方的响应文件及质疑解答文件内容高于</w:t>
      </w:r>
      <w:r>
        <w:rPr>
          <w:rFonts w:hint="eastAsia" w:ascii="宋体" w:hAnsi="宋体" w:cs="宋体"/>
          <w:color w:val="auto"/>
          <w:sz w:val="24"/>
          <w:highlight w:val="none"/>
          <w:lang w:val="en-US" w:eastAsia="zh-CN"/>
        </w:rPr>
        <w:t>采购</w:t>
      </w:r>
      <w:r>
        <w:rPr>
          <w:rFonts w:hint="eastAsia" w:ascii="宋体" w:hAnsi="宋体" w:eastAsia="宋体" w:cs="宋体"/>
          <w:color w:val="auto"/>
          <w:sz w:val="24"/>
          <w:highlight w:val="none"/>
          <w:lang w:val="zh-CN"/>
        </w:rPr>
        <w:t>文件要求，则以乙方的响应文件及质疑解答文件内容为准。如果合同条款与合同附件有矛盾之处，以合同条款内容为准。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787EC2F5">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D495FDC">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3B2F858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4A0BEF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highlight w:val="none"/>
          <w:lang w:val="en-US" w:eastAsia="zh-CN"/>
        </w:rPr>
      </w:pPr>
      <w:bookmarkStart w:id="2" w:name="_GoBack"/>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服务期</w:t>
      </w:r>
      <w:r>
        <w:rPr>
          <w:rFonts w:hint="eastAsia" w:ascii="宋体" w:hAnsi="宋体" w:eastAsia="宋体" w:cs="宋体"/>
          <w:color w:val="auto"/>
          <w:sz w:val="24"/>
          <w:highlight w:val="none"/>
        </w:rPr>
        <w:t>：</w:t>
      </w:r>
      <w:r>
        <w:rPr>
          <w:rFonts w:hint="eastAsia" w:ascii="宋体" w:hAnsi="宋体" w:cs="宋体"/>
          <w:b w:val="0"/>
          <w:bCs w:val="0"/>
          <w:i w:val="0"/>
          <w:iCs w:val="0"/>
          <w:caps w:val="0"/>
          <w:color w:val="auto"/>
          <w:spacing w:val="0"/>
          <w:sz w:val="24"/>
          <w:szCs w:val="24"/>
          <w:highlight w:val="none"/>
          <w:shd w:val="clear" w:color="auto" w:fill="FFFFFF"/>
          <w:lang w:val="en-US" w:eastAsia="zh-CN"/>
        </w:rPr>
        <w:t>合同签订之日起</w:t>
      </w:r>
      <w:r>
        <w:rPr>
          <w:rFonts w:hint="eastAsia" w:ascii="宋体" w:hAnsi="宋体" w:eastAsia="宋体" w:cs="宋体"/>
          <w:b w:val="0"/>
          <w:bCs w:val="0"/>
          <w:i w:val="0"/>
          <w:iCs w:val="0"/>
          <w:caps w:val="0"/>
          <w:color w:val="auto"/>
          <w:spacing w:val="0"/>
          <w:sz w:val="24"/>
          <w:szCs w:val="24"/>
          <w:highlight w:val="none"/>
          <w:shd w:val="clear" w:color="auto" w:fill="FFFFFF"/>
        </w:rPr>
        <w:t>一年</w:t>
      </w:r>
    </w:p>
    <w:bookmarkEnd w:id="2"/>
    <w:p w14:paraId="64B54C12">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eastAsia="zh-CN"/>
        </w:rPr>
        <w:t>服务地点：</w:t>
      </w:r>
      <w:r>
        <w:rPr>
          <w:rFonts w:hint="eastAsia" w:ascii="宋体" w:hAnsi="宋体" w:cs="宋体"/>
          <w:sz w:val="24"/>
          <w:highlight w:val="none"/>
        </w:rPr>
        <w:t>采购人指定地点</w:t>
      </w:r>
    </w:p>
    <w:p w14:paraId="03FD873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质量要求：符合国家</w:t>
      </w:r>
      <w:r>
        <w:rPr>
          <w:rFonts w:hint="eastAsia" w:ascii="宋体" w:hAnsi="宋体" w:eastAsia="宋体" w:cs="宋体"/>
          <w:color w:val="auto"/>
          <w:sz w:val="24"/>
          <w:highlight w:val="none"/>
          <w:lang w:val="en-US" w:eastAsia="zh-CN"/>
        </w:rPr>
        <w:t>及行业</w:t>
      </w:r>
      <w:r>
        <w:rPr>
          <w:rFonts w:hint="eastAsia" w:ascii="宋体" w:hAnsi="宋体" w:eastAsia="宋体" w:cs="宋体"/>
          <w:color w:val="auto"/>
          <w:sz w:val="24"/>
          <w:highlight w:val="none"/>
        </w:rPr>
        <w:t>有关现行规范、标准的要求</w:t>
      </w:r>
    </w:p>
    <w:p w14:paraId="580D5C23">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76A1BEF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37C6D98F">
      <w:pPr>
        <w:widowControl/>
        <w:kinsoku w:val="0"/>
        <w:autoSpaceDE w:val="0"/>
        <w:autoSpaceDN w:val="0"/>
        <w:spacing w:line="360" w:lineRule="auto"/>
        <w:ind w:firstLine="480" w:firstLineChars="200"/>
        <w:textAlignment w:val="baseline"/>
        <w:rPr>
          <w:rFonts w:hint="eastAsia" w:ascii="宋体" w:hAnsi="宋体" w:cs="宋体"/>
          <w:color w:val="auto"/>
          <w:sz w:val="24"/>
          <w:highlight w:val="none"/>
        </w:rPr>
      </w:pPr>
      <w:bookmarkStart w:id="0" w:name="_Toc29228"/>
      <w:r>
        <w:rPr>
          <w:rFonts w:hint="eastAsia" w:ascii="宋体" w:hAnsi="宋体" w:eastAsia="宋体" w:cs="宋体"/>
          <w:bCs/>
          <w:color w:val="000000"/>
          <w:sz w:val="24"/>
          <w:highlight w:val="none"/>
          <w:lang w:val="en-US" w:eastAsia="zh-CN"/>
        </w:rPr>
        <w:t>2.</w:t>
      </w:r>
      <w:r>
        <w:rPr>
          <w:rFonts w:hint="eastAsia" w:ascii="宋体" w:hAnsi="宋体"/>
          <w:color w:val="000000"/>
          <w:sz w:val="24"/>
          <w:highlight w:val="none"/>
          <w:lang w:val="en-US" w:eastAsia="zh-CN"/>
        </w:rPr>
        <w:t>付款方式：</w:t>
      </w:r>
      <w:bookmarkEnd w:id="0"/>
      <w:r>
        <w:rPr>
          <w:rFonts w:hint="eastAsia" w:ascii="宋体" w:hAnsi="宋体" w:cs="宋体"/>
          <w:color w:val="auto"/>
          <w:kern w:val="0"/>
          <w:sz w:val="24"/>
          <w:highlight w:val="none"/>
          <w:shd w:val="clear" w:color="auto" w:fill="FFFFFF"/>
          <w:lang w:bidi="ar"/>
        </w:rPr>
        <w:t>自合同签订生效后，</w:t>
      </w:r>
      <w:r>
        <w:rPr>
          <w:rFonts w:hint="eastAsia" w:ascii="宋体" w:hAnsi="宋体" w:cs="宋体"/>
          <w:color w:val="auto"/>
          <w:sz w:val="24"/>
          <w:highlight w:val="none"/>
        </w:rPr>
        <w:t>达到付款条件起30个工作日内，支付合同总金额的 40.00%。</w:t>
      </w:r>
      <w:r>
        <w:rPr>
          <w:rFonts w:hint="eastAsia" w:ascii="宋体" w:hAnsi="宋体" w:cs="宋体"/>
          <w:color w:val="auto"/>
          <w:kern w:val="0"/>
          <w:sz w:val="24"/>
          <w:highlight w:val="none"/>
          <w:shd w:val="clear" w:color="auto" w:fill="FFFFFF"/>
          <w:lang w:bidi="ar"/>
        </w:rPr>
        <w:t>配合甲方完成迁移、部署及上线工作并提供符合采购服务要求的《半年度服务报告》后</w:t>
      </w:r>
      <w:r>
        <w:rPr>
          <w:rFonts w:hint="eastAsia" w:ascii="宋体" w:hAnsi="宋体" w:cs="宋体"/>
          <w:color w:val="auto"/>
          <w:sz w:val="24"/>
          <w:highlight w:val="none"/>
        </w:rPr>
        <w:t xml:space="preserve"> ，达到付款条件起30个工作日内，支付合同总金额的40.00%。</w:t>
      </w:r>
      <w:r>
        <w:rPr>
          <w:rFonts w:hint="eastAsia" w:ascii="宋体" w:hAnsi="宋体" w:eastAsia="宋体" w:cs="宋体"/>
          <w:color w:val="auto"/>
          <w:kern w:val="0"/>
          <w:sz w:val="24"/>
          <w:szCs w:val="24"/>
          <w:highlight w:val="none"/>
          <w:shd w:val="clear" w:color="auto" w:fill="FFFFFF"/>
          <w:lang w:eastAsia="zh-CN" w:bidi="ar"/>
        </w:rPr>
        <w:t>服务期满，提供符合采购服务要求的《年度服务报告》，并经专家验收合格后</w:t>
      </w:r>
      <w:r>
        <w:rPr>
          <w:rFonts w:hint="eastAsia" w:ascii="宋体" w:hAnsi="宋体" w:eastAsia="宋体" w:cs="宋体"/>
          <w:color w:val="auto"/>
          <w:sz w:val="24"/>
          <w:szCs w:val="24"/>
          <w:highlight w:val="none"/>
          <w:lang w:eastAsia="zh-CN"/>
        </w:rPr>
        <w:t>，达到付款条件起30个工作日内，支付合同总金额的20.00%。</w:t>
      </w:r>
    </w:p>
    <w:p w14:paraId="542A9D3C">
      <w:pPr>
        <w:pStyle w:val="2"/>
        <w:keepNext w:val="0"/>
        <w:keepLines w:val="0"/>
        <w:ind w:firstLine="480" w:firstLineChars="200"/>
        <w:jc w:val="both"/>
        <w:rPr>
          <w:rFonts w:ascii="宋体" w:hAnsi="宋体" w:cs="宋体"/>
          <w:color w:val="auto"/>
          <w:sz w:val="24"/>
          <w:highlight w:val="none"/>
        </w:rPr>
      </w:pPr>
      <w:bookmarkStart w:id="1" w:name="_Toc32107"/>
      <w:r>
        <w:rPr>
          <w:rFonts w:hint="eastAsia" w:ascii="宋体" w:hAnsi="宋体" w:eastAsia="宋体" w:cs="宋体"/>
          <w:b w:val="0"/>
          <w:bCs w:val="0"/>
          <w:color w:val="auto"/>
          <w:kern w:val="2"/>
          <w:sz w:val="24"/>
          <w:szCs w:val="24"/>
          <w:highlight w:val="none"/>
          <w:lang w:val="en-US" w:eastAsia="zh-CN" w:bidi="ar-SA"/>
        </w:rPr>
        <w:t>甲方每次付款前，乙方应向甲方开具等额合格的增值税普通发票，若乙方开具的发票不合格，甲方有权拒绝支付相应款项，直到乙方开具合格发票为止，因此导致甲方迟延付款的，甲方不承担任何责任。</w:t>
      </w:r>
      <w:bookmarkEnd w:id="1"/>
    </w:p>
    <w:p w14:paraId="31296D2D">
      <w:pPr>
        <w:keepNext w:val="0"/>
        <w:keepLines w:val="0"/>
        <w:pageBreakBefore w:val="0"/>
        <w:widowControl/>
        <w:tabs>
          <w:tab w:val="left" w:pos="426"/>
        </w:tabs>
        <w:kinsoku/>
        <w:wordWrap/>
        <w:overflowPunct/>
        <w:topLinePunct w:val="0"/>
        <w:autoSpaceDE/>
        <w:autoSpaceDN/>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3.乙方开户银行指定账户为：</w:t>
      </w:r>
    </w:p>
    <w:p w14:paraId="6299BA8C">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收款人：</w:t>
      </w:r>
    </w:p>
    <w:p w14:paraId="29E68DF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开户行：</w:t>
      </w:r>
    </w:p>
    <w:p w14:paraId="4FB21CC4">
      <w:pPr>
        <w:keepNext w:val="0"/>
        <w:keepLines w:val="0"/>
        <w:pageBreakBefore w:val="0"/>
        <w:widowControl/>
        <w:tabs>
          <w:tab w:val="left" w:pos="426"/>
        </w:tabs>
        <w:kinsoku/>
        <w:wordWrap/>
        <w:topLinePunct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p w14:paraId="759402C4">
      <w:pPr>
        <w:keepNext w:val="0"/>
        <w:keepLines w:val="0"/>
        <w:pageBreakBefore w:val="0"/>
        <w:numPr>
          <w:ilvl w:val="0"/>
          <w:numId w:val="0"/>
        </w:numPr>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cs="宋体"/>
          <w:b/>
          <w:color w:val="auto"/>
          <w:sz w:val="24"/>
          <w:szCs w:val="24"/>
          <w:highlight w:val="none"/>
          <w:lang w:val="en-US" w:eastAsia="zh-CN"/>
        </w:rPr>
        <w:t>四</w:t>
      </w:r>
      <w:r>
        <w:rPr>
          <w:rFonts w:hint="eastAsia" w:ascii="宋体" w:hAnsi="宋体" w:eastAsia="宋体" w:cs="宋体"/>
          <w:b/>
          <w:color w:val="auto"/>
          <w:sz w:val="24"/>
          <w:szCs w:val="24"/>
          <w:highlight w:val="none"/>
          <w:lang w:val="zh-CN"/>
        </w:rPr>
        <w:t>、甲方的主要责任和权利</w:t>
      </w:r>
    </w:p>
    <w:p w14:paraId="22ABF7A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3A8336A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2.甲方有权随时了解乙方的工作进展情况，并对经费使用进行监督检查。</w:t>
      </w:r>
    </w:p>
    <w:p w14:paraId="47646B3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0D72E8A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4.甲方若认为乙方履行合同不力严重影响项目服务质量，甲方有权要求更换乙方主要人员，直至终止合同。</w:t>
      </w:r>
    </w:p>
    <w:p w14:paraId="5E8D9A3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4AB02DB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4EA6B69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29118E6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1DDC5BD0">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eastAsia="宋体" w:cs="宋体"/>
          <w:b/>
          <w:bCs/>
          <w:color w:val="auto"/>
          <w:sz w:val="24"/>
          <w:highlight w:val="none"/>
        </w:rPr>
        <w:t>、乙方的主要责任和权利</w:t>
      </w:r>
    </w:p>
    <w:p w14:paraId="5261702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104A857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76830D8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对甲方提供的资料严格保密。</w:t>
      </w:r>
    </w:p>
    <w:p w14:paraId="25C2595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w:t>
      </w:r>
    </w:p>
    <w:p w14:paraId="772D167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2721AE0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409BD00A">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六</w:t>
      </w:r>
      <w:r>
        <w:rPr>
          <w:rFonts w:hint="eastAsia" w:ascii="宋体"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val="zh-CN" w:eastAsia="zh-CN"/>
        </w:rPr>
        <w:t>知识产权</w:t>
      </w:r>
    </w:p>
    <w:p w14:paraId="59E8548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3CD766C0">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286C89A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7EA4B57D">
      <w:pPr>
        <w:pStyle w:val="1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宋体" w:hAnsi="宋体" w:cs="宋体"/>
          <w:sz w:val="24"/>
          <w:lang w:val="en-US" w:eastAsia="zh-CN"/>
        </w:rPr>
        <w:t>4.</w:t>
      </w:r>
      <w:r>
        <w:rPr>
          <w:rFonts w:hint="eastAsia" w:ascii="宋体" w:hAnsi="宋体" w:cs="宋体"/>
          <w:sz w:val="24"/>
        </w:rPr>
        <w:t>本合同条款的规定不因本合同的到期而失效。</w:t>
      </w:r>
    </w:p>
    <w:p w14:paraId="67557648">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cs="宋体"/>
          <w:b/>
          <w:color w:val="000000"/>
          <w:highlight w:val="none"/>
          <w:lang w:val="en-US" w:eastAsia="zh-CN"/>
        </w:rPr>
        <w:t>七</w:t>
      </w:r>
      <w:r>
        <w:rPr>
          <w:rFonts w:hint="eastAsia" w:ascii="宋体" w:hAnsi="宋体" w:eastAsia="宋体" w:cs="宋体"/>
          <w:b/>
          <w:color w:val="000000"/>
          <w:highlight w:val="none"/>
          <w:lang w:val="en-US" w:eastAsia="zh-CN"/>
        </w:rPr>
        <w:t>、</w:t>
      </w:r>
      <w:r>
        <w:rPr>
          <w:rFonts w:hint="eastAsia" w:ascii="宋体" w:hAnsi="宋体" w:eastAsia="宋体" w:cs="宋体"/>
          <w:b/>
          <w:bCs/>
          <w:color w:val="000000"/>
          <w:kern w:val="2"/>
          <w:sz w:val="24"/>
          <w:szCs w:val="24"/>
          <w:highlight w:val="none"/>
          <w:lang w:val="en-US" w:eastAsia="zh-CN" w:bidi="ar-SA"/>
        </w:rPr>
        <w:t>验收</w:t>
      </w:r>
    </w:p>
    <w:p w14:paraId="2A8239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验收时间：</w:t>
      </w:r>
      <w:r>
        <w:rPr>
          <w:rFonts w:hint="eastAsia" w:ascii="宋体" w:hAnsi="宋体" w:cs="宋体"/>
          <w:color w:val="000000"/>
          <w:kern w:val="2"/>
          <w:sz w:val="24"/>
          <w:szCs w:val="24"/>
          <w:highlight w:val="none"/>
          <w:lang w:val="en-US" w:eastAsia="zh-CN" w:bidi="ar-SA"/>
        </w:rPr>
        <w:t>项目完成后采购人组织验收。</w:t>
      </w:r>
    </w:p>
    <w:p w14:paraId="4DA072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质量标准：</w:t>
      </w:r>
      <w:r>
        <w:rPr>
          <w:rFonts w:hint="eastAsia" w:ascii="宋体" w:hAnsi="宋体" w:eastAsia="宋体" w:cs="宋体"/>
          <w:sz w:val="24"/>
          <w:szCs w:val="24"/>
          <w:highlight w:val="none"/>
          <w:lang w:eastAsia="zh-CN"/>
        </w:rPr>
        <w:t>符合国家及行业有关现行规范、标准的要求</w:t>
      </w:r>
      <w:r>
        <w:rPr>
          <w:rFonts w:hint="eastAsia" w:ascii="宋体" w:hAnsi="宋体" w:cs="宋体"/>
          <w:color w:val="000000"/>
          <w:sz w:val="24"/>
          <w:highlight w:val="none"/>
          <w:lang w:eastAsia="zh-CN"/>
        </w:rPr>
        <w:t>。</w:t>
      </w:r>
    </w:p>
    <w:p w14:paraId="431E8A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验收合格条件：符合国家标准和技术规格书及合同要求，符合</w:t>
      </w:r>
      <w:r>
        <w:rPr>
          <w:rFonts w:hint="eastAsia" w:ascii="宋体" w:hAnsi="宋体" w:cs="宋体"/>
          <w:color w:val="000000"/>
          <w:kern w:val="2"/>
          <w:sz w:val="24"/>
          <w:szCs w:val="24"/>
          <w:highlight w:val="none"/>
          <w:lang w:val="en-US" w:eastAsia="zh-CN" w:bidi="ar-SA"/>
        </w:rPr>
        <w:t>采购</w:t>
      </w:r>
      <w:r>
        <w:rPr>
          <w:rFonts w:hint="eastAsia" w:ascii="宋体" w:hAnsi="宋体" w:eastAsia="宋体" w:cs="宋体"/>
          <w:color w:val="000000"/>
          <w:kern w:val="2"/>
          <w:sz w:val="24"/>
          <w:szCs w:val="24"/>
          <w:highlight w:val="none"/>
          <w:lang w:val="en-US" w:eastAsia="zh-CN" w:bidi="ar-SA"/>
        </w:rPr>
        <w:t>文件、成交供应商的</w:t>
      </w:r>
      <w:r>
        <w:rPr>
          <w:rFonts w:hint="eastAsia" w:ascii="宋体" w:hAnsi="宋体" w:cs="宋体"/>
          <w:color w:val="000000"/>
          <w:kern w:val="2"/>
          <w:sz w:val="24"/>
          <w:szCs w:val="24"/>
          <w:highlight w:val="none"/>
          <w:lang w:val="en-US" w:eastAsia="zh-CN" w:bidi="ar-SA"/>
        </w:rPr>
        <w:t>响应</w:t>
      </w:r>
      <w:r>
        <w:rPr>
          <w:rFonts w:hint="eastAsia" w:ascii="宋体" w:hAnsi="宋体" w:eastAsia="宋体" w:cs="宋体"/>
          <w:color w:val="000000"/>
          <w:kern w:val="2"/>
          <w:sz w:val="24"/>
          <w:szCs w:val="24"/>
          <w:highlight w:val="none"/>
          <w:lang w:val="en-US" w:eastAsia="zh-CN" w:bidi="ar-SA"/>
        </w:rPr>
        <w:t>文件、澄清文件和成交通知书的要求等,乙方应严格按照上述及采购人要求实施项目服务，甲方有权对乙方服务质量进行评估，当乙方出现较为严重的服务质量问题时，从乙方服务费中扣除合同总价的10%。</w:t>
      </w:r>
    </w:p>
    <w:p w14:paraId="7A86B709">
      <w:pPr>
        <w:pStyle w:val="15"/>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000000"/>
          <w:sz w:val="24"/>
          <w:szCs w:val="24"/>
          <w:highlight w:val="none"/>
          <w:lang w:val="zh-CN" w:eastAsia="zh-CN"/>
        </w:rPr>
      </w:pPr>
      <w:r>
        <w:rPr>
          <w:rFonts w:hint="eastAsia" w:ascii="宋体" w:hAnsi="宋体" w:cs="宋体"/>
          <w:b/>
          <w:color w:val="000000"/>
          <w:sz w:val="24"/>
          <w:szCs w:val="24"/>
          <w:highlight w:val="none"/>
          <w:lang w:val="en-US" w:eastAsia="zh-CN"/>
        </w:rPr>
        <w:t>八</w:t>
      </w:r>
      <w:r>
        <w:rPr>
          <w:rFonts w:hint="eastAsia" w:ascii="宋体" w:hAnsi="宋体" w:eastAsia="宋体" w:cs="宋体"/>
          <w:b/>
          <w:color w:val="000000"/>
          <w:sz w:val="24"/>
          <w:szCs w:val="24"/>
          <w:highlight w:val="none"/>
          <w:lang w:val="zh-CN" w:eastAsia="zh-CN"/>
        </w:rPr>
        <w:t>、保密</w:t>
      </w:r>
    </w:p>
    <w:p w14:paraId="1AFA3043">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1.在本合同的履行期内，乙方获得与本项目相关的信息（包括获得的资料及成果等），应当采取适当有效的方式保护，不得未经授权使用、传播或公开。</w:t>
      </w:r>
    </w:p>
    <w:p w14:paraId="3DD928FF">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316EF086">
      <w:pPr>
        <w:pStyle w:val="16"/>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eastAsia="宋体" w:cs="宋体"/>
          <w:b/>
          <w:bCs/>
          <w:color w:val="auto"/>
          <w:sz w:val="24"/>
          <w:highlight w:val="none"/>
        </w:rPr>
        <w:t>、不可抗力</w:t>
      </w:r>
    </w:p>
    <w:p w14:paraId="340A6B8B">
      <w:pPr>
        <w:pStyle w:val="16"/>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4FCA0B3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color w:val="auto"/>
          <w:sz w:val="24"/>
          <w:highlight w:val="none"/>
          <w:lang w:val="en-US" w:eastAsia="zh-CN"/>
        </w:rPr>
        <w:t>三十</w:t>
      </w:r>
      <w:r>
        <w:rPr>
          <w:rFonts w:hint="eastAsia" w:ascii="宋体" w:hAnsi="宋体" w:eastAsia="宋体" w:cs="宋体"/>
          <w:color w:val="auto"/>
          <w:sz w:val="24"/>
          <w:highlight w:val="none"/>
          <w:u w:val="single"/>
        </w:rPr>
        <w:t>（</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1F6ECD01">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十、破产终止合同</w:t>
      </w:r>
    </w:p>
    <w:p w14:paraId="2C15E6D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74EA611D">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eastAsia="宋体" w:cs="宋体"/>
          <w:b/>
          <w:bCs/>
          <w:color w:val="auto"/>
          <w:sz w:val="24"/>
          <w:highlight w:val="none"/>
        </w:rPr>
        <w:t>、转让</w:t>
      </w:r>
    </w:p>
    <w:p w14:paraId="2056C00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127E3D64">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cs="宋体"/>
          <w:b/>
          <w:bCs/>
          <w:color w:val="auto"/>
          <w:sz w:val="24"/>
          <w:highlight w:val="none"/>
          <w:lang w:val="en-US" w:eastAsia="zh-CN"/>
        </w:rPr>
        <w:t>二</w:t>
      </w:r>
      <w:r>
        <w:rPr>
          <w:rFonts w:hint="eastAsia" w:ascii="宋体" w:hAnsi="宋体" w:eastAsia="宋体" w:cs="宋体"/>
          <w:b/>
          <w:bCs/>
          <w:color w:val="auto"/>
          <w:sz w:val="24"/>
          <w:highlight w:val="none"/>
          <w:lang w:val="zh-CN"/>
        </w:rPr>
        <w:t>、违约责任</w:t>
      </w:r>
    </w:p>
    <w:p w14:paraId="0C6C6978">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1.按《中华人民共和国民法典》中的相关条款执行。</w:t>
      </w:r>
    </w:p>
    <w:p w14:paraId="590464CD">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2.未按合同或采购文件要求提供服务，质量不能满足采购方技术要求，采购单位有权终止合同，甚至对供方违约行为进行追究。</w:t>
      </w:r>
    </w:p>
    <w:p w14:paraId="5161A85E">
      <w:pPr>
        <w:pStyle w:val="15"/>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3.乙方由于自身过错，延误按本合同规定的服务成果交付时间，每延误一天，应减收本合同总额的2‰作为延误违约金。</w:t>
      </w:r>
    </w:p>
    <w:p w14:paraId="01CE8DAA">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cs="宋体"/>
          <w:b/>
          <w:bCs/>
          <w:color w:val="auto"/>
          <w:sz w:val="24"/>
          <w:highlight w:val="none"/>
          <w:lang w:val="en-US" w:eastAsia="zh-CN"/>
        </w:rPr>
        <w:t>三</w:t>
      </w:r>
      <w:r>
        <w:rPr>
          <w:rFonts w:hint="eastAsia" w:ascii="宋体" w:hAnsi="宋体" w:eastAsia="宋体" w:cs="宋体"/>
          <w:b/>
          <w:bCs/>
          <w:color w:val="auto"/>
          <w:sz w:val="24"/>
          <w:highlight w:val="none"/>
        </w:rPr>
        <w:t>、合同争议和解决办法</w:t>
      </w:r>
    </w:p>
    <w:p w14:paraId="5A4084F7">
      <w:pPr>
        <w:pStyle w:val="4"/>
        <w:keepNext w:val="0"/>
        <w:keepLines w:val="0"/>
        <w:pageBreakBefore w:val="0"/>
        <w:kinsoku/>
        <w:wordWrap/>
        <w:topLinePunct w:val="0"/>
        <w:bidi w:val="0"/>
        <w:snapToGrid/>
        <w:spacing w:line="360"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执行本合同中产生纠纷，由采购人与成交单位双方协商解决；协商不成，向甲方所在地的人民法院提起诉讼。</w:t>
      </w:r>
    </w:p>
    <w:p w14:paraId="120F9C95">
      <w:pPr>
        <w:autoSpaceDE w:val="0"/>
        <w:autoSpaceDN w:val="0"/>
        <w:adjustRightInd w:val="0"/>
        <w:spacing w:line="360" w:lineRule="auto"/>
        <w:rPr>
          <w:rFonts w:ascii="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四</w:t>
      </w:r>
      <w:r>
        <w:rPr>
          <w:rFonts w:hint="eastAsia" w:ascii="宋体" w:hAnsi="宋体" w:cs="宋体"/>
          <w:b/>
          <w:bCs/>
          <w:sz w:val="24"/>
          <w:highlight w:val="none"/>
        </w:rPr>
        <w:t>、合同生效</w:t>
      </w:r>
    </w:p>
    <w:p w14:paraId="4D33D9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rPr>
      </w:pPr>
      <w:r>
        <w:rPr>
          <w:rFonts w:hint="eastAsia" w:ascii="宋体" w:hAnsi="宋体" w:cs="宋体"/>
          <w:sz w:val="24"/>
          <w:highlight w:val="none"/>
          <w:lang w:val="en-US" w:eastAsia="zh-CN"/>
        </w:rPr>
        <w:t>1.</w:t>
      </w:r>
      <w:r>
        <w:rPr>
          <w:rFonts w:hint="eastAsia" w:ascii="宋体" w:hAnsi="宋体" w:cs="宋体"/>
          <w:sz w:val="24"/>
          <w:highlight w:val="none"/>
        </w:rPr>
        <w:t>本合同须经甲、乙双方的法定代表人（委托代理人）在合同书上签字并加盖本单位公章后正式生效。</w:t>
      </w:r>
    </w:p>
    <w:p w14:paraId="731E8789">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2.</w:t>
      </w:r>
      <w:r>
        <w:rPr>
          <w:rFonts w:hint="eastAsia" w:ascii="宋体" w:hAnsi="宋体" w:cs="宋体"/>
          <w:sz w:val="24"/>
        </w:rPr>
        <w:t>合同生效后，甲、乙双方须严格执行本合同条款的规定，全面履行合同，违者按《中华人民共和国民法典》的有关规定承担相应责任。</w:t>
      </w:r>
    </w:p>
    <w:p w14:paraId="345BECD9">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sz w:val="24"/>
        </w:rPr>
      </w:pPr>
      <w:r>
        <w:rPr>
          <w:rFonts w:hint="eastAsia" w:ascii="宋体" w:hAnsi="宋体" w:cs="宋体"/>
          <w:sz w:val="24"/>
          <w:lang w:val="en-US" w:eastAsia="zh-CN"/>
        </w:rPr>
        <w:t>3.</w:t>
      </w:r>
      <w:r>
        <w:rPr>
          <w:rFonts w:hint="eastAsia" w:ascii="宋体" w:hAnsi="宋体" w:cs="宋体"/>
          <w:sz w:val="24"/>
        </w:rPr>
        <w:t>本合同一式</w:t>
      </w:r>
      <w:r>
        <w:rPr>
          <w:rFonts w:hint="eastAsia" w:ascii="宋体" w:hAnsi="宋体" w:cs="宋体"/>
          <w:sz w:val="24"/>
          <w:u w:val="single"/>
        </w:rPr>
        <w:t xml:space="preserve">   </w:t>
      </w:r>
      <w:r>
        <w:rPr>
          <w:rFonts w:hint="eastAsia" w:ascii="宋体" w:hAnsi="宋体" w:cs="宋体"/>
          <w:sz w:val="24"/>
        </w:rPr>
        <w:t>份，甲乙双方各执</w:t>
      </w:r>
      <w:r>
        <w:rPr>
          <w:rFonts w:hint="eastAsia" w:ascii="宋体" w:hAnsi="宋体" w:cs="宋体"/>
          <w:sz w:val="24"/>
          <w:u w:val="single"/>
        </w:rPr>
        <w:t xml:space="preserve">   </w:t>
      </w:r>
      <w:r>
        <w:rPr>
          <w:rFonts w:hint="eastAsia" w:ascii="宋体" w:hAnsi="宋体" w:cs="宋体"/>
          <w:sz w:val="24"/>
        </w:rPr>
        <w:t>份。</w:t>
      </w:r>
    </w:p>
    <w:p w14:paraId="483E9113">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ascii="宋体"/>
          <w:sz w:val="24"/>
        </w:rPr>
      </w:pPr>
      <w:r>
        <w:rPr>
          <w:rFonts w:hint="eastAsia" w:ascii="宋体" w:hAnsi="宋体" w:cs="宋体"/>
          <w:sz w:val="24"/>
          <w:lang w:val="en-US" w:eastAsia="zh-CN"/>
        </w:rPr>
        <w:t>4.</w:t>
      </w:r>
      <w:r>
        <w:rPr>
          <w:rFonts w:hint="eastAsia" w:ascii="宋体" w:hAnsi="宋体" w:cs="宋体"/>
          <w:sz w:val="24"/>
        </w:rPr>
        <w:t>本合同如有未尽事宜，甲、乙双方协商解决。</w:t>
      </w:r>
    </w:p>
    <w:p w14:paraId="5EFB5535">
      <w:pPr>
        <w:rPr>
          <w:rFonts w:hint="eastAsia" w:ascii="宋体" w:hAnsi="宋体" w:cs="宋体"/>
          <w:b/>
          <w:bCs/>
          <w:color w:val="000000"/>
          <w:sz w:val="36"/>
          <w:szCs w:val="36"/>
        </w:rPr>
      </w:pPr>
    </w:p>
    <w:p w14:paraId="027C0C1A">
      <w:pPr>
        <w:pStyle w:val="3"/>
        <w:rPr>
          <w:rFonts w:hint="eastAsia"/>
        </w:rPr>
      </w:pPr>
    </w:p>
    <w:tbl>
      <w:tblPr>
        <w:tblStyle w:val="8"/>
        <w:tblpPr w:leftFromText="180" w:rightFromText="180" w:vertAnchor="text" w:horzAnchor="page" w:tblpX="1937" w:tblpY="99"/>
        <w:tblOverlap w:val="never"/>
        <w:tblW w:w="8403" w:type="dxa"/>
        <w:tblInd w:w="0" w:type="dxa"/>
        <w:tblLayout w:type="fixed"/>
        <w:tblCellMar>
          <w:top w:w="0" w:type="dxa"/>
          <w:left w:w="108" w:type="dxa"/>
          <w:bottom w:w="0" w:type="dxa"/>
          <w:right w:w="108" w:type="dxa"/>
        </w:tblCellMar>
      </w:tblPr>
      <w:tblGrid>
        <w:gridCol w:w="4201"/>
        <w:gridCol w:w="4202"/>
      </w:tblGrid>
      <w:tr w14:paraId="1E3A62C7">
        <w:tblPrEx>
          <w:tblCellMar>
            <w:top w:w="0" w:type="dxa"/>
            <w:left w:w="108" w:type="dxa"/>
            <w:bottom w:w="0" w:type="dxa"/>
            <w:right w:w="108" w:type="dxa"/>
          </w:tblCellMar>
        </w:tblPrEx>
        <w:trPr>
          <w:trHeight w:val="454" w:hRule="atLeast"/>
        </w:trPr>
        <w:tc>
          <w:tcPr>
            <w:tcW w:w="4201" w:type="dxa"/>
            <w:noWrap w:val="0"/>
            <w:vAlign w:val="center"/>
          </w:tcPr>
          <w:p w14:paraId="7F70E80D">
            <w:pPr>
              <w:spacing w:line="240" w:lineRule="auto"/>
              <w:ind w:firstLine="480" w:firstLineChars="200"/>
              <w:rPr>
                <w:rFonts w:ascii="宋体"/>
                <w:sz w:val="24"/>
              </w:rPr>
            </w:pPr>
            <w:r>
              <w:rPr>
                <w:rFonts w:hint="eastAsia" w:ascii="宋体" w:hAnsi="宋体" w:cs="宋体"/>
                <w:sz w:val="24"/>
              </w:rPr>
              <w:t>甲</w:t>
            </w:r>
            <w:r>
              <w:rPr>
                <w:rFonts w:ascii="宋体" w:hAnsi="宋体" w:cs="宋体"/>
                <w:sz w:val="24"/>
              </w:rPr>
              <w:t xml:space="preserve">  </w:t>
            </w:r>
            <w:r>
              <w:rPr>
                <w:rFonts w:hint="eastAsia" w:ascii="宋体" w:hAnsi="宋体" w:cs="宋体"/>
                <w:sz w:val="24"/>
              </w:rPr>
              <w:t>方</w:t>
            </w:r>
          </w:p>
        </w:tc>
        <w:tc>
          <w:tcPr>
            <w:tcW w:w="4202" w:type="dxa"/>
            <w:noWrap w:val="0"/>
            <w:vAlign w:val="center"/>
          </w:tcPr>
          <w:p w14:paraId="24E08AB5">
            <w:pPr>
              <w:spacing w:line="240" w:lineRule="auto"/>
              <w:ind w:firstLine="480" w:firstLineChars="200"/>
              <w:rPr>
                <w:rFonts w:ascii="宋体"/>
                <w:sz w:val="24"/>
              </w:rPr>
            </w:pPr>
            <w:r>
              <w:rPr>
                <w:rFonts w:hint="eastAsia" w:ascii="宋体" w:hAnsi="宋体" w:cs="宋体"/>
                <w:sz w:val="24"/>
              </w:rPr>
              <w:t>乙</w:t>
            </w:r>
            <w:r>
              <w:rPr>
                <w:rFonts w:ascii="宋体" w:hAnsi="宋体" w:cs="宋体"/>
                <w:sz w:val="24"/>
              </w:rPr>
              <w:t xml:space="preserve">  </w:t>
            </w:r>
            <w:r>
              <w:rPr>
                <w:rFonts w:hint="eastAsia" w:ascii="宋体" w:hAnsi="宋体" w:cs="宋体"/>
                <w:sz w:val="24"/>
              </w:rPr>
              <w:t>方</w:t>
            </w:r>
          </w:p>
        </w:tc>
      </w:tr>
      <w:tr w14:paraId="59D937CD">
        <w:tblPrEx>
          <w:tblCellMar>
            <w:top w:w="0" w:type="dxa"/>
            <w:left w:w="108" w:type="dxa"/>
            <w:bottom w:w="0" w:type="dxa"/>
            <w:right w:w="108" w:type="dxa"/>
          </w:tblCellMar>
        </w:tblPrEx>
        <w:trPr>
          <w:trHeight w:val="454" w:hRule="atLeast"/>
        </w:trPr>
        <w:tc>
          <w:tcPr>
            <w:tcW w:w="4201" w:type="dxa"/>
            <w:noWrap w:val="0"/>
            <w:vAlign w:val="center"/>
          </w:tcPr>
          <w:p w14:paraId="0A5324FA">
            <w:pPr>
              <w:spacing w:line="240" w:lineRule="auto"/>
              <w:ind w:firstLine="480" w:firstLineChars="200"/>
              <w:rPr>
                <w:rFonts w:ascii="宋体"/>
                <w:sz w:val="24"/>
              </w:rPr>
            </w:pPr>
            <w:r>
              <w:rPr>
                <w:rFonts w:hint="eastAsia" w:ascii="宋体" w:hAnsi="宋体" w:cs="宋体"/>
                <w:sz w:val="24"/>
              </w:rPr>
              <w:t>（盖章）</w:t>
            </w:r>
          </w:p>
        </w:tc>
        <w:tc>
          <w:tcPr>
            <w:tcW w:w="4202" w:type="dxa"/>
            <w:noWrap w:val="0"/>
            <w:vAlign w:val="center"/>
          </w:tcPr>
          <w:p w14:paraId="7716C497">
            <w:pPr>
              <w:spacing w:line="240" w:lineRule="auto"/>
              <w:ind w:firstLine="480" w:firstLineChars="200"/>
              <w:rPr>
                <w:rFonts w:ascii="宋体"/>
                <w:sz w:val="24"/>
              </w:rPr>
            </w:pPr>
            <w:r>
              <w:rPr>
                <w:rFonts w:hint="eastAsia" w:ascii="宋体" w:hAnsi="宋体" w:cs="宋体"/>
                <w:sz w:val="24"/>
              </w:rPr>
              <w:t>（盖章）</w:t>
            </w:r>
          </w:p>
        </w:tc>
      </w:tr>
      <w:tr w14:paraId="0B87DE42">
        <w:tblPrEx>
          <w:tblCellMar>
            <w:top w:w="0" w:type="dxa"/>
            <w:left w:w="108" w:type="dxa"/>
            <w:bottom w:w="0" w:type="dxa"/>
            <w:right w:w="108" w:type="dxa"/>
          </w:tblCellMar>
        </w:tblPrEx>
        <w:trPr>
          <w:trHeight w:val="454" w:hRule="atLeast"/>
        </w:trPr>
        <w:tc>
          <w:tcPr>
            <w:tcW w:w="4201" w:type="dxa"/>
            <w:noWrap w:val="0"/>
            <w:vAlign w:val="center"/>
          </w:tcPr>
          <w:p w14:paraId="1BF74EEE">
            <w:pPr>
              <w:spacing w:line="240" w:lineRule="auto"/>
              <w:ind w:firstLine="480" w:firstLineChars="200"/>
              <w:rPr>
                <w:rFonts w:ascii="宋体" w:hAnsi="宋体" w:cs="宋体"/>
                <w:sz w:val="24"/>
              </w:rPr>
            </w:pPr>
            <w:r>
              <w:rPr>
                <w:rFonts w:hint="eastAsia" w:ascii="宋体" w:hAnsi="宋体" w:cs="宋体"/>
                <w:sz w:val="24"/>
              </w:rPr>
              <w:t>地址：</w:t>
            </w:r>
            <w:r>
              <w:rPr>
                <w:rFonts w:ascii="宋体" w:hAnsi="宋体" w:cs="宋体"/>
                <w:sz w:val="24"/>
              </w:rPr>
              <w:t xml:space="preserve"> </w:t>
            </w:r>
          </w:p>
        </w:tc>
        <w:tc>
          <w:tcPr>
            <w:tcW w:w="4202" w:type="dxa"/>
            <w:noWrap w:val="0"/>
            <w:vAlign w:val="center"/>
          </w:tcPr>
          <w:p w14:paraId="2EF02076">
            <w:pPr>
              <w:spacing w:line="240" w:lineRule="auto"/>
              <w:ind w:firstLine="480" w:firstLineChars="200"/>
              <w:rPr>
                <w:rFonts w:ascii="宋体"/>
                <w:sz w:val="24"/>
              </w:rPr>
            </w:pPr>
            <w:r>
              <w:rPr>
                <w:rFonts w:hint="eastAsia" w:ascii="宋体" w:hAnsi="宋体" w:cs="宋体"/>
                <w:sz w:val="24"/>
              </w:rPr>
              <w:t>地址：</w:t>
            </w:r>
          </w:p>
        </w:tc>
      </w:tr>
      <w:tr w14:paraId="6936588C">
        <w:tblPrEx>
          <w:tblCellMar>
            <w:top w:w="0" w:type="dxa"/>
            <w:left w:w="108" w:type="dxa"/>
            <w:bottom w:w="0" w:type="dxa"/>
            <w:right w:w="108" w:type="dxa"/>
          </w:tblCellMar>
        </w:tblPrEx>
        <w:trPr>
          <w:trHeight w:val="454" w:hRule="atLeast"/>
        </w:trPr>
        <w:tc>
          <w:tcPr>
            <w:tcW w:w="4201" w:type="dxa"/>
            <w:noWrap w:val="0"/>
            <w:vAlign w:val="center"/>
          </w:tcPr>
          <w:p w14:paraId="4753033B">
            <w:pPr>
              <w:spacing w:line="240" w:lineRule="auto"/>
              <w:ind w:firstLine="480" w:firstLineChars="200"/>
              <w:rPr>
                <w:rFonts w:ascii="宋体"/>
                <w:sz w:val="24"/>
              </w:rPr>
            </w:pPr>
            <w:r>
              <w:rPr>
                <w:rFonts w:hint="eastAsia" w:ascii="宋体" w:hAnsi="宋体" w:cs="宋体"/>
                <w:sz w:val="24"/>
              </w:rPr>
              <w:t>邮编：</w:t>
            </w:r>
          </w:p>
        </w:tc>
        <w:tc>
          <w:tcPr>
            <w:tcW w:w="4202" w:type="dxa"/>
            <w:noWrap w:val="0"/>
            <w:vAlign w:val="center"/>
          </w:tcPr>
          <w:p w14:paraId="54252068">
            <w:pPr>
              <w:spacing w:line="240" w:lineRule="auto"/>
              <w:ind w:firstLine="480" w:firstLineChars="200"/>
              <w:rPr>
                <w:rFonts w:ascii="宋体"/>
                <w:sz w:val="24"/>
              </w:rPr>
            </w:pPr>
            <w:r>
              <w:rPr>
                <w:rFonts w:hint="eastAsia" w:ascii="宋体" w:hAnsi="宋体" w:cs="宋体"/>
                <w:sz w:val="24"/>
              </w:rPr>
              <w:t>邮编：</w:t>
            </w:r>
          </w:p>
        </w:tc>
      </w:tr>
      <w:tr w14:paraId="0E6E3B5E">
        <w:tblPrEx>
          <w:tblCellMar>
            <w:top w:w="0" w:type="dxa"/>
            <w:left w:w="108" w:type="dxa"/>
            <w:bottom w:w="0" w:type="dxa"/>
            <w:right w:w="108" w:type="dxa"/>
          </w:tblCellMar>
        </w:tblPrEx>
        <w:trPr>
          <w:trHeight w:val="454" w:hRule="atLeast"/>
        </w:trPr>
        <w:tc>
          <w:tcPr>
            <w:tcW w:w="4201" w:type="dxa"/>
            <w:noWrap w:val="0"/>
            <w:vAlign w:val="center"/>
          </w:tcPr>
          <w:p w14:paraId="059CCB38">
            <w:pPr>
              <w:spacing w:line="240" w:lineRule="auto"/>
              <w:ind w:firstLine="480" w:firstLineChars="200"/>
              <w:rPr>
                <w:rFonts w:ascii="宋体" w:hAnsi="宋体" w:cs="宋体"/>
                <w:sz w:val="24"/>
              </w:rPr>
            </w:pPr>
            <w:r>
              <w:rPr>
                <w:rFonts w:hint="eastAsia" w:ascii="宋体" w:hAnsi="宋体" w:cs="宋体"/>
                <w:sz w:val="24"/>
              </w:rPr>
              <w:t>法定代表人：</w:t>
            </w:r>
            <w:r>
              <w:rPr>
                <w:rFonts w:ascii="宋体" w:hAnsi="宋体" w:cs="宋体"/>
                <w:sz w:val="24"/>
              </w:rPr>
              <w:t xml:space="preserve"> </w:t>
            </w:r>
          </w:p>
        </w:tc>
        <w:tc>
          <w:tcPr>
            <w:tcW w:w="4202" w:type="dxa"/>
            <w:noWrap w:val="0"/>
            <w:vAlign w:val="center"/>
          </w:tcPr>
          <w:p w14:paraId="33FB019A">
            <w:pPr>
              <w:spacing w:line="240" w:lineRule="auto"/>
              <w:ind w:firstLine="480" w:firstLineChars="200"/>
              <w:rPr>
                <w:rFonts w:ascii="宋体"/>
                <w:sz w:val="24"/>
              </w:rPr>
            </w:pPr>
            <w:r>
              <w:rPr>
                <w:rFonts w:hint="eastAsia" w:ascii="宋体" w:hAnsi="宋体" w:cs="宋体"/>
                <w:sz w:val="24"/>
              </w:rPr>
              <w:t>法定代表人：</w:t>
            </w:r>
          </w:p>
        </w:tc>
      </w:tr>
      <w:tr w14:paraId="133FA2D8">
        <w:tblPrEx>
          <w:tblCellMar>
            <w:top w:w="0" w:type="dxa"/>
            <w:left w:w="108" w:type="dxa"/>
            <w:bottom w:w="0" w:type="dxa"/>
            <w:right w:w="108" w:type="dxa"/>
          </w:tblCellMar>
        </w:tblPrEx>
        <w:trPr>
          <w:trHeight w:val="454" w:hRule="atLeast"/>
        </w:trPr>
        <w:tc>
          <w:tcPr>
            <w:tcW w:w="4201" w:type="dxa"/>
            <w:noWrap w:val="0"/>
            <w:vAlign w:val="center"/>
          </w:tcPr>
          <w:p w14:paraId="0483A51C">
            <w:pPr>
              <w:spacing w:line="240" w:lineRule="auto"/>
              <w:ind w:firstLine="480" w:firstLineChars="200"/>
              <w:rPr>
                <w:rFonts w:ascii="宋体"/>
                <w:sz w:val="24"/>
              </w:rPr>
            </w:pPr>
            <w:r>
              <w:rPr>
                <w:rFonts w:hint="eastAsia" w:ascii="宋体" w:hAnsi="宋体" w:cs="宋体"/>
                <w:sz w:val="24"/>
              </w:rPr>
              <w:t>委托代理人：</w:t>
            </w:r>
          </w:p>
        </w:tc>
        <w:tc>
          <w:tcPr>
            <w:tcW w:w="4202" w:type="dxa"/>
            <w:noWrap w:val="0"/>
            <w:vAlign w:val="center"/>
          </w:tcPr>
          <w:p w14:paraId="70D1247C">
            <w:pPr>
              <w:spacing w:line="240" w:lineRule="auto"/>
              <w:ind w:firstLine="480" w:firstLineChars="200"/>
              <w:rPr>
                <w:rFonts w:ascii="宋体"/>
                <w:sz w:val="24"/>
              </w:rPr>
            </w:pPr>
            <w:r>
              <w:rPr>
                <w:rFonts w:hint="eastAsia" w:ascii="宋体" w:hAnsi="宋体" w:cs="宋体"/>
                <w:sz w:val="24"/>
              </w:rPr>
              <w:t>委托代理人：</w:t>
            </w:r>
          </w:p>
        </w:tc>
      </w:tr>
      <w:tr w14:paraId="564F6060">
        <w:tblPrEx>
          <w:tblCellMar>
            <w:top w:w="0" w:type="dxa"/>
            <w:left w:w="108" w:type="dxa"/>
            <w:bottom w:w="0" w:type="dxa"/>
            <w:right w:w="108" w:type="dxa"/>
          </w:tblCellMar>
        </w:tblPrEx>
        <w:trPr>
          <w:trHeight w:val="454" w:hRule="atLeast"/>
        </w:trPr>
        <w:tc>
          <w:tcPr>
            <w:tcW w:w="4201" w:type="dxa"/>
            <w:noWrap w:val="0"/>
            <w:vAlign w:val="center"/>
          </w:tcPr>
          <w:p w14:paraId="68856349">
            <w:pPr>
              <w:spacing w:line="240" w:lineRule="auto"/>
              <w:ind w:firstLine="480" w:firstLineChars="200"/>
              <w:rPr>
                <w:rFonts w:ascii="宋体"/>
                <w:sz w:val="24"/>
              </w:rPr>
            </w:pPr>
            <w:r>
              <w:rPr>
                <w:rFonts w:hint="eastAsia" w:ascii="宋体" w:hAnsi="宋体" w:cs="宋体"/>
                <w:sz w:val="24"/>
              </w:rPr>
              <w:t>电话：</w:t>
            </w:r>
          </w:p>
        </w:tc>
        <w:tc>
          <w:tcPr>
            <w:tcW w:w="4202" w:type="dxa"/>
            <w:noWrap w:val="0"/>
            <w:vAlign w:val="center"/>
          </w:tcPr>
          <w:p w14:paraId="3A5BB60B">
            <w:pPr>
              <w:spacing w:line="240" w:lineRule="auto"/>
              <w:ind w:firstLine="480" w:firstLineChars="200"/>
              <w:rPr>
                <w:rFonts w:ascii="宋体"/>
                <w:sz w:val="24"/>
              </w:rPr>
            </w:pPr>
            <w:r>
              <w:rPr>
                <w:rFonts w:hint="eastAsia" w:ascii="宋体" w:hAnsi="宋体" w:cs="宋体"/>
                <w:sz w:val="24"/>
              </w:rPr>
              <w:t>电话：</w:t>
            </w:r>
          </w:p>
        </w:tc>
      </w:tr>
      <w:tr w14:paraId="3A2A5036">
        <w:tblPrEx>
          <w:tblCellMar>
            <w:top w:w="0" w:type="dxa"/>
            <w:left w:w="108" w:type="dxa"/>
            <w:bottom w:w="0" w:type="dxa"/>
            <w:right w:w="108" w:type="dxa"/>
          </w:tblCellMar>
        </w:tblPrEx>
        <w:trPr>
          <w:trHeight w:val="454" w:hRule="atLeast"/>
        </w:trPr>
        <w:tc>
          <w:tcPr>
            <w:tcW w:w="4201" w:type="dxa"/>
            <w:noWrap w:val="0"/>
            <w:vAlign w:val="center"/>
          </w:tcPr>
          <w:p w14:paraId="4BEC34B3">
            <w:pPr>
              <w:spacing w:line="240" w:lineRule="auto"/>
              <w:ind w:firstLine="480" w:firstLineChars="200"/>
              <w:rPr>
                <w:rFonts w:ascii="宋体"/>
                <w:sz w:val="24"/>
              </w:rPr>
            </w:pPr>
            <w:r>
              <w:rPr>
                <w:rFonts w:hint="eastAsia" w:ascii="宋体" w:hAnsi="宋体" w:cs="宋体"/>
                <w:sz w:val="24"/>
              </w:rPr>
              <w:t>传真：</w:t>
            </w:r>
          </w:p>
        </w:tc>
        <w:tc>
          <w:tcPr>
            <w:tcW w:w="4202" w:type="dxa"/>
            <w:noWrap w:val="0"/>
            <w:vAlign w:val="center"/>
          </w:tcPr>
          <w:p w14:paraId="1E420FCE">
            <w:pPr>
              <w:spacing w:line="240" w:lineRule="auto"/>
              <w:ind w:firstLine="480" w:firstLineChars="200"/>
              <w:rPr>
                <w:rFonts w:ascii="宋体"/>
                <w:sz w:val="24"/>
              </w:rPr>
            </w:pPr>
            <w:r>
              <w:rPr>
                <w:rFonts w:hint="eastAsia" w:ascii="宋体" w:hAnsi="宋体" w:cs="宋体"/>
                <w:sz w:val="24"/>
              </w:rPr>
              <w:t>传真：</w:t>
            </w:r>
          </w:p>
        </w:tc>
      </w:tr>
      <w:tr w14:paraId="1DF9C4FA">
        <w:tblPrEx>
          <w:tblCellMar>
            <w:top w:w="0" w:type="dxa"/>
            <w:left w:w="108" w:type="dxa"/>
            <w:bottom w:w="0" w:type="dxa"/>
            <w:right w:w="108" w:type="dxa"/>
          </w:tblCellMar>
        </w:tblPrEx>
        <w:trPr>
          <w:trHeight w:val="454" w:hRule="atLeast"/>
        </w:trPr>
        <w:tc>
          <w:tcPr>
            <w:tcW w:w="4201" w:type="dxa"/>
            <w:noWrap w:val="0"/>
            <w:vAlign w:val="center"/>
          </w:tcPr>
          <w:p w14:paraId="6E3F03CC">
            <w:pPr>
              <w:spacing w:line="240" w:lineRule="auto"/>
              <w:ind w:firstLine="480" w:firstLineChars="200"/>
              <w:rPr>
                <w:rFonts w:ascii="宋体"/>
                <w:sz w:val="24"/>
              </w:rPr>
            </w:pPr>
            <w:r>
              <w:rPr>
                <w:rFonts w:hint="eastAsia" w:ascii="宋体" w:hAnsi="宋体" w:cs="宋体"/>
                <w:sz w:val="24"/>
              </w:rPr>
              <w:t>开户银行：</w:t>
            </w:r>
          </w:p>
        </w:tc>
        <w:tc>
          <w:tcPr>
            <w:tcW w:w="4202" w:type="dxa"/>
            <w:noWrap w:val="0"/>
            <w:vAlign w:val="center"/>
          </w:tcPr>
          <w:p w14:paraId="6F59DE6E">
            <w:pPr>
              <w:spacing w:line="240" w:lineRule="auto"/>
              <w:ind w:firstLine="480" w:firstLineChars="200"/>
              <w:rPr>
                <w:rFonts w:ascii="宋体"/>
                <w:sz w:val="24"/>
              </w:rPr>
            </w:pPr>
            <w:r>
              <w:rPr>
                <w:rFonts w:hint="eastAsia" w:ascii="宋体" w:hAnsi="宋体" w:cs="宋体"/>
                <w:sz w:val="24"/>
              </w:rPr>
              <w:t>开户银行：</w:t>
            </w:r>
          </w:p>
        </w:tc>
      </w:tr>
      <w:tr w14:paraId="5A99833F">
        <w:tblPrEx>
          <w:tblCellMar>
            <w:top w:w="0" w:type="dxa"/>
            <w:left w:w="108" w:type="dxa"/>
            <w:bottom w:w="0" w:type="dxa"/>
            <w:right w:w="108" w:type="dxa"/>
          </w:tblCellMar>
        </w:tblPrEx>
        <w:trPr>
          <w:trHeight w:val="454" w:hRule="atLeast"/>
        </w:trPr>
        <w:tc>
          <w:tcPr>
            <w:tcW w:w="4201" w:type="dxa"/>
            <w:noWrap w:val="0"/>
            <w:vAlign w:val="center"/>
          </w:tcPr>
          <w:p w14:paraId="30D62411">
            <w:pPr>
              <w:spacing w:line="240" w:lineRule="auto"/>
              <w:ind w:firstLine="480" w:firstLineChars="200"/>
              <w:rPr>
                <w:rFonts w:ascii="宋体"/>
                <w:sz w:val="24"/>
              </w:rPr>
            </w:pPr>
            <w:r>
              <w:rPr>
                <w:rFonts w:hint="eastAsia" w:ascii="宋体" w:hAnsi="宋体" w:cs="宋体"/>
                <w:sz w:val="24"/>
              </w:rPr>
              <w:t>日期：</w:t>
            </w:r>
          </w:p>
        </w:tc>
        <w:tc>
          <w:tcPr>
            <w:tcW w:w="4202" w:type="dxa"/>
            <w:noWrap w:val="0"/>
            <w:vAlign w:val="center"/>
          </w:tcPr>
          <w:p w14:paraId="282A856C">
            <w:pPr>
              <w:spacing w:line="240" w:lineRule="auto"/>
              <w:ind w:firstLine="480" w:firstLineChars="200"/>
              <w:rPr>
                <w:rFonts w:ascii="宋体"/>
                <w:sz w:val="24"/>
              </w:rPr>
            </w:pPr>
            <w:r>
              <w:rPr>
                <w:rFonts w:hint="eastAsia" w:ascii="宋体" w:hAnsi="宋体" w:cs="宋体"/>
                <w:sz w:val="24"/>
              </w:rPr>
              <w:t>日期：</w:t>
            </w:r>
          </w:p>
        </w:tc>
      </w:tr>
    </w:tbl>
    <w:p w14:paraId="7775DAEA">
      <w:pPr>
        <w:keepNext w:val="0"/>
        <w:keepLines w:val="0"/>
        <w:pageBreakBefore w:val="0"/>
        <w:widowControl w:val="0"/>
        <w:tabs>
          <w:tab w:val="left" w:pos="480"/>
        </w:tabs>
        <w:kinsoku/>
        <w:wordWrap w:val="0"/>
        <w:overflowPunct/>
        <w:topLinePunct w:val="0"/>
        <w:autoSpaceDE w:val="0"/>
        <w:autoSpaceDN w:val="0"/>
        <w:bidi w:val="0"/>
        <w:snapToGrid w:val="0"/>
        <w:spacing w:line="360" w:lineRule="auto"/>
        <w:ind w:left="6480" w:hanging="5670" w:hangingChars="2700"/>
        <w:textAlignment w:val="auto"/>
        <w:outlineLvl w:val="9"/>
      </w:pP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926C2">
    <w:pPr>
      <w:spacing w:line="280" w:lineRule="exact"/>
      <w:jc w:val="center"/>
      <w:rPr>
        <w:rFonts w:hint="eastAsia" w:ascii="宋体" w:hAnsi="宋体" w:eastAsia="宋体" w:cs="宋体"/>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4AA73">
    <w:pPr>
      <w:pStyle w:val="6"/>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TY0NmJiZTFjMWM5NjMyNjYxZDVlOGFiZmY3NjMifQ=="/>
  </w:docVars>
  <w:rsids>
    <w:rsidRoot w:val="00000000"/>
    <w:rsid w:val="0B875F67"/>
    <w:rsid w:val="11BC0DBD"/>
    <w:rsid w:val="216257F0"/>
    <w:rsid w:val="325F73B6"/>
    <w:rsid w:val="42AA4CF5"/>
    <w:rsid w:val="4459161E"/>
    <w:rsid w:val="4CA534D7"/>
    <w:rsid w:val="54900FE2"/>
    <w:rsid w:val="60ED2128"/>
    <w:rsid w:val="6CB7770C"/>
    <w:rsid w:val="70817A74"/>
    <w:rsid w:val="74E05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99"/>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99"/>
    <w:pPr>
      <w:spacing w:before="240" w:after="60"/>
      <w:jc w:val="center"/>
      <w:outlineLvl w:val="0"/>
    </w:pPr>
    <w:rPr>
      <w:rFonts w:ascii="Arial" w:hAnsi="Arial"/>
      <w:b/>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一级条标题"/>
    <w:basedOn w:val="12"/>
    <w:next w:val="13"/>
    <w:qFormat/>
    <w:uiPriority w:val="99"/>
    <w:pPr>
      <w:spacing w:line="240" w:lineRule="auto"/>
      <w:ind w:left="420"/>
      <w:outlineLvl w:val="2"/>
    </w:pPr>
  </w:style>
  <w:style w:type="paragraph" w:customStyle="1" w:styleId="12">
    <w:name w:val="章标题"/>
    <w:next w:val="1"/>
    <w:qFormat/>
    <w:uiPriority w:val="99"/>
    <w:pPr>
      <w:spacing w:line="360" w:lineRule="auto"/>
      <w:jc w:val="both"/>
      <w:outlineLvl w:val="1"/>
    </w:pPr>
    <w:rPr>
      <w:rFonts w:ascii="黑体" w:hAnsi="Times New Roman" w:eastAsia="黑体" w:cs="黑体"/>
      <w:sz w:val="21"/>
      <w:szCs w:val="21"/>
      <w:lang w:val="en-US" w:eastAsia="zh-CN" w:bidi="ar-SA"/>
    </w:rPr>
  </w:style>
  <w:style w:type="paragraph" w:customStyle="1" w:styleId="13">
    <w:name w:val="段"/>
    <w:next w:val="1"/>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4">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3038</Words>
  <Characters>3119</Characters>
  <Lines>0</Lines>
  <Paragraphs>0</Paragraphs>
  <TotalTime>0</TotalTime>
  <ScaleCrop>false</ScaleCrop>
  <LinksUpToDate>false</LinksUpToDate>
  <CharactersWithSpaces>3204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2024-05-27T02:00:00Z</dcterms:created>
  <dc:creator>Administrator</dc:creator>
  <cp:lastModifiedBy>bling  bling</cp:lastModifiedBy>
  <dcterms:modified xsi:type="dcterms:W3CDTF">2026-07-08T02:09:27Z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9A55CE3127E749449B5B3F2F20A97787_12</vt:lpwstr>
  </property>
  <property fmtid="{D5CDD505-2E9C-101B-9397-08002B2CF9AE}" pid="4" name="KSOTemplateDocerSaveRecord">
    <vt:lpwstr>eyJoZGlkIjoiOTM4MWZlYzIyYzlkNWU5YzViOGVkNzkwNTQwYWY4NTMiLCJ1c2VySWQiOiI1NTAzMTkyMTcifQ==</vt:lpwstr>
  </property>
</Properties>
</file>