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版本号：HSGJ2026-17020260708001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陕西福彩APP及站点支付平台云资源服务项目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HSGJ2026-170</w:t>
      </w:r>
      <w:r>
        <w:br/>
      </w:r>
      <w:r>
        <w:br/>
      </w:r>
      <w:r>
        <w:br/>
      </w:r>
    </w:p>
    <w:p>
      <w:pPr>
        <w:pStyle w:val="null3"/>
        <w:jc w:val="center"/>
        <w:outlineLvl w:val="2"/>
      </w:pPr>
      <w:r>
        <w:rPr>
          <w:rFonts w:ascii="仿宋_GB2312" w:hAnsi="仿宋_GB2312" w:cs="仿宋_GB2312" w:eastAsia="仿宋_GB2312"/>
          <w:sz w:val="28"/>
          <w:b/>
        </w:rPr>
        <w:t>陕西省福利彩票发行中心</w:t>
      </w:r>
    </w:p>
    <w:p>
      <w:pPr>
        <w:pStyle w:val="null3"/>
        <w:jc w:val="center"/>
        <w:outlineLvl w:val="2"/>
      </w:pPr>
      <w:r>
        <w:rPr>
          <w:rFonts w:ascii="仿宋_GB2312" w:hAnsi="仿宋_GB2312" w:cs="仿宋_GB2312" w:eastAsia="仿宋_GB2312"/>
          <w:sz w:val="28"/>
          <w:b/>
        </w:rPr>
        <w:t>华晟国际项目管理有限公司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陕西省福利彩票发行中心</w:t>
      </w:r>
      <w:r>
        <w:rPr>
          <w:rFonts w:ascii="仿宋_GB2312" w:hAnsi="仿宋_GB2312" w:cs="仿宋_GB2312" w:eastAsia="仿宋_GB2312"/>
        </w:rPr>
        <w:t>委托，拟对</w:t>
      </w:r>
      <w:r>
        <w:rPr>
          <w:rFonts w:ascii="仿宋_GB2312" w:hAnsi="仿宋_GB2312" w:cs="仿宋_GB2312" w:eastAsia="仿宋_GB2312"/>
        </w:rPr>
        <w:t>陕西福彩APP及站点支付平台云资源服务项目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HSGJ2026-170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陕西福彩APP及站点支付平台云资源服务项目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陕西福彩APP及站点支付平台云资源服务项目，具体内容详见第三章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2、财务状况报告：提供2025年度的财务审计报告（报告需在注册会计师行业统一监管平台备案赋码）或开标前六个月内其基本存款账户开户银行出具的资信证明（附开户许可证或开户备案证明或基本账户信息）；</w:t>
      </w:r>
    </w:p>
    <w:p>
      <w:pPr>
        <w:pStyle w:val="null3"/>
      </w:pPr>
      <w:r>
        <w:rPr>
          <w:rFonts w:ascii="仿宋_GB2312" w:hAnsi="仿宋_GB2312" w:cs="仿宋_GB2312" w:eastAsia="仿宋_GB2312"/>
        </w:rPr>
        <w:t>3、社会保障资金缴纳证明：提供2026年1月至今已缴存的至少一个月的社会保障资金缴存单据或社保机构开具的社会保险参保缴费情况证明，依法不需要缴纳社会保障资金的单位应提供相关证明材料；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4、税收缴纳证明：提供2026年1月至今已缴纳的至少一个月的纳税证明，依法免税的单位应提供相关证明材料；</w:t>
      </w:r>
    </w:p>
    <w:p>
      <w:pPr>
        <w:pStyle w:val="null3"/>
      </w:pPr>
      <w:r>
        <w:rPr>
          <w:rFonts w:ascii="仿宋_GB2312" w:hAnsi="仿宋_GB2312" w:cs="仿宋_GB2312" w:eastAsia="仿宋_GB2312"/>
        </w:rPr>
        <w:t>5、无重大违法记录声明：近3年内在经营活动中没有重大违法记录的书面声明；</w:t>
      </w:r>
    </w:p>
    <w:p>
      <w:pPr>
        <w:pStyle w:val="null3"/>
      </w:pPr>
      <w:r>
        <w:rPr>
          <w:rFonts w:ascii="仿宋_GB2312" w:hAnsi="仿宋_GB2312" w:cs="仿宋_GB2312" w:eastAsia="仿宋_GB2312"/>
        </w:rPr>
        <w:t>6、专业技术能力证明：具备履行合同所必需的设备和专业技术能力的证明材料(由供应商根据项目需求提供说明材料或者承诺)；</w:t>
      </w:r>
    </w:p>
    <w:p>
      <w:pPr>
        <w:pStyle w:val="null3"/>
      </w:pPr>
      <w:r>
        <w:rPr>
          <w:rFonts w:ascii="仿宋_GB2312" w:hAnsi="仿宋_GB2312" w:cs="仿宋_GB2312" w:eastAsia="仿宋_GB2312"/>
        </w:rPr>
        <w:t>7、信用查询：在“信用中国”网站（www.creditchina.gov.cn）和“中国政府采购网”（ccgp.gov.cn）对响应单位信用信息进行查询，如果响应单位被查实在开标前已列入失信被执行人、重大税收违法失信主体、政府采购严重违法失信行为记录名单，其响应为无效；（以磋商当天代理机构核查为准）。</w:t>
      </w:r>
    </w:p>
    <w:p>
      <w:pPr>
        <w:pStyle w:val="null3"/>
      </w:pPr>
      <w:r>
        <w:rPr>
          <w:rFonts w:ascii="仿宋_GB2312" w:hAnsi="仿宋_GB2312" w:cs="仿宋_GB2312" w:eastAsia="仿宋_GB2312"/>
        </w:rPr>
        <w:t>8、法定代表人委托授权书\身份证明：供应商应授权合法的人员参加磋商全过程，其中法定代表人直接参加磋商的，须出具法定代表人身份证，并与营业执照上信息一致。法定代表人授权代表参加磋商的，须出具法定代表人授权书及授权代表身份证。（其他组织或自然人参照执行）</w:t>
      </w:r>
    </w:p>
    <w:p>
      <w:pPr>
        <w:pStyle w:val="null3"/>
      </w:pPr>
      <w:r>
        <w:rPr>
          <w:rFonts w:ascii="仿宋_GB2312" w:hAnsi="仿宋_GB2312" w:cs="仿宋_GB2312" w:eastAsia="仿宋_GB2312"/>
        </w:rPr>
        <w:t>9、关联关系：单位负责人为同一人或者存在直接控股、管理关系的不同供应商不得参加同一合同项下的政府采购活动；为本项目提供整体设计、规范编制或者项目管理、监理、检测等服务的供应商 ，不得再参加该采购项目的其他采购活动。</w:t>
      </w:r>
    </w:p>
    <w:p>
      <w:pPr>
        <w:pStyle w:val="null3"/>
      </w:pPr>
      <w:r>
        <w:rPr>
          <w:rFonts w:ascii="仿宋_GB2312" w:hAnsi="仿宋_GB2312" w:cs="仿宋_GB2312" w:eastAsia="仿宋_GB2312"/>
        </w:rPr>
        <w:t>10、磋商保证金：磋商保证金转账凭证或担保函（供应商若提交保函，应于响应文件递交截止时间前将保函扫描件发送至代理机构邮箱）。</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陕西省福利彩票发行中心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西安市未央路副102号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029-65678342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屈晨、杨帆、贾娜娜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029-81779899转8009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采购包1：645,000.00元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开户名称：华晟国际项目管理有限公司</w:t>
            </w:r>
          </w:p>
          <w:p>
            <w:pPr>
              <w:pStyle w:val="null3"/>
            </w:pPr>
            <w:r>
              <w:rPr>
                <w:rFonts w:ascii="仿宋_GB2312" w:hAnsi="仿宋_GB2312" w:cs="仿宋_GB2312" w:eastAsia="仿宋_GB2312"/>
              </w:rPr>
              <w:t>开户银行：建设银行西安劳动路支行</w:t>
            </w:r>
          </w:p>
          <w:p>
            <w:pPr>
              <w:pStyle w:val="null3"/>
            </w:pPr>
            <w:r>
              <w:rPr>
                <w:rFonts w:ascii="仿宋_GB2312" w:hAnsi="仿宋_GB2312" w:cs="仿宋_GB2312" w:eastAsia="仿宋_GB2312"/>
              </w:rPr>
              <w:t>银行账号：610501 740015 00000 427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代理服务费收费标准：按照国家计委颁布的《招标代理服务收费管理暂行办法》（计价格『2002』1980号）及发改办价格『2003』857号文规定按标准收取代理服务费。银行户名：华晟国际项目管理有限公司 开户银行：建设银行西安劳动路支行 账 号：610501 740015 00000 427 转账事由：HSGJ2026-170项目代理服务费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陕西省福利彩票发行中心</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陕西省福利彩票发行中心</w:t>
      </w:r>
      <w:r>
        <w:rPr>
          <w:rFonts w:ascii="仿宋_GB2312" w:hAnsi="仿宋_GB2312" w:cs="仿宋_GB2312" w:eastAsia="仿宋_GB2312"/>
        </w:rPr>
        <w:t>负责解释。除上述磋商文件内容，其他内容由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陕西省福利彩票发行中心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详见磋商文件及合同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联系人：屈晨、杨帆、贾娜娜</w:t>
      </w:r>
    </w:p>
    <w:p>
      <w:pPr>
        <w:pStyle w:val="null3"/>
      </w:pPr>
      <w:r>
        <w:rPr>
          <w:rFonts w:ascii="仿宋_GB2312" w:hAnsi="仿宋_GB2312" w:cs="仿宋_GB2312" w:eastAsia="仿宋_GB2312"/>
        </w:rPr>
        <w:t>联系电话：029-81779899转8009</w:t>
      </w:r>
    </w:p>
    <w:p>
      <w:pPr>
        <w:pStyle w:val="null3"/>
      </w:pPr>
      <w:r>
        <w:rPr>
          <w:rFonts w:ascii="仿宋_GB2312" w:hAnsi="仿宋_GB2312" w:cs="仿宋_GB2312" w:eastAsia="仿宋_GB2312"/>
        </w:rPr>
        <w:t>地址：西安市高新路88号尚品国际B幢25层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陕西福彩APP及站点支付平台云资源服务项目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645,000.00</w:t>
      </w:r>
    </w:p>
    <w:p>
      <w:pPr>
        <w:pStyle w:val="null3"/>
      </w:pPr>
      <w:r>
        <w:rPr>
          <w:rFonts w:ascii="仿宋_GB2312" w:hAnsi="仿宋_GB2312" w:cs="仿宋_GB2312" w:eastAsia="仿宋_GB2312"/>
        </w:rPr>
        <w:t>采购包最高限价（元）: 645,000.00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陕西福彩APP及站点支付平台云资源服务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645,000.00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标的名称：陕西福彩APP及站点支付平台云资源服务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w:t>
            </w:r>
            <w:r>
              <w:rPr>
                <w:rFonts w:ascii="仿宋_GB2312" w:hAnsi="仿宋_GB2312" w:cs="仿宋_GB2312" w:eastAsia="仿宋_GB2312"/>
                <w:sz w:val="24"/>
              </w:rPr>
              <w:t>、</w:t>
            </w:r>
            <w:r>
              <w:rPr>
                <w:rFonts w:ascii="仿宋_GB2312" w:hAnsi="仿宋_GB2312" w:cs="仿宋_GB2312" w:eastAsia="仿宋_GB2312"/>
                <w:sz w:val="24"/>
              </w:rPr>
              <w:t>总体要求</w:t>
            </w:r>
          </w:p>
          <w:p>
            <w:pPr>
              <w:pStyle w:val="null3"/>
              <w:ind w:firstLine="480"/>
              <w:jc w:val="both"/>
            </w:pPr>
            <w:r>
              <w:rPr>
                <w:rFonts w:ascii="仿宋_GB2312" w:hAnsi="仿宋_GB2312" w:cs="仿宋_GB2312" w:eastAsia="仿宋_GB2312"/>
                <w:sz w:val="24"/>
              </w:rPr>
              <w:t>（一）架构要求</w:t>
            </w:r>
            <w:r>
              <w:rPr>
                <w:rFonts w:ascii="仿宋_GB2312" w:hAnsi="仿宋_GB2312" w:cs="仿宋_GB2312" w:eastAsia="仿宋_GB2312"/>
                <w:sz w:val="24"/>
              </w:rPr>
              <w:t>：</w:t>
            </w:r>
            <w:r>
              <w:rPr>
                <w:rFonts w:ascii="仿宋_GB2312" w:hAnsi="仿宋_GB2312" w:cs="仿宋_GB2312" w:eastAsia="仿宋_GB2312"/>
                <w:sz w:val="24"/>
              </w:rPr>
              <w:t>采用云原生架构，支持容器化部署、自动化运维。</w:t>
            </w:r>
          </w:p>
          <w:p>
            <w:pPr>
              <w:pStyle w:val="null3"/>
              <w:ind w:firstLine="480"/>
              <w:jc w:val="both"/>
            </w:pPr>
            <w:r>
              <w:rPr>
                <w:rFonts w:ascii="仿宋_GB2312" w:hAnsi="仿宋_GB2312" w:cs="仿宋_GB2312" w:eastAsia="仿宋_GB2312"/>
                <w:sz w:val="24"/>
              </w:rPr>
              <w:t>（二）可用性要求：</w:t>
            </w:r>
            <w:r>
              <w:rPr>
                <w:rFonts w:ascii="仿宋_GB2312" w:hAnsi="仿宋_GB2312" w:cs="仿宋_GB2312" w:eastAsia="仿宋_GB2312"/>
                <w:sz w:val="24"/>
              </w:rPr>
              <w:t>云资源</w:t>
            </w:r>
            <w:r>
              <w:rPr>
                <w:rFonts w:ascii="仿宋_GB2312" w:hAnsi="仿宋_GB2312" w:cs="仿宋_GB2312" w:eastAsia="仿宋_GB2312"/>
                <w:sz w:val="24"/>
              </w:rPr>
              <w:t>可用性不低于</w:t>
            </w:r>
            <w:r>
              <w:rPr>
                <w:rFonts w:ascii="仿宋_GB2312" w:hAnsi="仿宋_GB2312" w:cs="仿宋_GB2312" w:eastAsia="仿宋_GB2312"/>
                <w:sz w:val="24"/>
              </w:rPr>
              <w:t xml:space="preserve"> 99.99%，支持多可用区容灾，单可用区故障时业务无感知切换。</w:t>
            </w:r>
          </w:p>
          <w:p>
            <w:pPr>
              <w:pStyle w:val="null3"/>
              <w:ind w:firstLine="480"/>
              <w:jc w:val="both"/>
            </w:pPr>
            <w:r>
              <w:rPr>
                <w:rFonts w:ascii="仿宋_GB2312" w:hAnsi="仿宋_GB2312" w:cs="仿宋_GB2312" w:eastAsia="仿宋_GB2312"/>
                <w:sz w:val="24"/>
              </w:rPr>
              <w:t>（三）性能要求：</w:t>
            </w:r>
            <w:r>
              <w:rPr>
                <w:rFonts w:ascii="仿宋_GB2312" w:hAnsi="仿宋_GB2312" w:cs="仿宋_GB2312" w:eastAsia="仿宋_GB2312"/>
                <w:sz w:val="24"/>
              </w:rPr>
              <w:t>可承载业务流量</w:t>
            </w:r>
            <w:r>
              <w:rPr>
                <w:rFonts w:ascii="仿宋_GB2312" w:hAnsi="仿宋_GB2312" w:cs="仿宋_GB2312" w:eastAsia="仿宋_GB2312"/>
                <w:sz w:val="24"/>
              </w:rPr>
              <w:t>≥</w:t>
            </w:r>
            <w:r>
              <w:rPr>
                <w:rFonts w:ascii="仿宋_GB2312" w:hAnsi="仿宋_GB2312" w:cs="仿宋_GB2312" w:eastAsia="仿宋_GB2312"/>
                <w:sz w:val="24"/>
              </w:rPr>
              <w:t>100Mbps 及管理流量</w:t>
            </w:r>
            <w:r>
              <w:rPr>
                <w:rFonts w:ascii="仿宋_GB2312" w:hAnsi="仿宋_GB2312" w:cs="仿宋_GB2312" w:eastAsia="仿宋_GB2312"/>
                <w:sz w:val="24"/>
              </w:rPr>
              <w:t>≥</w:t>
            </w:r>
            <w:r>
              <w:rPr>
                <w:rFonts w:ascii="仿宋_GB2312" w:hAnsi="仿宋_GB2312" w:cs="仿宋_GB2312" w:eastAsia="仿宋_GB2312"/>
                <w:sz w:val="24"/>
              </w:rPr>
              <w:t>4Mbps，支持并发连接数不低于10000，关键接口响应时间 ≤200ms。</w:t>
            </w:r>
          </w:p>
          <w:p>
            <w:pPr>
              <w:pStyle w:val="null3"/>
              <w:ind w:firstLine="480"/>
              <w:jc w:val="both"/>
            </w:pPr>
            <w:r>
              <w:rPr>
                <w:rFonts w:ascii="仿宋_GB2312" w:hAnsi="仿宋_GB2312" w:cs="仿宋_GB2312" w:eastAsia="仿宋_GB2312"/>
                <w:sz w:val="24"/>
              </w:rPr>
              <w:t>（四）安全要求：</w:t>
            </w:r>
            <w:r>
              <w:rPr>
                <w:rFonts w:ascii="仿宋_GB2312" w:hAnsi="仿宋_GB2312" w:cs="仿宋_GB2312" w:eastAsia="仿宋_GB2312"/>
                <w:sz w:val="24"/>
              </w:rPr>
              <w:t>满足等保三级要求，实现网络隔离、数据加密、入侵防御、漏洞扫描等多层防护。</w:t>
            </w:r>
          </w:p>
          <w:p>
            <w:pPr>
              <w:pStyle w:val="null3"/>
              <w:ind w:firstLine="480"/>
              <w:jc w:val="both"/>
            </w:pPr>
            <w:r>
              <w:rPr>
                <w:rFonts w:ascii="仿宋_GB2312" w:hAnsi="仿宋_GB2312" w:cs="仿宋_GB2312" w:eastAsia="仿宋_GB2312"/>
                <w:sz w:val="24"/>
              </w:rPr>
              <w:t>（五）弹性要求：</w:t>
            </w:r>
            <w:r>
              <w:rPr>
                <w:rFonts w:ascii="仿宋_GB2312" w:hAnsi="仿宋_GB2312" w:cs="仿宋_GB2312" w:eastAsia="仿宋_GB2312"/>
                <w:sz w:val="24"/>
              </w:rPr>
              <w:t>支持基于</w:t>
            </w:r>
            <w:r>
              <w:rPr>
                <w:rFonts w:ascii="仿宋_GB2312" w:hAnsi="仿宋_GB2312" w:cs="仿宋_GB2312" w:eastAsia="仿宋_GB2312"/>
                <w:sz w:val="24"/>
              </w:rPr>
              <w:t xml:space="preserve"> CPU、内存、网络流量等指标的自动弹性伸缩，伸缩响应时间 ≤3 分钟。</w:t>
            </w:r>
          </w:p>
          <w:p>
            <w:pPr>
              <w:pStyle w:val="null3"/>
              <w:ind w:firstLine="480"/>
              <w:jc w:val="both"/>
            </w:pPr>
            <w:r>
              <w:rPr>
                <w:rFonts w:ascii="仿宋_GB2312" w:hAnsi="仿宋_GB2312" w:cs="仿宋_GB2312" w:eastAsia="仿宋_GB2312"/>
                <w:sz w:val="24"/>
              </w:rPr>
              <w:t>（六）运维要求：</w:t>
            </w:r>
            <w:r>
              <w:rPr>
                <w:rFonts w:ascii="仿宋_GB2312" w:hAnsi="仿宋_GB2312" w:cs="仿宋_GB2312" w:eastAsia="仿宋_GB2312"/>
                <w:sz w:val="24"/>
              </w:rPr>
              <w:t>提供统一监控告警、日志分析、链路追踪、自动化巡检能力，降低人工运维成本。</w:t>
            </w:r>
          </w:p>
          <w:p>
            <w:pPr>
              <w:pStyle w:val="null3"/>
              <w:ind w:firstLine="480"/>
              <w:jc w:val="both"/>
            </w:pPr>
            <w:r>
              <w:rPr>
                <w:rFonts w:ascii="仿宋_GB2312" w:hAnsi="仿宋_GB2312" w:cs="仿宋_GB2312" w:eastAsia="仿宋_GB2312"/>
                <w:sz w:val="24"/>
              </w:rPr>
              <w:t>二</w:t>
            </w:r>
            <w:r>
              <w:rPr>
                <w:rFonts w:ascii="仿宋_GB2312" w:hAnsi="仿宋_GB2312" w:cs="仿宋_GB2312" w:eastAsia="仿宋_GB2312"/>
                <w:sz w:val="24"/>
              </w:rPr>
              <w:t>、</w:t>
            </w:r>
            <w:r>
              <w:rPr>
                <w:rFonts w:ascii="仿宋_GB2312" w:hAnsi="仿宋_GB2312" w:cs="仿宋_GB2312" w:eastAsia="仿宋_GB2312"/>
                <w:sz w:val="24"/>
              </w:rPr>
              <w:t>服务要求</w:t>
            </w:r>
          </w:p>
          <w:p>
            <w:pPr>
              <w:pStyle w:val="null3"/>
              <w:ind w:firstLine="480"/>
              <w:jc w:val="both"/>
            </w:pPr>
            <w:r>
              <w:rPr>
                <w:rFonts w:ascii="仿宋_GB2312" w:hAnsi="仿宋_GB2312" w:cs="仿宋_GB2312" w:eastAsia="仿宋_GB2312"/>
                <w:sz w:val="24"/>
              </w:rPr>
              <w:t>（一）网络与部署</w:t>
            </w:r>
            <w:r>
              <w:rPr>
                <w:rFonts w:ascii="仿宋_GB2312" w:hAnsi="仿宋_GB2312" w:cs="仿宋_GB2312" w:eastAsia="仿宋_GB2312"/>
                <w:sz w:val="24"/>
              </w:rPr>
              <w:t>要求</w:t>
            </w:r>
          </w:p>
          <w:p>
            <w:pPr>
              <w:pStyle w:val="null3"/>
              <w:ind w:firstLine="480"/>
              <w:jc w:val="both"/>
            </w:pPr>
            <w:r>
              <w:rPr>
                <w:rFonts w:ascii="仿宋_GB2312" w:hAnsi="仿宋_GB2312" w:cs="仿宋_GB2312" w:eastAsia="仿宋_GB2312"/>
                <w:sz w:val="24"/>
              </w:rPr>
              <w:t>所提供的相关资源须在本地设有机房或网络节点，支持采用专线方式部署并接入省级中心机房，确保网络链路连通畅通、运行</w:t>
            </w:r>
            <w:r>
              <w:rPr>
                <w:rFonts w:ascii="仿宋_GB2312" w:hAnsi="仿宋_GB2312" w:cs="仿宋_GB2312" w:eastAsia="仿宋_GB2312"/>
                <w:sz w:val="24"/>
              </w:rPr>
              <w:t>稳定，保障数据传输全程安全合规。</w:t>
            </w:r>
          </w:p>
          <w:p>
            <w:pPr>
              <w:pStyle w:val="null3"/>
              <w:ind w:firstLine="480"/>
              <w:jc w:val="both"/>
            </w:pPr>
            <w:r>
              <w:rPr>
                <w:rFonts w:ascii="仿宋_GB2312" w:hAnsi="仿宋_GB2312" w:cs="仿宋_GB2312" w:eastAsia="仿宋_GB2312"/>
                <w:sz w:val="24"/>
              </w:rPr>
              <w:t>（二）等保合规要求</w:t>
            </w:r>
          </w:p>
          <w:p>
            <w:pPr>
              <w:pStyle w:val="null3"/>
              <w:ind w:firstLine="480"/>
              <w:jc w:val="both"/>
            </w:pPr>
            <w:r>
              <w:rPr>
                <w:rFonts w:ascii="仿宋_GB2312" w:hAnsi="仿宋_GB2312" w:cs="仿宋_GB2312" w:eastAsia="仿宋_GB2312"/>
                <w:sz w:val="24"/>
              </w:rPr>
              <w:t>所有资源须满足网络安全等级保护三级相关标准要求，全程积极配合采购人开展等级保护测评、安全自查及相关安全整改等工作。</w:t>
            </w:r>
          </w:p>
          <w:p>
            <w:pPr>
              <w:pStyle w:val="null3"/>
              <w:ind w:firstLine="480"/>
              <w:jc w:val="both"/>
            </w:pPr>
            <w:r>
              <w:rPr>
                <w:rFonts w:ascii="仿宋_GB2312" w:hAnsi="仿宋_GB2312" w:cs="仿宋_GB2312" w:eastAsia="仿宋_GB2312"/>
                <w:sz w:val="24"/>
              </w:rPr>
              <w:t>（三）技术支持与响应要求</w:t>
            </w:r>
          </w:p>
          <w:p>
            <w:pPr>
              <w:pStyle w:val="null3"/>
              <w:ind w:firstLine="480"/>
              <w:jc w:val="both"/>
            </w:pPr>
            <w:r>
              <w:rPr>
                <w:rFonts w:ascii="仿宋_GB2312" w:hAnsi="仿宋_GB2312" w:cs="仿宋_GB2312" w:eastAsia="仿宋_GB2312"/>
                <w:sz w:val="24"/>
              </w:rPr>
              <w:t>提供</w:t>
            </w:r>
            <w:r>
              <w:rPr>
                <w:rFonts w:ascii="仿宋_GB2312" w:hAnsi="仿宋_GB2312" w:cs="仿宋_GB2312" w:eastAsia="仿宋_GB2312"/>
                <w:sz w:val="24"/>
              </w:rPr>
              <w:t>7×24小时技术支持，重大故障（硬件/网络/系统）响应时间 ≤15分钟；高危安全事件响应时间 ≤24小时并制定处置方案。</w:t>
            </w:r>
          </w:p>
          <w:p>
            <w:pPr>
              <w:pStyle w:val="null3"/>
              <w:ind w:firstLine="480"/>
              <w:jc w:val="both"/>
            </w:pPr>
            <w:r>
              <w:rPr>
                <w:rFonts w:ascii="仿宋_GB2312" w:hAnsi="仿宋_GB2312" w:cs="仿宋_GB2312" w:eastAsia="仿宋_GB2312"/>
                <w:sz w:val="24"/>
              </w:rPr>
              <w:t>（四）文档交付要求</w:t>
            </w:r>
          </w:p>
          <w:p>
            <w:pPr>
              <w:pStyle w:val="null3"/>
              <w:ind w:firstLine="480"/>
              <w:jc w:val="both"/>
            </w:pPr>
            <w:r>
              <w:rPr>
                <w:rFonts w:ascii="仿宋_GB2312" w:hAnsi="仿宋_GB2312" w:cs="仿宋_GB2312" w:eastAsia="仿宋_GB2312"/>
                <w:sz w:val="24"/>
              </w:rPr>
              <w:t>提供完整的资源清单、架构拓扑图、配置建议文档及应急预案。</w:t>
            </w:r>
          </w:p>
          <w:p>
            <w:pPr>
              <w:pStyle w:val="null3"/>
              <w:ind w:firstLine="480"/>
              <w:jc w:val="both"/>
            </w:pPr>
            <w:r>
              <w:rPr>
                <w:rFonts w:ascii="仿宋_GB2312" w:hAnsi="仿宋_GB2312" w:cs="仿宋_GB2312" w:eastAsia="仿宋_GB2312"/>
                <w:sz w:val="24"/>
              </w:rPr>
              <w:t>（五）日常运维及技术服务清单</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系统环境部署：根据需求完成</w:t>
            </w:r>
            <w:r>
              <w:rPr>
                <w:rFonts w:ascii="仿宋_GB2312" w:hAnsi="仿宋_GB2312" w:cs="仿宋_GB2312" w:eastAsia="仿宋_GB2312"/>
                <w:sz w:val="24"/>
              </w:rPr>
              <w:t>Windows Server 2016（x64）和</w:t>
            </w:r>
            <w:r>
              <w:rPr>
                <w:rFonts w:ascii="仿宋_GB2312" w:hAnsi="仿宋_GB2312" w:cs="仿宋_GB2312" w:eastAsia="仿宋_GB2312"/>
                <w:sz w:val="24"/>
              </w:rPr>
              <w:t>Linux</w:t>
            </w:r>
            <w:r>
              <w:rPr>
                <w:rFonts w:ascii="仿宋_GB2312" w:hAnsi="仿宋_GB2312" w:cs="仿宋_GB2312" w:eastAsia="仿宋_GB2312"/>
                <w:sz w:val="24"/>
              </w:rPr>
              <w:t xml:space="preserve"> </w:t>
            </w:r>
            <w:r>
              <w:rPr>
                <w:rFonts w:ascii="仿宋_GB2312" w:hAnsi="仿宋_GB2312" w:cs="仿宋_GB2312" w:eastAsia="仿宋_GB2312"/>
                <w:sz w:val="24"/>
              </w:rPr>
              <w:t>CentOS 7 等</w:t>
            </w:r>
            <w:r>
              <w:rPr>
                <w:rFonts w:ascii="仿宋_GB2312" w:hAnsi="仿宋_GB2312" w:cs="仿宋_GB2312" w:eastAsia="仿宋_GB2312"/>
                <w:sz w:val="24"/>
              </w:rPr>
              <w:t>操作系统部署。</w:t>
            </w:r>
          </w:p>
          <w:p>
            <w:pPr>
              <w:pStyle w:val="null3"/>
              <w:ind w:firstLine="480"/>
              <w:jc w:val="both"/>
            </w:pPr>
            <w:r>
              <w:rPr>
                <w:rFonts w:ascii="仿宋_GB2312" w:hAnsi="仿宋_GB2312" w:cs="仿宋_GB2312" w:eastAsia="仿宋_GB2312"/>
                <w:sz w:val="24"/>
              </w:rPr>
              <w:t>2.日常运维值守：</w:t>
            </w:r>
            <w:r>
              <w:rPr>
                <w:rFonts w:ascii="仿宋_GB2312" w:hAnsi="仿宋_GB2312" w:cs="仿宋_GB2312" w:eastAsia="仿宋_GB2312"/>
                <w:sz w:val="24"/>
              </w:rPr>
              <w:t>7×24小时在线技术支持，处理宕机、卡顿、带宽拥堵等问题。</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数据备份恢复：制定定时备份策略（整机</w:t>
            </w:r>
            <w:r>
              <w:rPr>
                <w:rFonts w:ascii="仿宋_GB2312" w:hAnsi="仿宋_GB2312" w:cs="仿宋_GB2312" w:eastAsia="仿宋_GB2312"/>
                <w:sz w:val="24"/>
              </w:rPr>
              <w:t>/文件/数据库），支持故障数据快速恢复。</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故障应急处理：第一时间处理硬件</w:t>
            </w:r>
            <w:r>
              <w:rPr>
                <w:rFonts w:ascii="仿宋_GB2312" w:hAnsi="仿宋_GB2312" w:cs="仿宋_GB2312" w:eastAsia="仿宋_GB2312"/>
                <w:sz w:val="24"/>
              </w:rPr>
              <w:t>/网络/系统故障，并出具故障说明报告。</w:t>
            </w:r>
          </w:p>
          <w:p>
            <w:pPr>
              <w:pStyle w:val="null3"/>
              <w:ind w:firstLine="480"/>
              <w:jc w:val="both"/>
            </w:pPr>
            <w:r>
              <w:rPr>
                <w:rFonts w:ascii="仿宋_GB2312" w:hAnsi="仿宋_GB2312" w:cs="仿宋_GB2312" w:eastAsia="仿宋_GB2312"/>
                <w:sz w:val="24"/>
              </w:rPr>
              <w:t>5.迁移部署服务：支持旧服务器业务最小化停服时间的无缝迁移（具体中断时间可协商约定）。</w:t>
            </w:r>
          </w:p>
          <w:p>
            <w:pPr>
              <w:pStyle w:val="null3"/>
              <w:ind w:firstLine="480"/>
              <w:jc w:val="both"/>
            </w:pPr>
            <w:r>
              <w:rPr>
                <w:rFonts w:ascii="仿宋_GB2312" w:hAnsi="仿宋_GB2312" w:cs="仿宋_GB2312" w:eastAsia="仿宋_GB2312"/>
                <w:sz w:val="24"/>
              </w:rPr>
              <w:t>6.域名与</w:t>
            </w:r>
            <w:r>
              <w:rPr>
                <w:rFonts w:ascii="仿宋_GB2312" w:hAnsi="仿宋_GB2312" w:cs="仿宋_GB2312" w:eastAsia="仿宋_GB2312"/>
                <w:sz w:val="24"/>
              </w:rPr>
              <w:t>SSL服务：协助域名备案、HTTPS证书安装、全站HTTPS部署。</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弹性资源支持：支持临时扩容、应急增配资源。</w:t>
            </w:r>
          </w:p>
          <w:p>
            <w:pPr>
              <w:pStyle w:val="null3"/>
              <w:ind w:firstLine="480"/>
              <w:jc w:val="both"/>
            </w:pPr>
            <w:r>
              <w:rPr>
                <w:rFonts w:ascii="仿宋_GB2312" w:hAnsi="仿宋_GB2312" w:cs="仿宋_GB2312" w:eastAsia="仿宋_GB2312"/>
                <w:sz w:val="24"/>
              </w:rPr>
              <w:t>（六）专属对接要求</w:t>
            </w:r>
          </w:p>
          <w:p>
            <w:pPr>
              <w:pStyle w:val="null3"/>
              <w:ind w:firstLine="480"/>
              <w:jc w:val="both"/>
            </w:pPr>
            <w:r>
              <w:rPr>
                <w:rFonts w:ascii="仿宋_GB2312" w:hAnsi="仿宋_GB2312" w:cs="仿宋_GB2312" w:eastAsia="仿宋_GB2312"/>
                <w:sz w:val="24"/>
              </w:rPr>
              <w:t>配备专属技术对接专员，建立固定沟通渠道，高效处理日常问题。</w:t>
            </w:r>
          </w:p>
          <w:p>
            <w:pPr>
              <w:pStyle w:val="null3"/>
              <w:ind w:firstLine="480"/>
              <w:jc w:val="both"/>
            </w:pPr>
            <w:r>
              <w:rPr>
                <w:rFonts w:ascii="仿宋_GB2312" w:hAnsi="仿宋_GB2312" w:cs="仿宋_GB2312" w:eastAsia="仿宋_GB2312"/>
                <w:sz w:val="24"/>
              </w:rPr>
              <w:t>（七）全面安全运维与合规保障要求</w:t>
            </w:r>
          </w:p>
          <w:p>
            <w:pPr>
              <w:pStyle w:val="null3"/>
              <w:ind w:firstLine="480"/>
              <w:jc w:val="both"/>
            </w:pPr>
            <w:r>
              <w:rPr>
                <w:rFonts w:ascii="仿宋_GB2312" w:hAnsi="仿宋_GB2312" w:cs="仿宋_GB2312" w:eastAsia="仿宋_GB2312"/>
                <w:sz w:val="24"/>
              </w:rPr>
              <w:t>全面承担云上业务系统的安全管理、日常巡检、安全检测、攻防演练、效率优化及安全防护工作，具体包括：</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.安全策略与预案：制定安全策略与应急响应预案，实施最小权限管理，每季度开展权限审计。</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.巡检工作：每日自动巡检</w:t>
            </w:r>
            <w:r>
              <w:rPr>
                <w:rFonts w:ascii="仿宋_GB2312" w:hAnsi="仿宋_GB2312" w:cs="仿宋_GB2312" w:eastAsia="仿宋_GB2312"/>
                <w:sz w:val="24"/>
              </w:rPr>
              <w:t xml:space="preserve"> + 每周人工巡检，并按时提交巡检报告。</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.漏洞与基线检测：每月开展漏洞扫描与基线检测。</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渗透测试：每季度进行一次渗透测试。</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攻防演练：组织或配合开展年度攻防演练活动。</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.成本与性能优化：持续优化资源成本与性能效率（涵盖服务器、数据库、网络带宽等），定期提出云资源配置优化建议。</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.安全产品配置与管理：配置并管理</w:t>
            </w:r>
            <w:r>
              <w:rPr>
                <w:rFonts w:ascii="仿宋_GB2312" w:hAnsi="仿宋_GB2312" w:cs="仿宋_GB2312" w:eastAsia="仿宋_GB2312"/>
                <w:sz w:val="24"/>
              </w:rPr>
              <w:t>WAF、DDoS防护、云安全中心、KMS加密等安全措施。</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.监控与日志分析：提供</w:t>
            </w:r>
            <w:r>
              <w:rPr>
                <w:rFonts w:ascii="仿宋_GB2312" w:hAnsi="仿宋_GB2312" w:cs="仿宋_GB2312" w:eastAsia="仿宋_GB2312"/>
                <w:sz w:val="24"/>
              </w:rPr>
              <w:t>7×24小时自动化监控与日志分析能力。</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安全事件处置：对高危漏洞及安全事件按前述时效响应并处置。</w:t>
            </w:r>
          </w:p>
          <w:p>
            <w:pPr>
              <w:pStyle w:val="null3"/>
              <w:ind w:firstLine="480"/>
              <w:jc w:val="both"/>
            </w:pPr>
            <w:r>
              <w:rPr>
                <w:rFonts w:ascii="仿宋_GB2312" w:hAnsi="仿宋_GB2312" w:cs="仿宋_GB2312" w:eastAsia="仿宋_GB2312"/>
                <w:sz w:val="24"/>
              </w:rPr>
              <w:t>三</w:t>
            </w:r>
            <w:r>
              <w:rPr>
                <w:rFonts w:ascii="仿宋_GB2312" w:hAnsi="仿宋_GB2312" w:cs="仿宋_GB2312" w:eastAsia="仿宋_GB2312"/>
                <w:sz w:val="24"/>
              </w:rPr>
              <w:t>、</w:t>
            </w:r>
            <w:r>
              <w:rPr>
                <w:rFonts w:ascii="仿宋_GB2312" w:hAnsi="仿宋_GB2312" w:cs="仿宋_GB2312" w:eastAsia="仿宋_GB2312"/>
                <w:sz w:val="24"/>
              </w:rPr>
              <w:t>服务内容</w:t>
            </w:r>
          </w:p>
          <w:tbl>
            <w:tblPr>
              <w:tblInd w:type="dxa" w:w="120"/>
              <w:tblBorders>
                <w:top w:val="none" w:color="000000" w:sz="4"/>
                <w:left w:val="none" w:color="000000" w:sz="4"/>
                <w:bottom w:val="none" w:color="000000" w:sz="4"/>
                <w:right w:val="none" w:color="000000" w:sz="4"/>
                <w:insideH w:val="none"/>
                <w:insideV w:val="none"/>
              </w:tblBorders>
            </w:tblPr>
            <w:tblGrid>
              <w:gridCol w:w="244"/>
              <w:gridCol w:w="537"/>
              <w:gridCol w:w="1345"/>
              <w:gridCol w:w="414"/>
            </w:tblGrid>
            <w:tr>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5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类别</w:t>
                  </w:r>
                </w:p>
              </w:tc>
              <w:tc>
                <w:tcPr>
                  <w:tcW w:type="dxa" w:w="13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云资源配置</w:t>
                  </w:r>
                </w:p>
              </w:tc>
              <w:tc>
                <w:tcPr>
                  <w:tcW w:type="dxa" w:w="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r>
            <w:tr>
              <w:tc>
                <w:tcPr>
                  <w:tcW w:type="dxa" w:w="2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5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服务器</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云服务器：</w:t>
                  </w:r>
                  <w:r>
                    <w:rPr>
                      <w:rFonts w:ascii="仿宋_GB2312" w:hAnsi="仿宋_GB2312" w:cs="仿宋_GB2312" w:eastAsia="仿宋_GB2312"/>
                      <w:sz w:val="22"/>
                      <w:color w:val="000000"/>
                    </w:rPr>
                    <w:t>16核 64G 500G</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244"/>
                  <w:vMerge/>
                  <w:tcBorders>
                    <w:top w:val="none" w:color="000000" w:sz="4"/>
                    <w:left w:val="single" w:color="000000" w:sz="4"/>
                    <w:bottom w:val="single" w:color="000000" w:sz="4"/>
                    <w:right w:val="single" w:color="000000" w:sz="4"/>
                  </w:tcBorders>
                </w:tcPr>
                <w:p/>
              </w:tc>
              <w:tc>
                <w:tcPr>
                  <w:tcW w:type="dxa" w:w="537"/>
                  <w:vMerge/>
                  <w:tcBorders>
                    <w:top w:val="none" w:color="000000" w:sz="4"/>
                    <w:left w:val="none" w:color="000000" w:sz="4"/>
                    <w:bottom w:val="single" w:color="000000" w:sz="4"/>
                    <w:right w:val="single" w:color="000000" w:sz="4"/>
                  </w:tcBorders>
                </w:tcP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云服务器：</w:t>
                  </w:r>
                  <w:r>
                    <w:rPr>
                      <w:rFonts w:ascii="仿宋_GB2312" w:hAnsi="仿宋_GB2312" w:cs="仿宋_GB2312" w:eastAsia="仿宋_GB2312"/>
                      <w:sz w:val="22"/>
                      <w:color w:val="000000"/>
                    </w:rPr>
                    <w:t>8核 32G 300G</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244"/>
                  <w:vMerge/>
                  <w:tcBorders>
                    <w:top w:val="none" w:color="000000" w:sz="4"/>
                    <w:left w:val="single" w:color="000000" w:sz="4"/>
                    <w:bottom w:val="single" w:color="000000" w:sz="4"/>
                    <w:right w:val="single" w:color="000000" w:sz="4"/>
                  </w:tcBorders>
                </w:tcPr>
                <w:p/>
              </w:tc>
              <w:tc>
                <w:tcPr>
                  <w:tcW w:type="dxa" w:w="537"/>
                  <w:vMerge/>
                  <w:tcBorders>
                    <w:top w:val="none" w:color="000000" w:sz="4"/>
                    <w:left w:val="none" w:color="000000" w:sz="4"/>
                    <w:bottom w:val="single" w:color="000000" w:sz="4"/>
                    <w:right w:val="single" w:color="000000" w:sz="4"/>
                  </w:tcBorders>
                </w:tcP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云服务器：</w:t>
                  </w:r>
                  <w:r>
                    <w:rPr>
                      <w:rFonts w:ascii="仿宋_GB2312" w:hAnsi="仿宋_GB2312" w:cs="仿宋_GB2312" w:eastAsia="仿宋_GB2312"/>
                      <w:sz w:val="22"/>
                      <w:color w:val="000000"/>
                    </w:rPr>
                    <w:t>4核  16G 300G</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244"/>
                  <w:vMerge/>
                  <w:tcBorders>
                    <w:top w:val="none" w:color="000000" w:sz="4"/>
                    <w:left w:val="single" w:color="000000" w:sz="4"/>
                    <w:bottom w:val="single" w:color="000000" w:sz="4"/>
                    <w:right w:val="single" w:color="000000" w:sz="4"/>
                  </w:tcBorders>
                </w:tcPr>
                <w:p/>
              </w:tc>
              <w:tc>
                <w:tcPr>
                  <w:tcW w:type="dxa" w:w="537"/>
                  <w:vMerge/>
                  <w:tcBorders>
                    <w:top w:val="none" w:color="000000" w:sz="4"/>
                    <w:left w:val="none" w:color="000000" w:sz="4"/>
                    <w:bottom w:val="single" w:color="000000" w:sz="4"/>
                    <w:right w:val="single" w:color="000000" w:sz="4"/>
                  </w:tcBorders>
                </w:tcP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云服务器</w:t>
                  </w:r>
                  <w:r>
                    <w:rPr>
                      <w:rFonts w:ascii="仿宋_GB2312" w:hAnsi="仿宋_GB2312" w:cs="仿宋_GB2312" w:eastAsia="仿宋_GB2312"/>
                      <w:sz w:val="22"/>
                      <w:color w:val="000000"/>
                    </w:rPr>
                    <w:t>:8核 32G 500G</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r>
            <w:tr>
              <w:tc>
                <w:tcPr>
                  <w:tcW w:type="dxa" w:w="244"/>
                  <w:vMerge/>
                  <w:tcBorders>
                    <w:top w:val="none" w:color="000000" w:sz="4"/>
                    <w:left w:val="single" w:color="000000" w:sz="4"/>
                    <w:bottom w:val="single" w:color="000000" w:sz="4"/>
                    <w:right w:val="single" w:color="000000" w:sz="4"/>
                  </w:tcBorders>
                </w:tcPr>
                <w:p/>
              </w:tc>
              <w:tc>
                <w:tcPr>
                  <w:tcW w:type="dxa" w:w="537"/>
                  <w:vMerge/>
                  <w:tcBorders>
                    <w:top w:val="none" w:color="000000" w:sz="4"/>
                    <w:left w:val="none" w:color="000000" w:sz="4"/>
                    <w:bottom w:val="single" w:color="000000" w:sz="4"/>
                    <w:right w:val="single" w:color="000000" w:sz="4"/>
                  </w:tcBorders>
                </w:tcP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服务器：</w:t>
                  </w:r>
                  <w:r>
                    <w:rPr>
                      <w:rFonts w:ascii="仿宋_GB2312" w:hAnsi="仿宋_GB2312" w:cs="仿宋_GB2312" w:eastAsia="仿宋_GB2312"/>
                      <w:sz w:val="22"/>
                      <w:color w:val="000000"/>
                    </w:rPr>
                    <w:t>16核 32G 600G</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244"/>
                  <w:vMerge/>
                  <w:tcBorders>
                    <w:top w:val="none" w:color="000000" w:sz="4"/>
                    <w:left w:val="single" w:color="000000" w:sz="4"/>
                    <w:bottom w:val="single" w:color="000000" w:sz="4"/>
                    <w:right w:val="single" w:color="000000" w:sz="4"/>
                  </w:tcBorders>
                </w:tcPr>
                <w:p/>
              </w:tc>
              <w:tc>
                <w:tcPr>
                  <w:tcW w:type="dxa" w:w="537"/>
                  <w:vMerge/>
                  <w:tcBorders>
                    <w:top w:val="none" w:color="000000" w:sz="4"/>
                    <w:left w:val="none" w:color="000000" w:sz="4"/>
                    <w:bottom w:val="single" w:color="000000" w:sz="4"/>
                    <w:right w:val="single" w:color="000000" w:sz="4"/>
                  </w:tcBorders>
                </w:tcP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云服务器：</w:t>
                  </w:r>
                  <w:r>
                    <w:rPr>
                      <w:rFonts w:ascii="仿宋_GB2312" w:hAnsi="仿宋_GB2312" w:cs="仿宋_GB2312" w:eastAsia="仿宋_GB2312"/>
                      <w:sz w:val="22"/>
                      <w:color w:val="000000"/>
                    </w:rPr>
                    <w:t>16核 16G 300G</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r>
            <w:tr>
              <w:tc>
                <w:tcPr>
                  <w:tcW w:type="dxa" w:w="244"/>
                  <w:vMerge/>
                  <w:tcBorders>
                    <w:top w:val="none" w:color="000000" w:sz="4"/>
                    <w:left w:val="single" w:color="000000" w:sz="4"/>
                    <w:bottom w:val="single" w:color="000000" w:sz="4"/>
                    <w:right w:val="single" w:color="000000" w:sz="4"/>
                  </w:tcBorders>
                </w:tcPr>
                <w:p/>
              </w:tc>
              <w:tc>
                <w:tcPr>
                  <w:tcW w:type="dxa" w:w="537"/>
                  <w:vMerge/>
                  <w:tcBorders>
                    <w:top w:val="none" w:color="000000" w:sz="4"/>
                    <w:left w:val="none" w:color="000000" w:sz="4"/>
                    <w:bottom w:val="single" w:color="000000" w:sz="4"/>
                    <w:right w:val="single" w:color="000000" w:sz="4"/>
                  </w:tcBorders>
                </w:tcP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云服务器：</w:t>
                  </w:r>
                  <w:r>
                    <w:rPr>
                      <w:rFonts w:ascii="仿宋_GB2312" w:hAnsi="仿宋_GB2312" w:cs="仿宋_GB2312" w:eastAsia="仿宋_GB2312"/>
                      <w:sz w:val="22"/>
                      <w:color w:val="000000"/>
                    </w:rPr>
                    <w:t>4核 32G 300G</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r>
            <w:tr>
              <w:tc>
                <w:tcPr>
                  <w:tcW w:type="dxa" w:w="244"/>
                  <w:vMerge/>
                  <w:tcBorders>
                    <w:top w:val="none" w:color="000000" w:sz="4"/>
                    <w:left w:val="single" w:color="000000" w:sz="4"/>
                    <w:bottom w:val="single" w:color="000000" w:sz="4"/>
                    <w:right w:val="single" w:color="000000" w:sz="4"/>
                  </w:tcBorders>
                </w:tcPr>
                <w:p/>
              </w:tc>
              <w:tc>
                <w:tcPr>
                  <w:tcW w:type="dxa" w:w="537"/>
                  <w:vMerge/>
                  <w:tcBorders>
                    <w:top w:val="none" w:color="000000" w:sz="4"/>
                    <w:left w:val="none" w:color="000000" w:sz="4"/>
                    <w:bottom w:val="single" w:color="000000" w:sz="4"/>
                    <w:right w:val="single" w:color="000000" w:sz="4"/>
                  </w:tcBorders>
                </w:tcP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云服务器：</w:t>
                  </w:r>
                  <w:r>
                    <w:rPr>
                      <w:rFonts w:ascii="仿宋_GB2312" w:hAnsi="仿宋_GB2312" w:cs="仿宋_GB2312" w:eastAsia="仿宋_GB2312"/>
                      <w:sz w:val="22"/>
                      <w:color w:val="000000"/>
                    </w:rPr>
                    <w:t>4核 32G 1100G</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244"/>
                  <w:vMerge/>
                  <w:tcBorders>
                    <w:top w:val="none" w:color="000000" w:sz="4"/>
                    <w:left w:val="single" w:color="000000" w:sz="4"/>
                    <w:bottom w:val="single" w:color="000000" w:sz="4"/>
                    <w:right w:val="single" w:color="000000" w:sz="4"/>
                  </w:tcBorders>
                </w:tcPr>
                <w:p/>
              </w:tc>
              <w:tc>
                <w:tcPr>
                  <w:tcW w:type="dxa" w:w="537"/>
                  <w:vMerge/>
                  <w:tcBorders>
                    <w:top w:val="none" w:color="000000" w:sz="4"/>
                    <w:left w:val="none" w:color="000000" w:sz="4"/>
                    <w:bottom w:val="single" w:color="000000" w:sz="4"/>
                    <w:right w:val="single" w:color="000000" w:sz="4"/>
                  </w:tcBorders>
                </w:tcP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云服务器：</w:t>
                  </w:r>
                  <w:r>
                    <w:rPr>
                      <w:rFonts w:ascii="仿宋_GB2312" w:hAnsi="仿宋_GB2312" w:cs="仿宋_GB2312" w:eastAsia="仿宋_GB2312"/>
                      <w:sz w:val="22"/>
                      <w:color w:val="000000"/>
                    </w:rPr>
                    <w:t>4核 32G 2100G</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2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5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数据库</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SQLServer 双机高可用16核64G 3T</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244"/>
                  <w:vMerge/>
                  <w:tcBorders>
                    <w:top w:val="none" w:color="000000" w:sz="4"/>
                    <w:left w:val="single" w:color="000000" w:sz="4"/>
                    <w:bottom w:val="single" w:color="000000" w:sz="4"/>
                    <w:right w:val="single" w:color="000000" w:sz="4"/>
                  </w:tcBorders>
                </w:tcPr>
                <w:p/>
              </w:tc>
              <w:tc>
                <w:tcPr>
                  <w:tcW w:type="dxa" w:w="537"/>
                  <w:vMerge/>
                  <w:tcBorders>
                    <w:top w:val="none" w:color="000000" w:sz="4"/>
                    <w:left w:val="none" w:color="000000" w:sz="4"/>
                    <w:bottom w:val="single" w:color="000000" w:sz="4"/>
                    <w:right w:val="single" w:color="000000" w:sz="4"/>
                  </w:tcBorders>
                </w:tcP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Redis集群：4核32G 副本数量:2 分片数量:2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2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5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安全</w:t>
                  </w:r>
                  <w:r>
                    <w:rPr>
                      <w:rFonts w:ascii="仿宋_GB2312" w:hAnsi="仿宋_GB2312" w:cs="仿宋_GB2312" w:eastAsia="仿宋_GB2312"/>
                      <w:sz w:val="22"/>
                      <w:color w:val="000000"/>
                    </w:rPr>
                    <w:t>（</w:t>
                  </w:r>
                  <w:r>
                    <w:rPr>
                      <w:rFonts w:ascii="仿宋_GB2312" w:hAnsi="仿宋_GB2312" w:cs="仿宋_GB2312" w:eastAsia="仿宋_GB2312"/>
                      <w:sz w:val="22"/>
                      <w:color w:val="000000"/>
                    </w:rPr>
                    <w:t>需满足等保三级测评要求，包括但不限于以下服务</w:t>
                  </w:r>
                  <w:r>
                    <w:rPr>
                      <w:rFonts w:ascii="仿宋_GB2312" w:hAnsi="仿宋_GB2312" w:cs="仿宋_GB2312" w:eastAsia="仿宋_GB2312"/>
                      <w:sz w:val="22"/>
                      <w:color w:val="000000"/>
                    </w:rPr>
                    <w:t>）</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DDOS-高防IP 单IP 保底峰值10Gbps，弹性峰值100Gbps</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244"/>
                  <w:vMerge/>
                  <w:tcBorders>
                    <w:top w:val="none" w:color="000000" w:sz="4"/>
                    <w:left w:val="single" w:color="000000" w:sz="4"/>
                    <w:bottom w:val="single" w:color="000000" w:sz="4"/>
                    <w:right w:val="single" w:color="000000" w:sz="4"/>
                  </w:tcBorders>
                </w:tcPr>
                <w:p/>
              </w:tc>
              <w:tc>
                <w:tcPr>
                  <w:tcW w:type="dxa" w:w="537"/>
                  <w:vMerge/>
                  <w:tcBorders>
                    <w:top w:val="none" w:color="000000" w:sz="4"/>
                    <w:left w:val="none" w:color="000000" w:sz="4"/>
                    <w:bottom w:val="single" w:color="000000" w:sz="4"/>
                    <w:right w:val="single" w:color="000000" w:sz="4"/>
                  </w:tcBorders>
                </w:tcP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云堡垒机：</w:t>
                  </w:r>
                </w:p>
                <w:p>
                  <w:pPr>
                    <w:pStyle w:val="null3"/>
                    <w:jc w:val="both"/>
                  </w:pPr>
                  <w:r>
                    <w:rPr>
                      <w:rFonts w:ascii="仿宋_GB2312" w:hAnsi="仿宋_GB2312" w:cs="仿宋_GB2312" w:eastAsia="仿宋_GB2312"/>
                      <w:sz w:val="21"/>
                      <w:color w:val="000000"/>
                    </w:rPr>
                    <w:t>CPU：2核</w:t>
                  </w:r>
                </w:p>
                <w:p>
                  <w:pPr>
                    <w:pStyle w:val="null3"/>
                    <w:jc w:val="both"/>
                  </w:pPr>
                  <w:r>
                    <w:rPr>
                      <w:rFonts w:ascii="仿宋_GB2312" w:hAnsi="仿宋_GB2312" w:cs="仿宋_GB2312" w:eastAsia="仿宋_GB2312"/>
                      <w:sz w:val="21"/>
                      <w:color w:val="000000"/>
                    </w:rPr>
                    <w:t>内存：</w:t>
                  </w:r>
                  <w:r>
                    <w:rPr>
                      <w:rFonts w:ascii="仿宋_GB2312" w:hAnsi="仿宋_GB2312" w:cs="仿宋_GB2312" w:eastAsia="仿宋_GB2312"/>
                      <w:sz w:val="21"/>
                      <w:color w:val="000000"/>
                    </w:rPr>
                    <w:t>4GB</w:t>
                  </w:r>
                </w:p>
                <w:p>
                  <w:pPr>
                    <w:pStyle w:val="null3"/>
                    <w:jc w:val="both"/>
                  </w:pPr>
                  <w:r>
                    <w:rPr>
                      <w:rFonts w:ascii="仿宋_GB2312" w:hAnsi="仿宋_GB2312" w:cs="仿宋_GB2312" w:eastAsia="仿宋_GB2312"/>
                      <w:sz w:val="21"/>
                      <w:color w:val="000000"/>
                    </w:rPr>
                    <w:t>数据盘：</w:t>
                  </w:r>
                  <w:r>
                    <w:rPr>
                      <w:rFonts w:ascii="仿宋_GB2312" w:hAnsi="仿宋_GB2312" w:cs="仿宋_GB2312" w:eastAsia="仿宋_GB2312"/>
                      <w:sz w:val="21"/>
                      <w:color w:val="000000"/>
                    </w:rPr>
                    <w:t>200GB</w:t>
                  </w:r>
                </w:p>
                <w:p>
                  <w:pPr>
                    <w:pStyle w:val="null3"/>
                    <w:jc w:val="both"/>
                  </w:pPr>
                  <w:r>
                    <w:rPr>
                      <w:rFonts w:ascii="仿宋_GB2312" w:hAnsi="仿宋_GB2312" w:cs="仿宋_GB2312" w:eastAsia="仿宋_GB2312"/>
                      <w:sz w:val="21"/>
                      <w:color w:val="000000"/>
                    </w:rPr>
                    <w:t>公网带宽：</w:t>
                  </w:r>
                  <w:r>
                    <w:rPr>
                      <w:rFonts w:ascii="仿宋_GB2312" w:hAnsi="仿宋_GB2312" w:cs="仿宋_GB2312" w:eastAsia="仿宋_GB2312"/>
                      <w:sz w:val="21"/>
                      <w:color w:val="000000"/>
                    </w:rPr>
                    <w:t>4Mb（一个公网IP+3Mb带宽)</w:t>
                  </w:r>
                </w:p>
                <w:p>
                  <w:pPr>
                    <w:pStyle w:val="null3"/>
                    <w:jc w:val="left"/>
                  </w:pPr>
                  <w:r>
                    <w:rPr>
                      <w:rFonts w:ascii="仿宋_GB2312" w:hAnsi="仿宋_GB2312" w:cs="仿宋_GB2312" w:eastAsia="仿宋_GB2312"/>
                      <w:sz w:val="21"/>
                      <w:color w:val="000000"/>
                    </w:rPr>
                    <w:t>资产管理：</w:t>
                  </w:r>
                  <w:r>
                    <w:rPr>
                      <w:rFonts w:ascii="仿宋_GB2312" w:hAnsi="仿宋_GB2312" w:cs="仿宋_GB2312" w:eastAsia="仿宋_GB2312"/>
                      <w:sz w:val="21"/>
                      <w:color w:val="000000"/>
                    </w:rPr>
                    <w:t>25，并发：25</w:t>
                  </w:r>
                  <w:r>
                    <w:rPr>
                      <w:rFonts w:ascii="仿宋_GB2312" w:hAnsi="仿宋_GB2312" w:cs="仿宋_GB2312" w:eastAsia="仿宋_GB2312"/>
                      <w:sz w:val="21"/>
                    </w:rPr>
                    <w:t xml:space="preserve">                    </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244"/>
                  <w:vMerge/>
                  <w:tcBorders>
                    <w:top w:val="none" w:color="000000" w:sz="4"/>
                    <w:left w:val="single" w:color="000000" w:sz="4"/>
                    <w:bottom w:val="single" w:color="000000" w:sz="4"/>
                    <w:right w:val="single" w:color="000000" w:sz="4"/>
                  </w:tcBorders>
                </w:tcPr>
                <w:p/>
              </w:tc>
              <w:tc>
                <w:tcPr>
                  <w:tcW w:type="dxa" w:w="537"/>
                  <w:vMerge/>
                  <w:tcBorders>
                    <w:top w:val="none" w:color="000000" w:sz="4"/>
                    <w:left w:val="none" w:color="000000" w:sz="4"/>
                    <w:bottom w:val="single" w:color="000000" w:sz="4"/>
                    <w:right w:val="single" w:color="000000" w:sz="4"/>
                  </w:tcBorders>
                </w:tcP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云安全中心</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r>
            <w:tr>
              <w:tc>
                <w:tcPr>
                  <w:tcW w:type="dxa" w:w="244"/>
                  <w:vMerge/>
                  <w:tcBorders>
                    <w:top w:val="none" w:color="000000" w:sz="4"/>
                    <w:left w:val="single" w:color="000000" w:sz="4"/>
                    <w:bottom w:val="single" w:color="000000" w:sz="4"/>
                    <w:right w:val="single" w:color="000000" w:sz="4"/>
                  </w:tcBorders>
                </w:tcPr>
                <w:p/>
              </w:tc>
              <w:tc>
                <w:tcPr>
                  <w:tcW w:type="dxa" w:w="537"/>
                  <w:vMerge/>
                  <w:tcBorders>
                    <w:top w:val="none" w:color="000000" w:sz="4"/>
                    <w:left w:val="none" w:color="000000" w:sz="4"/>
                    <w:bottom w:val="single" w:color="000000" w:sz="4"/>
                    <w:right w:val="single" w:color="000000" w:sz="4"/>
                  </w:tcBorders>
                </w:tcP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负载均衡</w:t>
                  </w:r>
                  <w:r>
                    <w:rPr>
                      <w:rFonts w:ascii="仿宋_GB2312" w:hAnsi="仿宋_GB2312" w:cs="仿宋_GB2312" w:eastAsia="仿宋_GB2312"/>
                      <w:sz w:val="22"/>
                      <w:color w:val="000000"/>
                    </w:rPr>
                    <w:t>-Web应用防火墙</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244"/>
                  <w:vMerge/>
                  <w:tcBorders>
                    <w:top w:val="none" w:color="000000" w:sz="4"/>
                    <w:left w:val="single" w:color="000000" w:sz="4"/>
                    <w:bottom w:val="single" w:color="000000" w:sz="4"/>
                    <w:right w:val="single" w:color="000000" w:sz="4"/>
                  </w:tcBorders>
                </w:tcPr>
                <w:p/>
              </w:tc>
              <w:tc>
                <w:tcPr>
                  <w:tcW w:type="dxa" w:w="537"/>
                  <w:vMerge/>
                  <w:tcBorders>
                    <w:top w:val="none" w:color="000000" w:sz="4"/>
                    <w:left w:val="none" w:color="000000" w:sz="4"/>
                    <w:bottom w:val="single" w:color="000000" w:sz="4"/>
                    <w:right w:val="single" w:color="000000" w:sz="4"/>
                  </w:tcBorders>
                </w:tcP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APP前端应用加固服务</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2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5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网络</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100M带宽-生产访问流量            </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244"/>
                  <w:vMerge/>
                  <w:tcBorders>
                    <w:top w:val="none" w:color="000000" w:sz="4"/>
                    <w:left w:val="single" w:color="000000" w:sz="4"/>
                    <w:bottom w:val="single" w:color="000000" w:sz="4"/>
                    <w:right w:val="single" w:color="000000" w:sz="4"/>
                  </w:tcBorders>
                </w:tcPr>
                <w:p/>
              </w:tc>
              <w:tc>
                <w:tcPr>
                  <w:tcW w:type="dxa" w:w="537"/>
                  <w:vMerge/>
                  <w:tcBorders>
                    <w:top w:val="none" w:color="000000" w:sz="4"/>
                    <w:left w:val="none" w:color="000000" w:sz="4"/>
                    <w:bottom w:val="single" w:color="000000" w:sz="4"/>
                    <w:right w:val="single" w:color="000000" w:sz="4"/>
                  </w:tcBorders>
                </w:tcP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50M带宽-互联网出口流量</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244"/>
                  <w:vMerge/>
                  <w:tcBorders>
                    <w:top w:val="none" w:color="000000" w:sz="4"/>
                    <w:left w:val="single" w:color="000000" w:sz="4"/>
                    <w:bottom w:val="single" w:color="000000" w:sz="4"/>
                    <w:right w:val="single" w:color="000000" w:sz="4"/>
                  </w:tcBorders>
                </w:tcPr>
                <w:p/>
              </w:tc>
              <w:tc>
                <w:tcPr>
                  <w:tcW w:type="dxa" w:w="537"/>
                  <w:vMerge/>
                  <w:tcBorders>
                    <w:top w:val="none" w:color="000000" w:sz="4"/>
                    <w:left w:val="none" w:color="000000" w:sz="4"/>
                    <w:bottom w:val="single" w:color="000000" w:sz="4"/>
                    <w:right w:val="single" w:color="000000" w:sz="4"/>
                  </w:tcBorders>
                </w:tcP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10M带宽</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244"/>
                  <w:vMerge/>
                  <w:tcBorders>
                    <w:top w:val="none" w:color="000000" w:sz="4"/>
                    <w:left w:val="single" w:color="000000" w:sz="4"/>
                    <w:bottom w:val="single" w:color="000000" w:sz="4"/>
                    <w:right w:val="single" w:color="000000" w:sz="4"/>
                  </w:tcBorders>
                </w:tcPr>
                <w:p/>
              </w:tc>
              <w:tc>
                <w:tcPr>
                  <w:tcW w:type="dxa" w:w="537"/>
                  <w:vMerge/>
                  <w:tcBorders>
                    <w:top w:val="none" w:color="000000" w:sz="4"/>
                    <w:left w:val="none" w:color="000000" w:sz="4"/>
                    <w:bottom w:val="single" w:color="000000" w:sz="4"/>
                    <w:right w:val="single" w:color="000000" w:sz="4"/>
                  </w:tcBorders>
                </w:tcP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2M带宽</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r>
            <w:tr>
              <w:tc>
                <w:tcPr>
                  <w:tcW w:type="dxa" w:w="244"/>
                  <w:vMerge/>
                  <w:tcBorders>
                    <w:top w:val="none" w:color="000000" w:sz="4"/>
                    <w:left w:val="single" w:color="000000" w:sz="4"/>
                    <w:bottom w:val="single" w:color="000000" w:sz="4"/>
                    <w:right w:val="single" w:color="000000" w:sz="4"/>
                  </w:tcBorders>
                </w:tcPr>
                <w:p/>
              </w:tc>
              <w:tc>
                <w:tcPr>
                  <w:tcW w:type="dxa" w:w="537"/>
                  <w:vMerge/>
                  <w:tcBorders>
                    <w:top w:val="none" w:color="000000" w:sz="4"/>
                    <w:left w:val="none" w:color="000000" w:sz="4"/>
                    <w:bottom w:val="single" w:color="000000" w:sz="4"/>
                    <w:right w:val="single" w:color="000000" w:sz="4"/>
                  </w:tcBorders>
                </w:tcP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负载均衡：</w:t>
                  </w:r>
                </w:p>
                <w:p>
                  <w:pPr>
                    <w:pStyle w:val="null3"/>
                    <w:jc w:val="both"/>
                  </w:pPr>
                  <w:r>
                    <w:rPr>
                      <w:rFonts w:ascii="仿宋_GB2312" w:hAnsi="仿宋_GB2312" w:cs="仿宋_GB2312" w:eastAsia="仿宋_GB2312"/>
                      <w:sz w:val="21"/>
                      <w:color w:val="000000"/>
                    </w:rPr>
                    <w:t>最大并发连接数：</w:t>
                  </w:r>
                  <w:r>
                    <w:rPr>
                      <w:rFonts w:ascii="仿宋_GB2312" w:hAnsi="仿宋_GB2312" w:cs="仿宋_GB2312" w:eastAsia="仿宋_GB2312"/>
                      <w:sz w:val="21"/>
                      <w:color w:val="000000"/>
                    </w:rPr>
                    <w:t>100000</w:t>
                  </w:r>
                </w:p>
                <w:p>
                  <w:pPr>
                    <w:pStyle w:val="null3"/>
                    <w:jc w:val="both"/>
                  </w:pPr>
                  <w:r>
                    <w:rPr>
                      <w:rFonts w:ascii="仿宋_GB2312" w:hAnsi="仿宋_GB2312" w:cs="仿宋_GB2312" w:eastAsia="仿宋_GB2312"/>
                      <w:sz w:val="21"/>
                      <w:color w:val="000000"/>
                    </w:rPr>
                    <w:t>每秒新建连接数：</w:t>
                  </w:r>
                  <w:r>
                    <w:rPr>
                      <w:rFonts w:ascii="仿宋_GB2312" w:hAnsi="仿宋_GB2312" w:cs="仿宋_GB2312" w:eastAsia="仿宋_GB2312"/>
                      <w:sz w:val="21"/>
                      <w:color w:val="000000"/>
                    </w:rPr>
                    <w:t>10000</w:t>
                  </w:r>
                </w:p>
                <w:p>
                  <w:pPr>
                    <w:pStyle w:val="null3"/>
                    <w:jc w:val="both"/>
                  </w:pPr>
                  <w:r>
                    <w:rPr>
                      <w:rFonts w:ascii="仿宋_GB2312" w:hAnsi="仿宋_GB2312" w:cs="仿宋_GB2312" w:eastAsia="仿宋_GB2312"/>
                      <w:sz w:val="21"/>
                      <w:color w:val="000000"/>
                    </w:rPr>
                    <w:t>每秒查询数：</w:t>
                  </w:r>
                  <w:r>
                    <w:rPr>
                      <w:rFonts w:ascii="仿宋_GB2312" w:hAnsi="仿宋_GB2312" w:cs="仿宋_GB2312" w:eastAsia="仿宋_GB2312"/>
                      <w:sz w:val="21"/>
                      <w:color w:val="000000"/>
                    </w:rPr>
                    <w:t>10000</w:t>
                  </w:r>
                </w:p>
                <w:p>
                  <w:pPr>
                    <w:pStyle w:val="null3"/>
                    <w:jc w:val="left"/>
                  </w:pPr>
                  <w:r>
                    <w:rPr>
                      <w:rFonts w:ascii="仿宋_GB2312" w:hAnsi="仿宋_GB2312" w:cs="仿宋_GB2312" w:eastAsia="仿宋_GB2312"/>
                      <w:sz w:val="21"/>
                      <w:color w:val="000000"/>
                    </w:rPr>
                    <w:t>带宽上限：</w:t>
                  </w:r>
                  <w:r>
                    <w:rPr>
                      <w:rFonts w:ascii="仿宋_GB2312" w:hAnsi="仿宋_GB2312" w:cs="仿宋_GB2312" w:eastAsia="仿宋_GB2312"/>
                      <w:sz w:val="21"/>
                      <w:color w:val="000000"/>
                    </w:rPr>
                    <w:t>2Gbps</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244"/>
                  <w:vMerge/>
                  <w:tcBorders>
                    <w:top w:val="none" w:color="000000" w:sz="4"/>
                    <w:left w:val="single" w:color="000000" w:sz="4"/>
                    <w:bottom w:val="single" w:color="000000" w:sz="4"/>
                    <w:right w:val="single" w:color="000000" w:sz="4"/>
                  </w:tcBorders>
                </w:tcPr>
                <w:p/>
              </w:tc>
              <w:tc>
                <w:tcPr>
                  <w:tcW w:type="dxa" w:w="537"/>
                  <w:vMerge/>
                  <w:tcBorders>
                    <w:top w:val="none" w:color="000000" w:sz="4"/>
                    <w:left w:val="none" w:color="000000" w:sz="4"/>
                    <w:bottom w:val="single" w:color="000000" w:sz="4"/>
                    <w:right w:val="single" w:color="000000" w:sz="4"/>
                  </w:tcBorders>
                </w:tcP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负载均衡：</w:t>
                  </w:r>
                </w:p>
                <w:p>
                  <w:pPr>
                    <w:pStyle w:val="null3"/>
                    <w:jc w:val="both"/>
                  </w:pPr>
                  <w:r>
                    <w:rPr>
                      <w:rFonts w:ascii="仿宋_GB2312" w:hAnsi="仿宋_GB2312" w:cs="仿宋_GB2312" w:eastAsia="仿宋_GB2312"/>
                      <w:sz w:val="21"/>
                      <w:color w:val="000000"/>
                    </w:rPr>
                    <w:t>最大并发连接数：</w:t>
                  </w:r>
                  <w:r>
                    <w:rPr>
                      <w:rFonts w:ascii="仿宋_GB2312" w:hAnsi="仿宋_GB2312" w:cs="仿宋_GB2312" w:eastAsia="仿宋_GB2312"/>
                      <w:sz w:val="21"/>
                      <w:color w:val="000000"/>
                    </w:rPr>
                    <w:t>50000</w:t>
                  </w:r>
                </w:p>
                <w:p>
                  <w:pPr>
                    <w:pStyle w:val="null3"/>
                    <w:jc w:val="both"/>
                  </w:pPr>
                  <w:r>
                    <w:rPr>
                      <w:rFonts w:ascii="仿宋_GB2312" w:hAnsi="仿宋_GB2312" w:cs="仿宋_GB2312" w:eastAsia="仿宋_GB2312"/>
                      <w:sz w:val="21"/>
                      <w:color w:val="000000"/>
                    </w:rPr>
                    <w:t>每秒新建连接数：</w:t>
                  </w:r>
                  <w:r>
                    <w:rPr>
                      <w:rFonts w:ascii="仿宋_GB2312" w:hAnsi="仿宋_GB2312" w:cs="仿宋_GB2312" w:eastAsia="仿宋_GB2312"/>
                      <w:sz w:val="21"/>
                      <w:color w:val="000000"/>
                    </w:rPr>
                    <w:t>5000</w:t>
                  </w:r>
                </w:p>
                <w:p>
                  <w:pPr>
                    <w:pStyle w:val="null3"/>
                    <w:jc w:val="both"/>
                  </w:pPr>
                  <w:r>
                    <w:rPr>
                      <w:rFonts w:ascii="仿宋_GB2312" w:hAnsi="仿宋_GB2312" w:cs="仿宋_GB2312" w:eastAsia="仿宋_GB2312"/>
                      <w:sz w:val="21"/>
                      <w:color w:val="000000"/>
                    </w:rPr>
                    <w:t>每秒查询数：</w:t>
                  </w:r>
                  <w:r>
                    <w:rPr>
                      <w:rFonts w:ascii="仿宋_GB2312" w:hAnsi="仿宋_GB2312" w:cs="仿宋_GB2312" w:eastAsia="仿宋_GB2312"/>
                      <w:sz w:val="21"/>
                      <w:color w:val="000000"/>
                    </w:rPr>
                    <w:t>5000</w:t>
                  </w:r>
                </w:p>
                <w:p>
                  <w:pPr>
                    <w:pStyle w:val="null3"/>
                    <w:jc w:val="left"/>
                  </w:pPr>
                  <w:r>
                    <w:rPr>
                      <w:rFonts w:ascii="仿宋_GB2312" w:hAnsi="仿宋_GB2312" w:cs="仿宋_GB2312" w:eastAsia="仿宋_GB2312"/>
                      <w:sz w:val="21"/>
                      <w:color w:val="000000"/>
                    </w:rPr>
                    <w:t>带宽上限：</w:t>
                  </w:r>
                  <w:r>
                    <w:rPr>
                      <w:rFonts w:ascii="仿宋_GB2312" w:hAnsi="仿宋_GB2312" w:cs="仿宋_GB2312" w:eastAsia="仿宋_GB2312"/>
                      <w:sz w:val="21"/>
                      <w:color w:val="000000"/>
                    </w:rPr>
                    <w:t>1Gbps</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244"/>
                  <w:vMerge/>
                  <w:tcBorders>
                    <w:top w:val="none" w:color="000000" w:sz="4"/>
                    <w:left w:val="single" w:color="000000" w:sz="4"/>
                    <w:bottom w:val="single" w:color="000000" w:sz="4"/>
                    <w:right w:val="single" w:color="000000" w:sz="4"/>
                  </w:tcBorders>
                </w:tcPr>
                <w:p/>
              </w:tc>
              <w:tc>
                <w:tcPr>
                  <w:tcW w:type="dxa" w:w="537"/>
                  <w:vMerge/>
                  <w:tcBorders>
                    <w:top w:val="none" w:color="000000" w:sz="4"/>
                    <w:left w:val="none" w:color="000000" w:sz="4"/>
                    <w:bottom w:val="single" w:color="000000" w:sz="4"/>
                    <w:right w:val="single" w:color="000000" w:sz="4"/>
                  </w:tcBorders>
                </w:tcP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NAT网关：</w:t>
                  </w:r>
                </w:p>
                <w:p>
                  <w:pPr>
                    <w:pStyle w:val="null3"/>
                    <w:jc w:val="both"/>
                  </w:pPr>
                  <w:r>
                    <w:rPr>
                      <w:rFonts w:ascii="仿宋_GB2312" w:hAnsi="仿宋_GB2312" w:cs="仿宋_GB2312" w:eastAsia="仿宋_GB2312"/>
                      <w:sz w:val="21"/>
                      <w:color w:val="000000"/>
                    </w:rPr>
                    <w:t>新建连接数</w:t>
                  </w:r>
                  <w:r>
                    <w:rPr>
                      <w:rFonts w:ascii="仿宋_GB2312" w:hAnsi="仿宋_GB2312" w:cs="仿宋_GB2312" w:eastAsia="仿宋_GB2312"/>
                      <w:sz w:val="21"/>
                      <w:color w:val="000000"/>
                    </w:rPr>
                    <w:t>1000个/秒</w:t>
                  </w:r>
                </w:p>
                <w:p>
                  <w:pPr>
                    <w:pStyle w:val="null3"/>
                    <w:jc w:val="both"/>
                  </w:pPr>
                  <w:r>
                    <w:rPr>
                      <w:rFonts w:ascii="仿宋_GB2312" w:hAnsi="仿宋_GB2312" w:cs="仿宋_GB2312" w:eastAsia="仿宋_GB2312"/>
                      <w:sz w:val="21"/>
                      <w:color w:val="000000"/>
                    </w:rPr>
                    <w:t>并发连接数</w:t>
                  </w:r>
                  <w:r>
                    <w:rPr>
                      <w:rFonts w:ascii="仿宋_GB2312" w:hAnsi="仿宋_GB2312" w:cs="仿宋_GB2312" w:eastAsia="仿宋_GB2312"/>
                      <w:sz w:val="21"/>
                      <w:color w:val="000000"/>
                    </w:rPr>
                    <w:t>10000个</w:t>
                  </w:r>
                </w:p>
                <w:p>
                  <w:pPr>
                    <w:pStyle w:val="null3"/>
                    <w:jc w:val="left"/>
                  </w:pPr>
                  <w:r>
                    <w:rPr>
                      <w:rFonts w:ascii="仿宋_GB2312" w:hAnsi="仿宋_GB2312" w:cs="仿宋_GB2312" w:eastAsia="仿宋_GB2312"/>
                      <w:sz w:val="21"/>
                      <w:color w:val="000000"/>
                    </w:rPr>
                    <w:t>转发能力</w:t>
                  </w:r>
                  <w:r>
                    <w:rPr>
                      <w:rFonts w:ascii="仿宋_GB2312" w:hAnsi="仿宋_GB2312" w:cs="仿宋_GB2312" w:eastAsia="仿宋_GB2312"/>
                      <w:sz w:val="21"/>
                      <w:color w:val="000000"/>
                    </w:rPr>
                    <w:t>1Gbps</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2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5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辅助与其他服务</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短信验证码</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244"/>
                  <w:vMerge/>
                  <w:tcBorders>
                    <w:top w:val="none" w:color="000000" w:sz="4"/>
                    <w:left w:val="single" w:color="000000" w:sz="4"/>
                    <w:bottom w:val="single" w:color="000000" w:sz="4"/>
                    <w:right w:val="single" w:color="000000" w:sz="4"/>
                  </w:tcBorders>
                </w:tcPr>
                <w:p/>
              </w:tc>
              <w:tc>
                <w:tcPr>
                  <w:tcW w:type="dxa" w:w="537"/>
                  <w:vMerge/>
                  <w:tcBorders>
                    <w:top w:val="none" w:color="000000" w:sz="4"/>
                    <w:left w:val="none" w:color="000000" w:sz="4"/>
                    <w:bottom w:val="single" w:color="000000" w:sz="4"/>
                    <w:right w:val="single" w:color="000000" w:sz="4"/>
                  </w:tcBorders>
                </w:tcP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图形验证码</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244"/>
                  <w:vMerge/>
                  <w:tcBorders>
                    <w:top w:val="none" w:color="000000" w:sz="4"/>
                    <w:left w:val="single" w:color="000000" w:sz="4"/>
                    <w:bottom w:val="single" w:color="000000" w:sz="4"/>
                    <w:right w:val="single" w:color="000000" w:sz="4"/>
                  </w:tcBorders>
                </w:tcPr>
                <w:p/>
              </w:tc>
              <w:tc>
                <w:tcPr>
                  <w:tcW w:type="dxa" w:w="537"/>
                  <w:vMerge/>
                  <w:tcBorders>
                    <w:top w:val="none" w:color="000000" w:sz="4"/>
                    <w:left w:val="none" w:color="000000" w:sz="4"/>
                    <w:bottom w:val="single" w:color="000000" w:sz="4"/>
                    <w:right w:val="single" w:color="000000" w:sz="4"/>
                  </w:tcBorders>
                </w:tcP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对象存储</w:t>
                  </w:r>
                  <w:r>
                    <w:rPr>
                      <w:rFonts w:ascii="仿宋_GB2312" w:hAnsi="仿宋_GB2312" w:cs="仿宋_GB2312" w:eastAsia="仿宋_GB2312"/>
                      <w:sz w:val="22"/>
                      <w:color w:val="000000"/>
                    </w:rPr>
                    <w:t>（</w:t>
                  </w:r>
                  <w:r>
                    <w:rPr>
                      <w:rFonts w:ascii="仿宋_GB2312" w:hAnsi="仿宋_GB2312" w:cs="仿宋_GB2312" w:eastAsia="仿宋_GB2312"/>
                      <w:sz w:val="22"/>
                      <w:color w:val="000000"/>
                    </w:rPr>
                    <w:t>3T</w:t>
                  </w:r>
                  <w:r>
                    <w:rPr>
                      <w:rFonts w:ascii="仿宋_GB2312" w:hAnsi="仿宋_GB2312" w:cs="仿宋_GB2312" w:eastAsia="仿宋_GB2312"/>
                      <w:sz w:val="22"/>
                      <w:color w:val="000000"/>
                    </w:rPr>
                    <w:t>）</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244"/>
                  <w:vMerge/>
                  <w:tcBorders>
                    <w:top w:val="none" w:color="000000" w:sz="4"/>
                    <w:left w:val="single" w:color="000000" w:sz="4"/>
                    <w:bottom w:val="single" w:color="000000" w:sz="4"/>
                    <w:right w:val="single" w:color="000000" w:sz="4"/>
                  </w:tcBorders>
                </w:tcPr>
                <w:p/>
              </w:tc>
              <w:tc>
                <w:tcPr>
                  <w:tcW w:type="dxa" w:w="537"/>
                  <w:vMerge/>
                  <w:tcBorders>
                    <w:top w:val="none" w:color="000000" w:sz="4"/>
                    <w:left w:val="none" w:color="000000" w:sz="4"/>
                    <w:bottom w:val="single" w:color="000000" w:sz="4"/>
                    <w:right w:val="single" w:color="000000" w:sz="4"/>
                  </w:tcBorders>
                </w:tcP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域名证书：</w:t>
                  </w:r>
                  <w:r>
                    <w:rPr>
                      <w:rFonts w:ascii="仿宋_GB2312" w:hAnsi="仿宋_GB2312" w:cs="仿宋_GB2312" w:eastAsia="仿宋_GB2312"/>
                      <w:sz w:val="22"/>
                      <w:color w:val="000000"/>
                    </w:rPr>
                    <w:t>满足金融行业企业级通配型证书</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bl>
          <w:p>
            <w:pPr>
              <w:pStyle w:val="null3"/>
            </w:pPr>
            <w:r>
              <w:rPr>
                <w:rFonts w:ascii="仿宋_GB2312" w:hAnsi="仿宋_GB2312" w:cs="仿宋_GB2312" w:eastAsia="仿宋_GB2312"/>
                <w:sz w:val="21"/>
                <w:b/>
              </w:rPr>
              <w:t>四、服务标准：</w:t>
            </w:r>
            <w:r>
              <w:rPr>
                <w:rFonts w:ascii="仿宋_GB2312" w:hAnsi="仿宋_GB2312" w:cs="仿宋_GB2312" w:eastAsia="仿宋_GB2312"/>
                <w:sz w:val="21"/>
              </w:rPr>
              <w:t>符合国家和省、市有关行业标准及采购人的有关规定</w:t>
            </w:r>
            <w:r>
              <w:rPr>
                <w:rFonts w:ascii="仿宋_GB2312" w:hAnsi="仿宋_GB2312" w:cs="仿宋_GB2312" w:eastAsia="仿宋_GB2312"/>
                <w:sz w:val="19"/>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预付款，自合同签订生效后，达到付款条件起30个工作日内，支付合同总金额的40.0%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进度款，配合甲方完成迁移、部署及上线工作并提供符合采购服务要求的《半年度服务报告》后，达到付款条件起30个工作日内，支付合同总金额的40.0%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进度款，服务期满，提供符合采购服务要求的《年度服务报告》，并经专家验收合格后，达到付款条件起30个工作日内，支付合同总金额的20.0%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（1）服务范围：陕西福彩APP及站点支付平台云资源服务项目；（2）服务要求：满足采购需求及采购文件要求 ；（3）服务标准：符合国家和省、市有关行业标准及采购人的有关规定。 （4）根据《陕西省财政厅关于规范政府采购项目评审主观分赋分有关事项的通知》陕财办采函〔2026〕10号，强化评审专家赋分说明及核实义务 采购人、采购代理机构应严格按照《财政部关于进一步规范政府采购评审工作有关问题的通知》(财库[2012]69号)要求，依法细化评审工作程序，对评审数据进行全面校对、核对，重点核查各评审专家主观分项评分与全体评委对应分项平均分的偏离情况，确保评审数据准确、流程合规。经核对，存在以下情形之一的，采购人、采购代理机构应当要求评标委员会根据政府采购法律法规及采购文件载明的评审方法、标准进行再次校对、核对:①主观分总分值在15分以下的，评审专家主观分评分偏离全体评委对应主观分平均分20%以上(含本数);②主观分总分值在15分(含)至30分的，评审专家主观分评分偏离全体评委对应主观分平均分15%以上(含本数);③主观分总分值在30分(含)以上的，评审专家主观分评分偏离全体评委对应主观分平均分10%以上(含本数)。 核对后，评标委员会未确认属于畸高、畸低情形的，采购人、采购代理机构应当场要求各评审专家逐项书面说明扣分理由，说明理由应当充分、明确、有据可查，并完整保存至采购档案。评标委员会确认属于畸高、畸低情形，在评标报告签署前发现的，评标委员会应当场修改评标结果，并在评标报告中详细记载修改原因及过程；在评标报告签署后发现，采购人、采购代理机构应当组织原评标委员会重新评审，重新评审改变评标结果的，须书面报告本级财政部门。 如评审专家未确认属于畸高、畸低情形且未提供充分、合理理由，对该评审专家不予支付评审劳务报酬。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提供2025年度的财务审计报告（报告需在注册会计师行业统一监管平台备案赋码）或开标前六个月内其基本存款账户开户银行出具的资信证明（附开户许可证或开户备案证明或基本账户信息）；</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提供2026年1月至今已缴纳的至少一个月的纳税证明，依法免税的单位应提供相关证明材料；</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具备履行合同所必需的设备和专业技术能力的证明材料(由供应商根据项目需求提供说明材料或者承诺)；</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在“信用中国”网站（www.creditchina.gov.cn）和“中国政府采购网”（ccgp.gov.cn）对响应单位信用信息进行查询，如果响应单位被查实在开标前已列入失信被执行人、重大税收违法失信主体、政府采购严重违法失信行为记录名单，其响应为无效；（以磋商当天代理机构核查为准）。</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法定代表人委托授权书\身份证明</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并与营业执照上信息一致。法定代表人授权代表参加磋商的，须出具法定代表人授权书及授权代表身份证。（其他组织或自然人参照执行）</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 ，不得再参加该采购项目的其他采购活动。</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磋商保证金转账凭证或担保函（供应商若提交保函，应于响应文件递交截止时间前将保函扫描件发送至代理机构邮箱）。</w:t>
            </w:r>
          </w:p>
        </w:tc>
        <w:tc>
          <w:tcPr>
            <w:tcW w:type="dxa" w:w="1661"/>
          </w:tcPr>
          <w:p>
            <w:pPr>
              <w:pStyle w:val="null3"/>
            </w:pPr>
            <w:r>
              <w:rPr>
                <w:rFonts w:ascii="仿宋_GB2312" w:hAnsi="仿宋_GB2312" w:cs="仿宋_GB2312" w:eastAsia="仿宋_GB2312"/>
              </w:rPr>
              <w:t>4资质证明文件（参考格式）.docx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磋商内容未出现漏项或数量与要求不符，未出现重大负偏差；</w:t>
            </w:r>
          </w:p>
        </w:tc>
        <w:tc>
          <w:tcPr>
            <w:tcW w:type="dxa" w:w="1661"/>
          </w:tcPr>
          <w:p>
            <w:pPr>
              <w:pStyle w:val="null3"/>
            </w:pPr>
            <w:r>
              <w:rPr>
                <w:rFonts w:ascii="仿宋_GB2312" w:hAnsi="仿宋_GB2312" w:cs="仿宋_GB2312" w:eastAsia="仿宋_GB2312"/>
              </w:rPr>
              <w:t>3商务响应表.docx 2服务要求响应表.docx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磋商响应文件的签署、加盖公章有效；</w:t>
            </w:r>
          </w:p>
        </w:tc>
        <w:tc>
          <w:tcPr>
            <w:tcW w:type="dxa" w:w="1661"/>
          </w:tcPr>
          <w:p>
            <w:pPr>
              <w:pStyle w:val="null3"/>
            </w:pPr>
            <w:r>
              <w:rPr>
                <w:rFonts w:ascii="仿宋_GB2312" w:hAnsi="仿宋_GB2312" w:cs="仿宋_GB2312" w:eastAsia="仿宋_GB2312"/>
              </w:rPr>
              <w:t>响应文件封面 1分项报价表.docx 6供应商拒绝政府采购领域商业贿赂承诺书.docx 4资质证明文件（参考格式）.docx 标的清单 报价表 响应函 3商务响应表.docx 2服务要求响应表.docx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磋商响应文件按有效期达到磋商文件的要求；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完全理解并接受法律法规和磋商文件对供应商合法经营的各类规约和责任义务要求，未出现法律、法规或磋商文件规定的其他无效情形的；</w:t>
            </w:r>
          </w:p>
        </w:tc>
        <w:tc>
          <w:tcPr>
            <w:tcW w:type="dxa" w:w="1661"/>
          </w:tcPr>
          <w:p>
            <w:pPr>
              <w:pStyle w:val="null3"/>
            </w:pPr>
            <w:r>
              <w:rPr>
                <w:rFonts w:ascii="仿宋_GB2312" w:hAnsi="仿宋_GB2312" w:cs="仿宋_GB2312" w:eastAsia="仿宋_GB2312"/>
              </w:rPr>
              <w:t>响应文件封面 1分项报价表.docx 6供应商拒绝政府采购领域商业贿赂承诺书.docx 4资质证明文件（参考格式）.docx 标的清单 报价表 响应函 3商务响应表.docx 2服务要求响应表.docx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1分项报价表.docx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报价未超过磋商文件中规定的最高限价。</w:t>
            </w:r>
          </w:p>
        </w:tc>
        <w:tc>
          <w:tcPr>
            <w:tcW w:type="dxa" w:w="1661"/>
          </w:tcPr>
          <w:p>
            <w:pPr>
              <w:pStyle w:val="null3"/>
            </w:pPr>
            <w:r>
              <w:rPr>
                <w:rFonts w:ascii="仿宋_GB2312" w:hAnsi="仿宋_GB2312" w:cs="仿宋_GB2312" w:eastAsia="仿宋_GB2312"/>
              </w:rPr>
              <w:t>1分项报价表.docx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根据本项目实际需求及特点，制定总体服务方案，方案包括：①云架构设计方案；②安全合规保障方案；③迁移与实施方案；④服务支持方案。 二、评审标准 1.完整性：方案必须全面，对评审内容中的各项要求有详细描述； 2.准确性：方案描述准确，没有实质性错误或明显的描述及逻辑错误； 3.可实施性：切合本项目实际情况，提出步骤清晰、合理的方案； 4.针对性：方案能够紧扣项目实际情况，内容科学合理。 三、赋分标准（满分 28分） ①云架构设计方案：完全满足每个评审标准得 2 分，有瑕疵得1分，有缺项漏项得 0 分。满分 8分。 ②安全合规保障方案：完全满足每个评审标准得 2 分，有瑕疵得1分，有缺项漏项得 0 分。满分 8分。 ③迁移与实施方案：完全满足每个评审标准得 2 分，有瑕疵得1分，有缺项漏项得 0 分。满分 8分。 ④服务支持方案：完全满足每个评审标准得 1 分，有瑕疵得0.5 分，有缺项漏项得 0 分。满分 4 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服务质量保障方案</w:t>
            </w:r>
          </w:p>
        </w:tc>
        <w:tc>
          <w:tcPr>
            <w:tcW w:type="dxa" w:w="2492"/>
          </w:tcPr>
          <w:p>
            <w:pPr>
              <w:pStyle w:val="null3"/>
            </w:pPr>
            <w:r>
              <w:rPr>
                <w:rFonts w:ascii="仿宋_GB2312" w:hAnsi="仿宋_GB2312" w:cs="仿宋_GB2312" w:eastAsia="仿宋_GB2312"/>
              </w:rPr>
              <w:t>一、评审内容 根据本项目实际需求及特点，制定服务质量保障方案，方案包括：①可用性保障；②数据安全；③业务连续性；④安全防护。 二、评审标准 1.完整性：方案必须全面，对评审内容中的各项要求有详细描述； 2.可实施性：切合本项目实际情况，提出步骤清晰、合理的方案； 3.针对性：方案能够紧扣项目实际情况，内容科学合理。 三、赋分标准（满分 12分） ①可用性保障：完全满足每个评审标准得1 分，有瑕疵得 0.5 分，有缺项漏项得 0 分。满分 3 分。 ②数据安全：完全满足每个评审标准得1 分，有瑕疵得 0.5 分，有缺项漏项得 0 分。满分 3 分。 ③业务连续性：完全满足每个评审标准得1 分，有瑕疵得 0.5 分，有缺项漏项得 0 分。满分 3 分。 ④安全防护：完全满足每个评审标准得1 分，有瑕疵得 0.5 分，有缺项漏项得 0 分。满分 3 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一、评审内容 根据本项目实际需求及特点，提供拟投入的人员，包括①拟投入的人数；②拟投入人员的相关技能证书；③拟投入人员的工作经验。 二、评审标准 ①拟投入的人数：提供拟投入人员信息； ②拟投入人员的相关技能证书：提供全国计算机技术与软件专业资格（水平）考试证书或计算机相关专业职称证书（同一人员不重复计分） ③拟投入人员的工作经验：提供证明材料 二、赋分标准（满分 13分） ①拟投入的人数：每配备1人得1分，满分5分。 ②拟投入人员的相关技能证书：每提供1个得1分，满分3分。 ③拟投入人员的工作经验：团队每有一位人员具备工作经验1年得0.5分，团队每有一位人员具备工作经验2年及以上得1分，满分5分。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体系证书</w:t>
            </w:r>
          </w:p>
        </w:tc>
        <w:tc>
          <w:tcPr>
            <w:tcW w:type="dxa" w:w="2492"/>
          </w:tcPr>
          <w:p>
            <w:pPr>
              <w:pStyle w:val="null3"/>
            </w:pPr>
            <w:r>
              <w:rPr>
                <w:rFonts w:ascii="仿宋_GB2312" w:hAnsi="仿宋_GB2312" w:cs="仿宋_GB2312" w:eastAsia="仿宋_GB2312"/>
              </w:rPr>
              <w:t>一、评审内容及标准 供应商提供的体系认证证书且证书在有效期内得可得分：①信息安全管理体系认证； ②信息技术服务管理体系认证； ③质量管理体系认证。 提供图片或其他能够清晰明确的证明材料。 二、赋分标准：提供一项证书得2分，满分6分。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保密承诺</w:t>
            </w:r>
          </w:p>
        </w:tc>
        <w:tc>
          <w:tcPr>
            <w:tcW w:type="dxa" w:w="2492"/>
          </w:tcPr>
          <w:p>
            <w:pPr>
              <w:pStyle w:val="null3"/>
            </w:pPr>
            <w:r>
              <w:rPr>
                <w:rFonts w:ascii="仿宋_GB2312" w:hAnsi="仿宋_GB2312" w:cs="仿宋_GB2312" w:eastAsia="仿宋_GB2312"/>
              </w:rPr>
              <w:t>一、评审内容及标准 根据本项目实际需求及特点，提供保密承诺，包括①甲方业务与数据类；②云平台运维与访问保密；③保密期限；④合作涉密信息；⑤安全与合规类保密；⑥人员与对外约束要求。 二、赋分标准：保密承诺每提供上述1条得 1.5分，满分9分。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等保承诺</w:t>
            </w:r>
          </w:p>
        </w:tc>
        <w:tc>
          <w:tcPr>
            <w:tcW w:type="dxa" w:w="2492"/>
          </w:tcPr>
          <w:p>
            <w:pPr>
              <w:pStyle w:val="null3"/>
            </w:pPr>
            <w:r>
              <w:rPr>
                <w:rFonts w:ascii="仿宋_GB2312" w:hAnsi="仿宋_GB2312" w:cs="仿宋_GB2312" w:eastAsia="仿宋_GB2312"/>
              </w:rPr>
              <w:t>配合采购人完成质保期内的等保测评认证，提供承诺书得2分，未提供承诺书不得分。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提供2023年1月1日至今类似项目业绩，响应文件中附有其业绩证明材料，业绩以合同或中标（成交）通知书为依据，每提供一个计3分，满分15分。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（1）1.投标（响应）报价低于全部通过符合性审查供应商投标（响应）报价平均值50%的，即投标（响应）报价&lt;全部 通过符合性审查供应商投标（响应）报价平均值×50%； 2.投标（响应）报价低于通过符合性审查的次低报价供应商投标（响应）报价50%的，即投标（响应）报价&lt;通过符合性审查的次低报价供应商投标（响应）报价×50%； 3.投标（响应）报价低于采购项⽬最⾼限价45%的，即投标（响应）报价&lt;采购项⽬最⾼限价×45%； 4.评审委员会基于专业判断，认为供应商报价过低，有可能影响产品质量或者不能诚信履约的其他情形。 相关法律法规对供应商报价有规定的，从其规定。 评审委员会启动异常低价投标（响应）审查后，属于前述第1项⾄第4项情形的，应当要求相关供应商在评审现场合理的时间内对投标（响应）价格作出解释，提供项⽬具体成本测算等与报价合理性相关的书⾯说明及必要的证明材料，包括但不限于原材料成本、⼈⼯成本、制造费⽤等，给予相关供应商的合理时间⼀般不少于30分钟。其中，属于第3项情形，供应商已随投标（响应）⽂件⼀并提交相关书⾯说明及必要的证明材料的，在评审现场可不再重复提交。 评审委员会依据专业经验，参考同类项⽬中标（成交）价格、类似产品市场价格⽔平、⾏业⼈⼯费⽤标准、国家有关部⻔指导⾏业协会发布的⾏业平均成本等情况，对报价合理性进⾏判断。投标（响应 ）供应商不能提供书⾯说明、证明材料，或者提供的书⾯说明、证明材料不能证明其报价合理性的，评审委员会应当将其作为⽆效投标（响应）处理。 评审委员会启动异常低价投标（响应）审查后，应当要求相关供应商在评审现场合理的时间内提供书面说明及必要的证明材料，对投标（响应）价格作出解释。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经资格审查、符合性审查合格的响应文件，其磋商报价为有效磋商报价，对符合政策性扣减的供应商的 有效磋商价格进行政策性扣减，并依据扣减后的价格（评审价格）进行价格评审。 满足磋商文件要求且最终磋商报价最低的磋商报价为评标基准价，其价格分为满分。价格分按照下列公式计算。 报价得分=（评标基准价/有效报价）×价格权重（15%）×100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详见附件：2服务要求响应表.docx</w:t>
      </w:r>
    </w:p>
    <w:p>
      <w:pPr>
        <w:pStyle w:val="null3"/>
        <w:ind w:firstLine="960"/>
      </w:pPr>
      <w:r>
        <w:rPr>
          <w:rFonts w:ascii="仿宋_GB2312" w:hAnsi="仿宋_GB2312" w:cs="仿宋_GB2312" w:eastAsia="仿宋_GB2312"/>
        </w:rPr>
        <w:t>详见附件：3商务响应表.docx</w:t>
      </w:r>
    </w:p>
    <w:p>
      <w:pPr>
        <w:pStyle w:val="null3"/>
        <w:ind w:firstLine="960"/>
      </w:pPr>
      <w:r>
        <w:rPr>
          <w:rFonts w:ascii="仿宋_GB2312" w:hAnsi="仿宋_GB2312" w:cs="仿宋_GB2312" w:eastAsia="仿宋_GB2312"/>
        </w:rPr>
        <w:t>详见附件：4资质证明文件（参考格式）.docx</w:t>
      </w:r>
    </w:p>
    <w:p>
      <w:pPr>
        <w:pStyle w:val="null3"/>
        <w:ind w:firstLine="960"/>
      </w:pPr>
      <w:r>
        <w:rPr>
          <w:rFonts w:ascii="仿宋_GB2312" w:hAnsi="仿宋_GB2312" w:cs="仿宋_GB2312" w:eastAsia="仿宋_GB2312"/>
        </w:rPr>
        <w:t>详见附件：5服务方案.docx</w:t>
      </w:r>
    </w:p>
    <w:p>
      <w:pPr>
        <w:pStyle w:val="null3"/>
        <w:ind w:firstLine="960"/>
      </w:pPr>
      <w:r>
        <w:rPr>
          <w:rFonts w:ascii="仿宋_GB2312" w:hAnsi="仿宋_GB2312" w:cs="仿宋_GB2312" w:eastAsia="仿宋_GB2312"/>
        </w:rPr>
        <w:t>详见附件：6供应商拒绝政府采购领域商业贿赂承诺书.docx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