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版本号：ZHZR2026-ZB00620260603001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2026年勉县褒城镇联合村养鸡厂建设项目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ZHZR2026-ZB006</w:t>
      </w:r>
      <w:r>
        <w:br/>
      </w:r>
      <w:r>
        <w:br/>
      </w:r>
      <w:r>
        <w:br/>
      </w:r>
    </w:p>
    <w:p>
      <w:pPr>
        <w:pStyle w:val="null3"/>
        <w:jc w:val="center"/>
        <w:outlineLvl w:val="2"/>
      </w:pPr>
      <w:r>
        <w:rPr>
          <w:rFonts w:ascii="仿宋_GB2312" w:hAnsi="仿宋_GB2312" w:cs="仿宋_GB2312" w:eastAsia="仿宋_GB2312"/>
          <w:sz w:val="28"/>
          <w:b/>
        </w:rPr>
        <w:t>勉县褒城镇人民政府</w:t>
      </w:r>
    </w:p>
    <w:p>
      <w:pPr>
        <w:pStyle w:val="null3"/>
        <w:jc w:val="center"/>
        <w:outlineLvl w:val="2"/>
      </w:pPr>
      <w:r>
        <w:rPr>
          <w:rFonts w:ascii="仿宋_GB2312" w:hAnsi="仿宋_GB2312" w:cs="仿宋_GB2312" w:eastAsia="仿宋_GB2312"/>
          <w:sz w:val="28"/>
          <w:b/>
        </w:rPr>
        <w:t>中泓泽润工程管理咨询有限公司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中泓泽润工程管理咨询有限公司</w:t>
      </w:r>
      <w:r>
        <w:rPr>
          <w:rFonts w:ascii="仿宋_GB2312" w:hAnsi="仿宋_GB2312" w:cs="仿宋_GB2312" w:eastAsia="仿宋_GB2312"/>
        </w:rPr>
        <w:t>（以下简称“代理机构”）受</w:t>
      </w:r>
      <w:r>
        <w:rPr>
          <w:rFonts w:ascii="仿宋_GB2312" w:hAnsi="仿宋_GB2312" w:cs="仿宋_GB2312" w:eastAsia="仿宋_GB2312"/>
        </w:rPr>
        <w:t>勉县褒城镇人民政府</w:t>
      </w:r>
      <w:r>
        <w:rPr>
          <w:rFonts w:ascii="仿宋_GB2312" w:hAnsi="仿宋_GB2312" w:cs="仿宋_GB2312" w:eastAsia="仿宋_GB2312"/>
        </w:rPr>
        <w:t>委托，拟对</w:t>
      </w:r>
      <w:r>
        <w:rPr>
          <w:rFonts w:ascii="仿宋_GB2312" w:hAnsi="仿宋_GB2312" w:cs="仿宋_GB2312" w:eastAsia="仿宋_GB2312"/>
        </w:rPr>
        <w:t>2026年勉县褒城镇联合村养鸡厂建设项目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ZHZR2026-ZB006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2026年勉县褒城镇联合村养鸡厂建设项目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采购笼网系统，上料系统，清粪系统，捡蛋系统等配套设施（具体以采购清单为准）。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1、供应商资格要求：供应商具有独立承担民事责任能力的法人、其他组织或自然人，提供有效营业执照/事业单位法人证书/其他组织的有效证明文件/自然人的身份证明/民办非企业单位登记证书</w:t>
      </w:r>
    </w:p>
    <w:p>
      <w:pPr>
        <w:pStyle w:val="null3"/>
      </w:pPr>
      <w:r>
        <w:rPr>
          <w:rFonts w:ascii="仿宋_GB2312" w:hAnsi="仿宋_GB2312" w:cs="仿宋_GB2312" w:eastAsia="仿宋_GB2312"/>
        </w:rPr>
        <w:t>2、法定代表人或委托代理人相关证明：法定代表人参加开标会议的，须出具法定代表人证明书及法定代表人合法有效的身份证扫描件；法定代表人授权他人参加开标会议的，须提供法定代表人授权委托书及被授权代表的身份证扫描件</w:t>
      </w:r>
    </w:p>
    <w:p>
      <w:pPr>
        <w:pStyle w:val="null3"/>
      </w:pPr>
      <w:r>
        <w:rPr>
          <w:rFonts w:ascii="仿宋_GB2312" w:hAnsi="仿宋_GB2312" w:cs="仿宋_GB2312" w:eastAsia="仿宋_GB2312"/>
        </w:rPr>
        <w:t>3、供应商须提供《汉中市政府采购供应商资格承诺函》：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号）文件要求，提供资格承诺函，供应商需在项目电子化交易系统中按要求上传相应证明文件并进行电子签章。</w:t>
      </w:r>
    </w:p>
    <w:p>
      <w:pPr>
        <w:pStyle w:val="null3"/>
      </w:pPr>
      <w:r>
        <w:rPr>
          <w:rFonts w:ascii="仿宋_GB2312" w:hAnsi="仿宋_GB2312" w:cs="仿宋_GB2312" w:eastAsia="仿宋_GB2312"/>
        </w:rPr>
        <w:t>4、本采购包专门面向中小企业采购：参与的供应商（联合体）提供的货物全部由符合政策要求的中小企业制造。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勉县褒城镇人民政府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褒城镇连峰社区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勉县褒城镇人民政府经办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13891605922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中泓泽润工程管理咨询有限公司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陕西省西安市雁塔区陕西省西安市雁塔区长安中路38号小寨领秀城商业综合楼4幢11层03号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0916-2100320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开户名称：中泓泽润工程管理咨询有限公司陕西分公司</w:t>
            </w:r>
          </w:p>
          <w:p>
            <w:pPr>
              <w:pStyle w:val="null3"/>
            </w:pPr>
            <w:r>
              <w:rPr>
                <w:rFonts w:ascii="仿宋_GB2312" w:hAnsi="仿宋_GB2312" w:cs="仿宋_GB2312" w:eastAsia="仿宋_GB2312"/>
              </w:rPr>
              <w:t>开户银行：西安银行股份有限公司汉中分行</w:t>
            </w:r>
          </w:p>
          <w:p>
            <w:pPr>
              <w:pStyle w:val="null3"/>
            </w:pPr>
            <w:r>
              <w:rPr>
                <w:rFonts w:ascii="仿宋_GB2312" w:hAnsi="仿宋_GB2312" w:cs="仿宋_GB2312" w:eastAsia="仿宋_GB2312"/>
              </w:rPr>
              <w:t>银行账号：451011580000093184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代理服务费收费标准：代理费依据《国家计委关于印发&lt;招标代理服务收费管理暂行办法&gt;的通知》（计价格【2002】1980号）及（发改办价格）【2011】534号》计取。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勉县褒城镇人民政府</w:t>
      </w:r>
      <w:r>
        <w:rPr>
          <w:rFonts w:ascii="仿宋_GB2312" w:hAnsi="仿宋_GB2312" w:cs="仿宋_GB2312" w:eastAsia="仿宋_GB2312"/>
        </w:rPr>
        <w:t>和</w:t>
      </w:r>
      <w:r>
        <w:rPr>
          <w:rFonts w:ascii="仿宋_GB2312" w:hAnsi="仿宋_GB2312" w:cs="仿宋_GB2312" w:eastAsia="仿宋_GB2312"/>
        </w:rPr>
        <w:t>中泓泽润工程管理咨询有限公司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勉县褒城镇人民政府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中泓泽润工程管理咨询有限公司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勉县褒城镇人民政府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中泓泽润工程管理咨询有限公司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w:t>
      </w:r>
    </w:p>
    <w:p>
      <w:pPr>
        <w:pStyle w:val="null3"/>
      </w:pPr>
      <w:r>
        <w:rPr>
          <w:rFonts w:ascii="仿宋_GB2312" w:hAnsi="仿宋_GB2312" w:cs="仿宋_GB2312" w:eastAsia="仿宋_GB2312"/>
        </w:rPr>
        <w:t>联系电话：0916-2100320</w:t>
      </w:r>
    </w:p>
    <w:p>
      <w:pPr>
        <w:pStyle w:val="null3"/>
      </w:pPr>
      <w:r>
        <w:rPr>
          <w:rFonts w:ascii="仿宋_GB2312" w:hAnsi="仿宋_GB2312" w:cs="仿宋_GB2312" w:eastAsia="仿宋_GB2312"/>
        </w:rPr>
        <w:t>地址：陕西省西安市雁塔区陕西省西安市雁塔区长安中路38号小寨领秀城商业综合楼4幢11层03号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采购笼网系统，上料系统，清粪系统，捡蛋系统等配套设施（具体以采购清单为准）。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2026年勉县褒城镇联合村养鸡厂建设项目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标的名称：2026年勉县褒城镇联合村养鸡厂建设项目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65"/>
              <w:gridCol w:w="212"/>
              <w:gridCol w:w="249"/>
              <w:gridCol w:w="1720"/>
              <w:gridCol w:w="198"/>
            </w:tblGrid>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 xml:space="preserve"> </w:t>
                  </w:r>
                  <w:r>
                    <w:rPr>
                      <w:rFonts w:ascii="仿宋_GB2312" w:hAnsi="仿宋_GB2312" w:cs="仿宋_GB2312" w:eastAsia="仿宋_GB2312"/>
                      <w:sz w:val="22"/>
                      <w:b/>
                      <w:color w:val="000000"/>
                    </w:rPr>
                    <w:t>系统</w:t>
                  </w:r>
                </w:p>
              </w:tc>
              <w:tc>
                <w:tcPr>
                  <w:tcW w:type="dxa" w:w="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设备</w:t>
                  </w:r>
                </w:p>
              </w:tc>
              <w:tc>
                <w:tcPr>
                  <w:tcW w:type="dxa" w:w="17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技术参数及要求</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笼具</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笼网</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热镀锌或锌铝镁合金材质；</w:t>
                  </w:r>
                  <w:r>
                    <w:br/>
                  </w:r>
                  <w:r>
                    <w:rPr>
                      <w:rFonts w:ascii="仿宋_GB2312" w:hAnsi="仿宋_GB2312" w:cs="仿宋_GB2312" w:eastAsia="仿宋_GB2312"/>
                      <w:sz w:val="24"/>
                      <w:color w:val="000000"/>
                    </w:rPr>
                    <w:t>数控成型、装配式结构；</w:t>
                  </w:r>
                  <w:r>
                    <w:br/>
                  </w:r>
                  <w:r>
                    <w:rPr>
                      <w:rFonts w:ascii="仿宋_GB2312" w:hAnsi="仿宋_GB2312" w:cs="仿宋_GB2312" w:eastAsia="仿宋_GB2312"/>
                      <w:sz w:val="24"/>
                      <w:color w:val="000000"/>
                    </w:rPr>
                    <w:t>笼网长度</w:t>
                  </w:r>
                  <w:r>
                    <w:rPr>
                      <w:rFonts w:ascii="仿宋_GB2312" w:hAnsi="仿宋_GB2312" w:cs="仿宋_GB2312" w:eastAsia="仿宋_GB2312"/>
                      <w:sz w:val="24"/>
                      <w:color w:val="000000"/>
                    </w:rPr>
                    <w:t>≥1880mm、高度≥450mm、每列宽度≥1200mm；</w:t>
                  </w:r>
                  <w:r>
                    <w:br/>
                  </w:r>
                  <w:r>
                    <w:rPr>
                      <w:rFonts w:ascii="仿宋_GB2312" w:hAnsi="仿宋_GB2312" w:cs="仿宋_GB2312" w:eastAsia="仿宋_GB2312"/>
                      <w:sz w:val="24"/>
                      <w:color w:val="000000"/>
                    </w:rPr>
                    <w:t>底网丝径</w:t>
                  </w:r>
                  <w:r>
                    <w:rPr>
                      <w:rFonts w:ascii="仿宋_GB2312" w:hAnsi="仿宋_GB2312" w:cs="仿宋_GB2312" w:eastAsia="仿宋_GB2312"/>
                      <w:sz w:val="24"/>
                      <w:color w:val="000000"/>
                    </w:rPr>
                    <w:t>≥φ2.2mm（含底网横丝及加强大线）；</w:t>
                  </w:r>
                  <w:r>
                    <w:rPr>
                      <w:rFonts w:ascii="仿宋_GB2312" w:hAnsi="仿宋_GB2312" w:cs="仿宋_GB2312" w:eastAsia="仿宋_GB2312"/>
                      <w:sz w:val="24"/>
                      <w:color w:val="000000"/>
                    </w:rPr>
                    <w:t>★</w:t>
                  </w:r>
                  <w:r>
                    <w:rPr>
                      <w:rFonts w:ascii="仿宋_GB2312" w:hAnsi="仿宋_GB2312" w:cs="仿宋_GB2312" w:eastAsia="仿宋_GB2312"/>
                      <w:sz w:val="24"/>
                      <w:color w:val="000000"/>
                    </w:rPr>
                    <w:t>笼门丝径</w:t>
                  </w:r>
                  <w:r>
                    <w:rPr>
                      <w:rFonts w:ascii="仿宋_GB2312" w:hAnsi="仿宋_GB2312" w:cs="仿宋_GB2312" w:eastAsia="仿宋_GB2312"/>
                      <w:sz w:val="24"/>
                      <w:color w:val="000000"/>
                    </w:rPr>
                    <w:t>≥φ4.0mm；隔网/顶网丝径≥φ2.2mm；</w:t>
                  </w:r>
                  <w:r>
                    <w:br/>
                  </w:r>
                  <w:r>
                    <w:rPr>
                      <w:rFonts w:ascii="仿宋_GB2312" w:hAnsi="仿宋_GB2312" w:cs="仿宋_GB2312" w:eastAsia="仿宋_GB2312"/>
                      <w:sz w:val="24"/>
                      <w:color w:val="000000"/>
                    </w:rPr>
                    <w:t>护蛋板厚度</w:t>
                  </w:r>
                  <w:r>
                    <w:rPr>
                      <w:rFonts w:ascii="仿宋_GB2312" w:hAnsi="仿宋_GB2312" w:cs="仿宋_GB2312" w:eastAsia="仿宋_GB2312"/>
                      <w:sz w:val="24"/>
                      <w:color w:val="000000"/>
                    </w:rPr>
                    <w:t>≥0.8mm、食槽挂钩厚度≥1.0mm、笼腿板材厚度≥2.0mm；</w:t>
                  </w:r>
                  <w:r>
                    <w:br/>
                  </w:r>
                  <w:r>
                    <w:rPr>
                      <w:rFonts w:ascii="仿宋_GB2312" w:hAnsi="仿宋_GB2312" w:cs="仿宋_GB2312" w:eastAsia="仿宋_GB2312"/>
                      <w:sz w:val="24"/>
                      <w:color w:val="000000"/>
                    </w:rPr>
                    <w:t>联接件采用不锈钢铆钉（材质</w:t>
                  </w:r>
                  <w:r>
                    <w:rPr>
                      <w:rFonts w:ascii="仿宋_GB2312" w:hAnsi="仿宋_GB2312" w:cs="仿宋_GB2312" w:eastAsia="仿宋_GB2312"/>
                      <w:sz w:val="24"/>
                      <w:color w:val="000000"/>
                    </w:rPr>
                    <w:t>≥304不锈钢）；</w:t>
                  </w:r>
                  <w:r>
                    <w:br/>
                  </w:r>
                  <w:r>
                    <w:rPr>
                      <w:rFonts w:ascii="仿宋_GB2312" w:hAnsi="仿宋_GB2312" w:cs="仿宋_GB2312" w:eastAsia="仿宋_GB2312"/>
                      <w:sz w:val="24"/>
                      <w:color w:val="000000"/>
                    </w:rPr>
                    <w:t>锌层厚度</w:t>
                  </w:r>
                  <w:r>
                    <w:rPr>
                      <w:rFonts w:ascii="仿宋_GB2312" w:hAnsi="仿宋_GB2312" w:cs="仿宋_GB2312" w:eastAsia="仿宋_GB2312"/>
                      <w:sz w:val="24"/>
                      <w:color w:val="000000"/>
                    </w:rPr>
                    <w:t>≥85μm；</w:t>
                  </w:r>
                  <w:r>
                    <w:br/>
                  </w:r>
                  <w:r>
                    <w:rPr>
                      <w:rFonts w:ascii="仿宋_GB2312" w:hAnsi="仿宋_GB2312" w:cs="仿宋_GB2312" w:eastAsia="仿宋_GB2312"/>
                      <w:sz w:val="24"/>
                      <w:color w:val="000000"/>
                    </w:rPr>
                    <w:t>单笼容纳蛋鸡数量</w:t>
                  </w:r>
                  <w:r>
                    <w:rPr>
                      <w:rFonts w:ascii="仿宋_GB2312" w:hAnsi="仿宋_GB2312" w:cs="仿宋_GB2312" w:eastAsia="仿宋_GB2312"/>
                      <w:sz w:val="24"/>
                      <w:color w:val="000000"/>
                    </w:rPr>
                    <w:t>≤5只，</w:t>
                  </w:r>
                  <w:r>
                    <w:rPr>
                      <w:rFonts w:ascii="仿宋_GB2312" w:hAnsi="仿宋_GB2312" w:cs="仿宋_GB2312" w:eastAsia="仿宋_GB2312"/>
                      <w:sz w:val="24"/>
                      <w:color w:val="000000"/>
                    </w:rPr>
                    <w:t>★</w:t>
                  </w:r>
                  <w:r>
                    <w:rPr>
                      <w:rFonts w:ascii="仿宋_GB2312" w:hAnsi="仿宋_GB2312" w:cs="仿宋_GB2312" w:eastAsia="仿宋_GB2312"/>
                      <w:sz w:val="24"/>
                      <w:color w:val="000000"/>
                    </w:rPr>
                    <w:t>笼网开孔尺寸</w:t>
                  </w:r>
                  <w:r>
                    <w:rPr>
                      <w:rFonts w:ascii="仿宋_GB2312" w:hAnsi="仿宋_GB2312" w:cs="仿宋_GB2312" w:eastAsia="仿宋_GB2312"/>
                      <w:sz w:val="24"/>
                      <w:color w:val="000000"/>
                    </w:rPr>
                    <w:t>≤40mm×50mm（防止鸡只卡伤）。</w:t>
                  </w:r>
                </w:p>
              </w:tc>
              <w:tc>
                <w:tcPr>
                  <w:tcW w:type="dxa" w:w="1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108组</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笼架</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框架式结构，材质为锌铝镁合金或同等防腐合金（如热镀锌</w:t>
                  </w:r>
                  <w:r>
                    <w:rPr>
                      <w:rFonts w:ascii="仿宋_GB2312" w:hAnsi="仿宋_GB2312" w:cs="仿宋_GB2312" w:eastAsia="仿宋_GB2312"/>
                      <w:sz w:val="24"/>
                      <w:color w:val="000000"/>
                    </w:rPr>
                    <w:t>Q235钢）；▲整体承载能力≥500kg/㎡（含鸡只、设备自重）；框架立柱截面≥50mm×50mm、横梁截面≥40mm×40mm；所有连接部位采用≥8.8级高强度螺栓紧固（规格≥M8×25mm）；表面防腐处理采用热镀锌或同等效果防腐工艺，锌层厚度≥85μm。</w:t>
                  </w:r>
                </w:p>
              </w:tc>
              <w:tc>
                <w:tcPr>
                  <w:tcW w:type="dxa" w:w="198"/>
                  <w:vMerge/>
                  <w:tcBorders>
                    <w:top w:val="none" w:color="000000" w:sz="4"/>
                    <w:left w:val="none" w:color="000000" w:sz="4"/>
                    <w:bottom w:val="single" w:color="000000" w:sz="4"/>
                    <w:right w:val="single" w:color="000000" w:sz="4"/>
                  </w:tcBorders>
                </w:tc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食槽</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锌铝镁合金或食品级</w:t>
                  </w:r>
                  <w:r>
                    <w:rPr>
                      <w:rFonts w:ascii="仿宋_GB2312" w:hAnsi="仿宋_GB2312" w:cs="仿宋_GB2312" w:eastAsia="仿宋_GB2312"/>
                      <w:sz w:val="24"/>
                      <w:color w:val="000000"/>
                    </w:rPr>
                    <w:t>304不锈钢材质，厚度≥1.0mm；有效宽度≥120mm、深度≥80mm、长度适配笼架尺寸；每米食槽可满足≤20只蛋鸡同时采食需求；食槽底部设有防滑卡槽（深度≥5mm），防止移位；安装高度可在300-500mm范围内调节（适配不同日龄鸡只）；食槽内壁表面粗糙度Ra≤6.3μm（防止饲料残留）；具备防撒料设计（边缘上翘高度≥15mm）。</w:t>
                  </w:r>
                </w:p>
              </w:tc>
              <w:tc>
                <w:tcPr>
                  <w:tcW w:type="dxa" w:w="198"/>
                  <w:vMerge/>
                  <w:tcBorders>
                    <w:top w:val="none" w:color="000000" w:sz="4"/>
                    <w:left w:val="none" w:color="000000" w:sz="4"/>
                    <w:bottom w:val="single" w:color="000000" w:sz="4"/>
                    <w:right w:val="single" w:color="000000" w:sz="4"/>
                  </w:tcBorders>
                </w:tc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笼内配件</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笼内支撑：采用锌铝镁合金板材成型，间距</w:t>
                  </w:r>
                  <w:r>
                    <w:rPr>
                      <w:rFonts w:ascii="仿宋_GB2312" w:hAnsi="仿宋_GB2312" w:cs="仿宋_GB2312" w:eastAsia="仿宋_GB2312"/>
                      <w:sz w:val="24"/>
                      <w:color w:val="000000"/>
                    </w:rPr>
                    <w:t>≤620mm；笼内连接板：材质与笼架一致，厚度≥1.0mm，采用≥不锈钢铆钉固定；笼内护蛋板：采用食品级PP塑料或镀锌钢板（厚度≥0.8mm），倾斜角度15-20°（确保鸡蛋顺利滚动）；护蛋板边缘倒圆处理（半径≥2mm），防止划伤鸡只；所有配件安装后无尖锐棱角。</w:t>
                  </w:r>
                </w:p>
              </w:tc>
              <w:tc>
                <w:tcPr>
                  <w:tcW w:type="dxa" w:w="198"/>
                  <w:vMerge/>
                  <w:tcBorders>
                    <w:top w:val="none" w:color="000000" w:sz="4"/>
                    <w:left w:val="none" w:color="000000" w:sz="4"/>
                    <w:bottom w:val="single" w:color="000000" w:sz="4"/>
                    <w:right w:val="single" w:color="000000" w:sz="4"/>
                  </w:tcBorders>
                </w:tc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水管</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PVC养鸡专用水管，规格≥φ25mm、壁厚≥2.0mm；每根标准长度4000mm（可根据实际需求调整，误差≤±5mm）；公称压力≥0.8MPa，耐温范围-10℃至60℃；水管连接采用承插式或螺纹连接（密封件为食品级橡胶）；每间隔≤1.5m设置固定支架，防止水管晃动。</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465根</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饮水器乳头</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适配</w:t>
                  </w:r>
                  <w:r>
                    <w:rPr>
                      <w:rFonts w:ascii="仿宋_GB2312" w:hAnsi="仿宋_GB2312" w:cs="仿宋_GB2312" w:eastAsia="仿宋_GB2312"/>
                      <w:sz w:val="24"/>
                      <w:color w:val="000000"/>
                    </w:rPr>
                    <w:t>φ25mm水管，出水量≥40ml/min；阀芯采用304不锈钢材质，壳体采用食品级ABS工程塑料（耐温-20℃至80℃）；密封性能：0.8MPa压力下无渗漏；▲使用寿命≥3年（正常使用条件下）；每只乳头可满足≥10只蛋鸡饮水需求；安装间距≤470mm（确保每只鸡可便捷饮水）；具备防堵塞设计。</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3600个</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减压阀</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采用蝶式或活塞式减压阀，适用介质为饮用水；调压范围</w:t>
                  </w:r>
                  <w:r>
                    <w:rPr>
                      <w:rFonts w:ascii="仿宋_GB2312" w:hAnsi="仿宋_GB2312" w:cs="仿宋_GB2312" w:eastAsia="仿宋_GB2312"/>
                      <w:sz w:val="24"/>
                      <w:color w:val="000000"/>
                    </w:rPr>
                    <w:t>0.1-0.8MPa（调节精度±0.02MPa）；公称压力≥1.0MPa，进出口管径≥DN25（螺纹连接，符合G1螺纹）；阀体材质为PPR或铸铁（内外环氧树脂防腐）；配备≥1.6级压力表（量程0-1.6MPa）和DN50尾端排水阀（PVC质）。</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加压器</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增加鸡舍供水压力，功率</w:t>
                  </w:r>
                  <w:r>
                    <w:rPr>
                      <w:rFonts w:ascii="仿宋_GB2312" w:hAnsi="仿宋_GB2312" w:cs="仿宋_GB2312" w:eastAsia="仿宋_GB2312"/>
                      <w:sz w:val="24"/>
                      <w:color w:val="000000"/>
                    </w:rPr>
                    <w:t>≥0.75kW，静音，降噪</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清粪系统</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皮带清粪机</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框架采用锌铝镁合金板或同等防腐钢板（材质</w:t>
                  </w:r>
                  <w:r>
                    <w:rPr>
                      <w:rFonts w:ascii="仿宋_GB2312" w:hAnsi="仿宋_GB2312" w:cs="仿宋_GB2312" w:eastAsia="仿宋_GB2312"/>
                      <w:sz w:val="24"/>
                      <w:color w:val="000000"/>
                    </w:rPr>
                    <w:t>≥Q235B，表面热镀锌），侧板厚度≥3.0mm；配备电机≥2台，单台功率≥0.75kW，防护等级≥IP54，绝缘等级F级，能效等级≥3级；门板式箱体挡边高度≥300mm（防止粪便外溢）；头端采用双螺旋滚轴结构；尾端滚筒直径≥165mm；配套二次刮粪装置；清粪速度0.5-2m/min可调，最大清粪量≥50kg/h·m。</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4台</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w:t>
                  </w:r>
                </w:p>
              </w:tc>
              <w:tc>
                <w:tcPr>
                  <w:tcW w:type="dxa" w:w="212"/>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清粪机配件</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挡粪板：采用锌铝镁合金板或同等防腐板材，厚度</w:t>
                  </w:r>
                  <w:r>
                    <w:rPr>
                      <w:rFonts w:ascii="仿宋_GB2312" w:hAnsi="仿宋_GB2312" w:cs="仿宋_GB2312" w:eastAsia="仿宋_GB2312"/>
                      <w:sz w:val="24"/>
                      <w:color w:val="000000"/>
                    </w:rPr>
                    <w:t>≥1.0mm，数控成型，外形宽度≥1370mm、高度≥300mm，边缘折弯高度≥20mm；拖带棍：采用≥1.0mm厚锌铝镁合金板成型，长度≥1270mm；</w:t>
                  </w:r>
                  <w:r>
                    <w:br/>
                  </w:r>
                  <w:r>
                    <w:rPr>
                      <w:rFonts w:ascii="仿宋_GB2312" w:hAnsi="仿宋_GB2312" w:cs="仿宋_GB2312" w:eastAsia="仿宋_GB2312"/>
                      <w:sz w:val="24"/>
                      <w:color w:val="000000"/>
                    </w:rPr>
                    <w:t>吊件：采用锌铝镁合金板或同等强度钢材，厚度</w:t>
                  </w:r>
                  <w:r>
                    <w:rPr>
                      <w:rFonts w:ascii="仿宋_GB2312" w:hAnsi="仿宋_GB2312" w:cs="仿宋_GB2312" w:eastAsia="仿宋_GB2312"/>
                      <w:sz w:val="24"/>
                      <w:color w:val="000000"/>
                    </w:rPr>
                    <w:t>≥2.0mm，承载能力≥50kg/件</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108</w:t>
                  </w:r>
                  <w:r>
                    <w:rPr>
                      <w:rFonts w:ascii="仿宋_GB2312" w:hAnsi="仿宋_GB2312" w:cs="仿宋_GB2312" w:eastAsia="仿宋_GB2312"/>
                      <w:sz w:val="28"/>
                      <w:color w:val="000000"/>
                    </w:rPr>
                    <w:t>组</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11</w:t>
                  </w:r>
                </w:p>
              </w:tc>
              <w:tc>
                <w:tcPr>
                  <w:tcW w:type="dxa" w:w="212"/>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清粪带</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★采用食品级聚丙烯（PP）或聚乙烯（PE）材质（可选）；</w:t>
                  </w:r>
                  <w:r>
                    <w:br/>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≥1.2mm、宽度≥1180mm（误差≤±2mm）；</w:t>
                  </w:r>
                  <w:r>
                    <w:br/>
                  </w:r>
                  <w:r>
                    <w:rPr>
                      <w:rFonts w:ascii="仿宋_GB2312" w:hAnsi="仿宋_GB2312" w:cs="仿宋_GB2312" w:eastAsia="仿宋_GB2312"/>
                      <w:sz w:val="24"/>
                      <w:color w:val="000000"/>
                    </w:rPr>
                    <w:t>工作温度范围</w:t>
                  </w:r>
                  <w:r>
                    <w:rPr>
                      <w:rFonts w:ascii="仿宋_GB2312" w:hAnsi="仿宋_GB2312" w:cs="仿宋_GB2312" w:eastAsia="仿宋_GB2312"/>
                      <w:sz w:val="24"/>
                      <w:color w:val="000000"/>
                    </w:rPr>
                    <w:t>-10℃至60℃；</w:t>
                  </w:r>
                  <w:r>
                    <w:br/>
                  </w:r>
                  <w:r>
                    <w:rPr>
                      <w:rFonts w:ascii="仿宋_GB2312" w:hAnsi="仿宋_GB2312" w:cs="仿宋_GB2312" w:eastAsia="仿宋_GB2312"/>
                      <w:sz w:val="24"/>
                      <w:color w:val="000000"/>
                    </w:rPr>
                    <w:t>表面平整，无气泡、裂痕；接缝处抗拉强度</w:t>
                  </w:r>
                  <w:r>
                    <w:rPr>
                      <w:rFonts w:ascii="仿宋_GB2312" w:hAnsi="仿宋_GB2312" w:cs="仿宋_GB2312" w:eastAsia="仿宋_GB2312"/>
                      <w:sz w:val="24"/>
                      <w:color w:val="000000"/>
                    </w:rPr>
                    <w:t>≥母材的80%。</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16条</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w:t>
                  </w:r>
                </w:p>
              </w:tc>
              <w:tc>
                <w:tcPr>
                  <w:tcW w:type="dxa" w:w="212"/>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横向传送带</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锌铝镁材质侧板（厚度</w:t>
                  </w:r>
                  <w:r>
                    <w:rPr>
                      <w:rFonts w:ascii="仿宋_GB2312" w:hAnsi="仿宋_GB2312" w:cs="仿宋_GB2312" w:eastAsia="仿宋_GB2312"/>
                      <w:sz w:val="24"/>
                      <w:color w:val="000000"/>
                    </w:rPr>
                    <w:t>≥1.5mm），宽度≥700mm；输送带采用PVC材质（厚度≥2mm，抗拉强度≥12MPa），输送速度0.8-1.5m/min可调；驱动电机功率≥0.55kW（防护等级≥IP54，绝缘等级F级）；滚筒直径≥80mm；输送能力≥30kg/h·m（满足清粪系统匹配需求）；配备跑偏保护装置（偏差≥10mm时自动停机）；运行平稳、无撒漏（输送带边缘挡边高度≥50mm）、无卡滞。</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13米</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13</w:t>
                  </w:r>
                </w:p>
              </w:tc>
              <w:tc>
                <w:tcPr>
                  <w:tcW w:type="dxa" w:w="212"/>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斜向传送带</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锌铝镁材质侧板（厚度</w:t>
                  </w:r>
                  <w:r>
                    <w:rPr>
                      <w:rFonts w:ascii="仿宋_GB2312" w:hAnsi="仿宋_GB2312" w:cs="仿宋_GB2312" w:eastAsia="仿宋_GB2312"/>
                      <w:sz w:val="24"/>
                      <w:color w:val="000000"/>
                    </w:rPr>
                    <w:t>≥1.5mm），宽度≥700mm；输送角度≤30°（适配现场安装，防止粪便下滑）；输送带采用耐磨橡胶材质（厚度≥3mm），输送速度0.6-1.2m/min可调；驱动电机功率≥0.75kW（防护等级≥IP54，绝缘等级F级）；配备防滑隔板（间距≤300mm，高度≥80mm）；输送能力≥25kg/h·m；安装倾角偏差≤1°；无撒漏（侧板与输送带间隙≤</w:t>
                  </w:r>
                  <w:r>
                    <w:rPr>
                      <w:rFonts w:ascii="仿宋_GB2312" w:hAnsi="仿宋_GB2312" w:cs="仿宋_GB2312" w:eastAsia="仿宋_GB2312"/>
                      <w:sz w:val="24"/>
                      <w:color w:val="FF0000"/>
                    </w:rPr>
                    <w:t>5</w:t>
                  </w:r>
                  <w:r>
                    <w:rPr>
                      <w:rFonts w:ascii="仿宋_GB2312" w:hAnsi="仿宋_GB2312" w:cs="仿宋_GB2312" w:eastAsia="仿宋_GB2312"/>
                      <w:sz w:val="24"/>
                      <w:color w:val="000000"/>
                    </w:rPr>
                    <w:t>mm）、无卡滞。</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8米</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14</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喂料系统</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行车式上料机</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行车式自动喂料结构，主机框架采用锌铝镁合金板成型，厚度</w:t>
                  </w:r>
                  <w:r>
                    <w:rPr>
                      <w:rFonts w:ascii="仿宋_GB2312" w:hAnsi="仿宋_GB2312" w:cs="仿宋_GB2312" w:eastAsia="仿宋_GB2312"/>
                      <w:sz w:val="24"/>
                      <w:color w:val="000000"/>
                    </w:rPr>
                    <w:t>≥3.0mm；驱动电机功率≥0.75kW（防护等级≥IP54）；行走速度0.5-1.5m/min可调（定位精度±5mm）；全封闭料斗（容积≥0.5m³，材质≥1.5mm厚不锈钢），无焊接装配式（螺栓连接，便于拆卸）；回料自吸式设计（吸料管直径≥φ50mm），带防尘除尘装置（滤芯精度≥10μm）；喂料量100-300kg/h可调（满足11520只鸡饲喂需求）；配备紧急停止按钮。</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4台</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w:t>
                  </w:r>
                </w:p>
              </w:tc>
              <w:tc>
                <w:tcPr>
                  <w:tcW w:type="dxa" w:w="212"/>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轨道</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cm×5cm热镀锌矩形管（实际尺寸≥28mm×48mm×2.5mm），材质Q235B；壁厚≥2.5mm；表面热镀锌处理，锌层厚度≥85μm；轨道直线度偏差≤3mm/m，每段长度≥6m（减少接头）；轨道连接采用法兰盘（厚度≥6mm），螺栓规格≥M8×20mm（8.8级高强度螺栓）；轨道承载能力≥200kg/m（含行车及料斗重量）；安装水平度偏差≤2mm/m。</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480米</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w:t>
                  </w:r>
                </w:p>
              </w:tc>
              <w:tc>
                <w:tcPr>
                  <w:tcW w:type="dxa" w:w="212"/>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绞龙</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材质采用</w:t>
                  </w:r>
                  <w:r>
                    <w:rPr>
                      <w:rFonts w:ascii="仿宋_GB2312" w:hAnsi="仿宋_GB2312" w:cs="仿宋_GB2312" w:eastAsia="仿宋_GB2312"/>
                      <w:sz w:val="24"/>
                      <w:color w:val="000000"/>
                    </w:rPr>
                    <w:t>PVC或不锈钢（304），管径≥φ110mm（壁厚≥3mm）；螺旋叶片厚度≥5mm（不锈钢材质），螺旋导程≥110mm；驱动电机功率≥0.75kW（防护等级≥IP54，绝缘等级F级）；输送量≥10m³/h；密封方式：两端采用机械密封（防粉尘泄漏，泄漏量≤5mg/h）；工作温度范围-10℃至50℃。</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56米</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17</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捡蛋系统</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四层层叠捡蛋机（主机）</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框架采用锌铝镁合金或</w:t>
                  </w:r>
                  <w:r>
                    <w:rPr>
                      <w:rFonts w:ascii="仿宋_GB2312" w:hAnsi="仿宋_GB2312" w:cs="仿宋_GB2312" w:eastAsia="仿宋_GB2312"/>
                      <w:sz w:val="24"/>
                      <w:color w:val="000000"/>
                    </w:rPr>
                    <w:t>304不锈钢材质，侧板厚度≥2.0mm；集蛋层数4层（每层间距≥700mm，适配笼具高度）；蛋带除尘装置（毛刷材质≥尼龙）；集蛋速度0.8-1.5m/min可调（★破蛋率≤0.3%，按总产蛋量计算）；蛋带宽度≥100mm（食品级PVC材质，厚度≥1.5mm）；驱动电机功率≥0.37kW（防护等级≥IP54，绝缘等级F级）；</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4台</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18</w:t>
                  </w:r>
                </w:p>
              </w:tc>
              <w:tc>
                <w:tcPr>
                  <w:tcW w:type="dxa" w:w="212"/>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捡蛋带</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加厚尼龙</w:t>
                  </w:r>
                  <w:r>
                    <w:rPr>
                      <w:rFonts w:ascii="仿宋_GB2312" w:hAnsi="仿宋_GB2312" w:cs="仿宋_GB2312" w:eastAsia="仿宋_GB2312"/>
                      <w:sz w:val="24"/>
                      <w:color w:val="000000"/>
                    </w:rPr>
                    <w:t>/帆布材质或食品级PVC，厚度≥1.5mm；宽度≥100mm（适配捡蛋机主机）；耐温范围-5℃至60℃；耐脏性能：污渍易清洗（清水冲洗后残留率≤5%）；接缝处采用热合或缝制（抗拉强度≥母材的70%）。</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3564米</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19</w:t>
                  </w:r>
                </w:p>
              </w:tc>
              <w:tc>
                <w:tcPr>
                  <w:tcW w:type="dxa" w:w="212"/>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捡蛋卡</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食品级</w:t>
                  </w:r>
                  <w:r>
                    <w:rPr>
                      <w:rFonts w:ascii="仿宋_GB2312" w:hAnsi="仿宋_GB2312" w:cs="仿宋_GB2312" w:eastAsia="仿宋_GB2312"/>
                      <w:sz w:val="24"/>
                      <w:color w:val="000000"/>
                    </w:rPr>
                    <w:t>PVC,U型结构，宽度≥100mm,</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108组</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w:t>
                  </w:r>
                </w:p>
              </w:tc>
              <w:tc>
                <w:tcPr>
                  <w:tcW w:type="dxa" w:w="212"/>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软蛋过滤</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框架采用锌铝镁合金或</w:t>
                  </w:r>
                  <w:r>
                    <w:rPr>
                      <w:rFonts w:ascii="仿宋_GB2312" w:hAnsi="仿宋_GB2312" w:cs="仿宋_GB2312" w:eastAsia="仿宋_GB2312"/>
                      <w:sz w:val="24"/>
                      <w:color w:val="000000"/>
                    </w:rPr>
                    <w:t>304不锈钢材质，软蛋过滤装置（过滤精度≥20mm，防止软蛋破损）</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21</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温控</w:t>
                  </w:r>
                  <w:r>
                    <w:rPr>
                      <w:rFonts w:ascii="仿宋_GB2312" w:hAnsi="仿宋_GB2312" w:cs="仿宋_GB2312" w:eastAsia="仿宋_GB2312"/>
                      <w:sz w:val="22"/>
                      <w:color w:val="000000"/>
                    </w:rPr>
                    <w:t>/照明</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风机</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1.4m级推拉式负压风机（尺寸≥1380mm×1380mm×430mm）；风机叶片材质为玻璃钢（厚度≥5mm）；电机功率≥1.1kW（防护等级≥IP54）；▲风量≥45000m³/h；全压≥150Pa；安装方式为墙式安装（法兰尺寸适配洞口）；百叶窗自动开启，具备防雨防尘设计。</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14台</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22</w:t>
                  </w:r>
                </w:p>
              </w:tc>
              <w:tc>
                <w:tcPr>
                  <w:tcW w:type="dxa" w:w="212"/>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水帘</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外框采用铝合金材质（厚度</w:t>
                  </w:r>
                  <w:r>
                    <w:rPr>
                      <w:rFonts w:ascii="仿宋_GB2312" w:hAnsi="仿宋_GB2312" w:cs="仿宋_GB2312" w:eastAsia="仿宋_GB2312"/>
                      <w:sz w:val="24"/>
                      <w:color w:val="000000"/>
                    </w:rPr>
                    <w:t>≥1.5mm），尺寸根据现场定制；水帘纸材质为波纹状特种纸（厚度≥150mm）；外框防腐处理：表面阳极氧化（厚度≥10μm）或喷塑（厚度≥60μm）；密封性能：水帘纸与外框间隙≤1mm（防止风短路）。</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70²</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23</w:t>
                  </w:r>
                </w:p>
              </w:tc>
              <w:tc>
                <w:tcPr>
                  <w:tcW w:type="dxa" w:w="212"/>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水帘配件</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自动供水系统：包含水泵（功率</w:t>
                  </w:r>
                  <w:r>
                    <w:rPr>
                      <w:rFonts w:ascii="仿宋_GB2312" w:hAnsi="仿宋_GB2312" w:cs="仿宋_GB2312" w:eastAsia="仿宋_GB2312"/>
                      <w:sz w:val="24"/>
                      <w:color w:val="000000"/>
                    </w:rPr>
                    <w:t>≥0.75kW，流量≥15m³/h，扬程≥15m）、供水管（φ50mm PVC管）、喷淋头（间距≤200mm，雾化粒径≥0.5mm）；水位控制系统：浮球阀（材质食品级PP，控制精度±5mm）、水位传感器（检测范围0-500mm）；排水系统：排水管（φ50mm PVC管）、滤网（精度≥1mm，防止堵塞）；控制系统与环控系统联动（可自动启停）；配件材质均为防腐材质（耐酸碱腐蚀，pH 4-10）。</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w:t>
                  </w:r>
                </w:p>
              </w:tc>
              <w:tc>
                <w:tcPr>
                  <w:tcW w:type="dxa" w:w="212"/>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导流板</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采用耐腐耐候材质（如</w:t>
                  </w:r>
                  <w:r>
                    <w:rPr>
                      <w:rFonts w:ascii="仿宋_GB2312" w:hAnsi="仿宋_GB2312" w:cs="仿宋_GB2312" w:eastAsia="仿宋_GB2312"/>
                      <w:sz w:val="24"/>
                      <w:color w:val="000000"/>
                    </w:rPr>
                    <w:t>FRP玻璃钢或PVC板，厚度≥3mm）；尺寸根据鸡舍设计定制；导风角度0-45°可调（调节方式为手动或电动）；表面光滑；抗风强度≥10m/s（无变形）；耐温范围-30℃至80℃；安装牢固（每米至少2个固定点）。</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70²</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25</w:t>
                  </w:r>
                </w:p>
              </w:tc>
              <w:tc>
                <w:tcPr>
                  <w:tcW w:type="dxa" w:w="212"/>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导流板配件</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钢丝绳：直径</w:t>
                  </w:r>
                  <w:r>
                    <w:rPr>
                      <w:rFonts w:ascii="仿宋_GB2312" w:hAnsi="仿宋_GB2312" w:cs="仿宋_GB2312" w:eastAsia="仿宋_GB2312"/>
                      <w:sz w:val="24"/>
                      <w:color w:val="000000"/>
                    </w:rPr>
                    <w:t>≥4mm（镀锌钢丝绳）；卡扣：玛钢材质或不锈钢（304），与钢丝绳匹配（每个接头≥3个卡扣）；滑轮：直径≥50mm（尼龙材质或铸铁，表面光滑，转速≥300r/min）；轴承：深沟球轴承（型号≥6202，防护等级≥IP52）；电动执行器（如需电动调节）：功率≥20W，输出扭矩≥5N·m，防护等级≥IP54；所有配件防锈防腐处理，适应鸡舍潮湿环境。</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26</w:t>
                  </w:r>
                </w:p>
              </w:tc>
              <w:tc>
                <w:tcPr>
                  <w:tcW w:type="dxa" w:w="212"/>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通风小窗</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材质为</w:t>
                  </w:r>
                  <w:r>
                    <w:rPr>
                      <w:rFonts w:ascii="仿宋_GB2312" w:hAnsi="仿宋_GB2312" w:cs="仿宋_GB2312" w:eastAsia="仿宋_GB2312"/>
                      <w:sz w:val="24"/>
                      <w:color w:val="000000"/>
                    </w:rPr>
                    <w:t>PP材质；单窗尺寸≥1000mm×350mm（宽度×高度，可根据鸡舍定制）；开启角度0-90°可调（调节精度±1°）；开启方式为电动或手动；密封性能：关闭状态下，漏风率≤5m³/h·㎡（静压100Pa时）；表面处理：阳极氧化（厚度≥10μm）或喷塑（厚度≥60μm，耐盐雾≥500h）；具备防鸟防虫设计。</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44个</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27</w:t>
                  </w:r>
                </w:p>
              </w:tc>
              <w:tc>
                <w:tcPr>
                  <w:tcW w:type="dxa" w:w="212"/>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通风小窗配件</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钢丝绳：直径</w:t>
                  </w:r>
                  <w:r>
                    <w:rPr>
                      <w:rFonts w:ascii="仿宋_GB2312" w:hAnsi="仿宋_GB2312" w:cs="仿宋_GB2312" w:eastAsia="仿宋_GB2312"/>
                      <w:sz w:val="24"/>
                      <w:color w:val="000000"/>
                    </w:rPr>
                    <w:t>≥4mm（与导流板配件通用）；卡扣：玛钢材质或不锈钢（304），与钢丝绳匹配（每个接头≥3个卡扣）；滑轮：直径≥40mm（尼龙材质）；联接件：不锈钢（304）螺栓（规格≥M6×16mm，8.8级）；电动推杆：功率≥30W，行程≥100mm，速度≥5mm/s，防护等级≥IP54；限位开关：行程开关（防护等级≥IP54）；所有配件安装后，小窗开启关闭顺畅，无卡顿。</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28</w:t>
                  </w:r>
                </w:p>
              </w:tc>
              <w:tc>
                <w:tcPr>
                  <w:tcW w:type="dxa" w:w="212"/>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灯光照明</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采用</w:t>
                  </w:r>
                  <w:r>
                    <w:rPr>
                      <w:rFonts w:ascii="仿宋_GB2312" w:hAnsi="仿宋_GB2312" w:cs="仿宋_GB2312" w:eastAsia="仿宋_GB2312"/>
                      <w:sz w:val="24"/>
                      <w:color w:val="000000"/>
                    </w:rPr>
                    <w:t>48V低压安全照明系统；光源为LED灯（单灯功率≥9W，▲色温 3000K–6500K 连续可调，光照均匀、无频闪、无应激，满足蛋鸡各阶段生长需求）；灯具防护等级≥IP65（防水防尘，适应鸡舍环境）；高低布局：高位灯高度≥2.5m（普照），低位灯高度≥1.5m（局部补光），高低灯数量比例1:1；可按日龄调光（0-100%亮度调节，调节精度±5%）；灯具数量≥96个；使用寿命≥50000h（LED光源）。</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5路</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29</w:t>
                  </w:r>
                </w:p>
              </w:tc>
              <w:tc>
                <w:tcPr>
                  <w:tcW w:type="dxa" w:w="212"/>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环控</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配备</w:t>
                  </w:r>
                  <w:r>
                    <w:rPr>
                      <w:rFonts w:ascii="仿宋_GB2312" w:hAnsi="仿宋_GB2312" w:cs="仿宋_GB2312" w:eastAsia="仿宋_GB2312"/>
                      <w:sz w:val="24"/>
                      <w:color w:val="000000"/>
                    </w:rPr>
                    <w:t>≥10英寸彩色触摸屏，分辨率≥800×480；检测参数：室内温度（3路，范围-20℃至80℃，★精度±0.5℃）、室外温度（1路，范围-30℃至80℃，精度±0.5℃）、湿度（1路，范围0-100%RH，精度±3%RH）；数据存储≥1年（可导出Excel格式）；控制功能：时控（喂料、清粪、照明，定时精度±1min）、温控（风机、湿帘、小窗，控制精度±0.5℃）、报警（电话报警≥2个号码，声光报警≥85dB）；通讯接口：RS485或以太网（支持远程监控）；供电：AC220V±10%，50Hz；防护等级≥IP54（控制柜）。</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w:t>
                  </w:r>
                </w:p>
              </w:tc>
              <w:tc>
                <w:tcPr>
                  <w:tcW w:type="dxa" w:w="212"/>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配件</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不锈钢铆钉：材质</w:t>
                  </w:r>
                  <w:r>
                    <w:rPr>
                      <w:rFonts w:ascii="仿宋_GB2312" w:hAnsi="仿宋_GB2312" w:cs="仿宋_GB2312" w:eastAsia="仿宋_GB2312"/>
                      <w:sz w:val="24"/>
                      <w:color w:val="000000"/>
                    </w:rPr>
                    <w:t>304，规格根据连接需求；高强度螺栓：8.8级及以上，规格M6-M12（表面热镀锌或达克罗处理，耐盐雾≥500h）；钢丝绳：与前述一致（避免规格过多）；固定卡扣：Q235钢或不锈钢，厚度≥2mm；密封胶条：食品级橡胶（耐温-30℃至80℃，硬度≥50 Shore A）；减震垫：橡胶材质，厚度≥5mm（压缩量20%时，回弹率≥80%）。</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1批</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31</w:t>
                  </w:r>
                </w:p>
              </w:tc>
              <w:tc>
                <w:tcPr>
                  <w:tcW w:type="dxa" w:w="212"/>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加药器</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采用比例式自动加药器，加药比例调节范围</w:t>
                  </w:r>
                  <w:r>
                    <w:rPr>
                      <w:rFonts w:ascii="仿宋_GB2312" w:hAnsi="仿宋_GB2312" w:cs="仿宋_GB2312" w:eastAsia="仿宋_GB2312"/>
                      <w:sz w:val="24"/>
                      <w:color w:val="000000"/>
                    </w:rPr>
                    <w:t>1:100至1:500（调节精度±2%）；最大流量≥50L/h（25℃时）；材质：药液接触部分为食品级PVC或304不锈钢；工作压力范围0.1-0.6MPa，工作温度范围5℃至40℃；吸药方式：自吸式（吸程≥1m）；具备药液不足报警（光电传感器，检测精度±1mm）；加药精度≤±5%（按设定比例）；安装方式：管道式串联（进出口管径≥DN25）；可与环控系统联动（自动启停）。</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1个</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32</w:t>
                  </w:r>
                </w:p>
              </w:tc>
              <w:tc>
                <w:tcPr>
                  <w:tcW w:type="dxa" w:w="212"/>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料塔</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容量≥15吨；主体材质为热镀锌钢板（厚度≥1.2mm，锌层厚度≥85μm）；锥顶角度≥45°（防止饲料架桥），顶部配备防雨帽（直径≥料塔直径，材质同主体）；料塔直径≥2.75m，高度≥6.63m（含支腿）；支腿数量≥6个（材质为热镀锌板材成型，厚度≥3mm，热镀锌）；配备料位传感器（电容式，检测距离0-500mm，精度±10mm）、检修门（尺寸≥600mm×800mm，带锁）、爬梯（踏步间距≤300mm，带护笼）、护栏高度≥1.1m）；底部卸料口直径≥300mm，配备电动卸料阀（功率≥0.37kW，防护等级≥IP54）；抗风等级≥10级（风速≥25m/s），抗震等级≥7度；使用寿命≥15年。</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1台</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33</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粉料机</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粉料机</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单次搅拌容量</w:t>
                  </w:r>
                  <w:r>
                    <w:rPr>
                      <w:rFonts w:ascii="仿宋_GB2312" w:hAnsi="仿宋_GB2312" w:cs="仿宋_GB2312" w:eastAsia="仿宋_GB2312"/>
                      <w:sz w:val="24"/>
                      <w:color w:val="000000"/>
                    </w:rPr>
                    <w:t>≥2 吨；立式整体结构；配置双电机，主电机功率≥5.5kW，辅电机功率≥3kW；整机采用钢结构，外喷防锈漆，运转平稳、噪音低、粉碎粒度均匀；密闭式结构无粉尘外溢，耐磨筛网可拆卸更换，适配养殖饲料粉料加工，防护等级≥IP44，符合畜牧机械设备安全标准。</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供应商具有独立承担民事责任能力的法人、其他组织或自然人，提供有效营业执照/事业单位法人证书/其他组织的有效证明文件/自然人的身份证明/民办非企业单位登记证书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法定代表人或委托代理人相关证明</w:t>
            </w:r>
          </w:p>
        </w:tc>
        <w:tc>
          <w:tcPr>
            <w:tcW w:type="dxa" w:w="3322"/>
          </w:tcPr>
          <w:p>
            <w:pPr>
              <w:pStyle w:val="null3"/>
            </w:pPr>
            <w:r>
              <w:rPr>
                <w:rFonts w:ascii="仿宋_GB2312" w:hAnsi="仿宋_GB2312" w:cs="仿宋_GB2312" w:eastAsia="仿宋_GB2312"/>
              </w:rPr>
              <w:t>法定代表人参加开标会议的，须出具法定代表人证明书及法定代表人合法有效的身份证扫描件；法定代表人授权他人参加开标会议的，须提供法定代表人授权委托书及被授权代表的身份证扫描件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供应商须提供《汉中市政府采购供应商资格承诺函》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号）文件要求，提供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应符合磋商⽂件要求</w:t>
            </w:r>
          </w:p>
        </w:tc>
        <w:tc>
          <w:tcPr>
            <w:tcW w:type="dxa" w:w="1661"/>
          </w:tcPr>
          <w:p>
            <w:pPr>
              <w:pStyle w:val="null3"/>
            </w:pPr>
            <w:r>
              <w:rPr>
                <w:rFonts w:ascii="仿宋_GB2312" w:hAnsi="仿宋_GB2312" w:cs="仿宋_GB2312" w:eastAsia="仿宋_GB2312"/>
              </w:rPr>
              <w:t>响应文件封面 产品技术参数表 供应商应提交的相关资格证明材料.docx 中小企业声明函 残疾人福利性单位声明函 商务应答表 标的清单 报价表 响应函 项目技术方案.docx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磋商响应⽂件内容</w:t>
            </w:r>
          </w:p>
        </w:tc>
        <w:tc>
          <w:tcPr>
            <w:tcW w:type="dxa" w:w="3322"/>
          </w:tcPr>
          <w:p>
            <w:pPr>
              <w:pStyle w:val="null3"/>
            </w:pPr>
            <w:r>
              <w:rPr>
                <w:rFonts w:ascii="仿宋_GB2312" w:hAnsi="仿宋_GB2312" w:cs="仿宋_GB2312" w:eastAsia="仿宋_GB2312"/>
              </w:rPr>
              <w:t>磋商响应⽂件内容⻬全、⽆遗漏</w:t>
            </w:r>
          </w:p>
        </w:tc>
        <w:tc>
          <w:tcPr>
            <w:tcW w:type="dxa" w:w="1661"/>
          </w:tcPr>
          <w:p>
            <w:pPr>
              <w:pStyle w:val="null3"/>
            </w:pPr>
            <w:r>
              <w:rPr>
                <w:rFonts w:ascii="仿宋_GB2312" w:hAnsi="仿宋_GB2312" w:cs="仿宋_GB2312" w:eastAsia="仿宋_GB2312"/>
              </w:rPr>
              <w:t>响应文件封面 产品技术参数表 供应商应提交的相关资格证明材料.docx 中小企业声明函 残疾人福利性单位声明函 商务应答表 标的清单 报价表 响应函 项目技术方案.docx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w:t>
            </w:r>
          </w:p>
        </w:tc>
        <w:tc>
          <w:tcPr>
            <w:tcW w:type="dxa" w:w="3322"/>
          </w:tcPr>
          <w:p>
            <w:pPr>
              <w:pStyle w:val="null3"/>
            </w:pPr>
            <w:r>
              <w:rPr>
                <w:rFonts w:ascii="仿宋_GB2312" w:hAnsi="仿宋_GB2312" w:cs="仿宋_GB2312" w:eastAsia="仿宋_GB2312"/>
              </w:rPr>
              <w:t>应按磋商⽂件要求缴纳磋商保证⾦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根据供应商对采购文件“技术参数与性能指标”的响应情况评分： （1）★号参数（5项）：任何一项负偏离，响应文件无效（废标）。 （2）▲号参数（5项）：基础分15分，每有一项负偏离，扣2分。 （3）一般参数（其余项）：每有一项负偏离，扣0.5分，扣完为止。 ★号参数须提供佐证材料（产品彩页、检测报告、技术说明书等），未提供或材料不能证明的视为不满足。 ▲号参数和一般参数以供应商填写的《技术参数偏离表》为评审依据。</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项目技术方案.docx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或产品制造商从2023年1月至今（以合同签订时间为准）的同类项目（畜牧饲养机械）类似业绩（中标通知书或合同协议书），每提供1个类似业绩得1分，最多得3分，附类似业绩（中标通知书或合同协议书）加盖公章扫描件，未提供加盖公章扫描件或不符合上述要求的不予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评审专家根据供应商提供的售后服务方案综合评分。方案须包含以下5项内容：①售后服务机构及人员；②质保期内服务内容；③响应时限；④故障处理流程；⑤应急保障措施。 评分标准： 优秀（15分）：5项内容完整，响应时限优于行业标准（4小时到场），有备件本地库或明确调货渠道，故障分级清晰。 良好（12分）：5项内容完整，响应时限达到基本要求（24小时到场），备件和故障处理方案合理。 一般（9分）：5项内容完整，但响应时限未明确数字，或备件方案模糊。 较差（6分）：内容缺失1-2项，或多项描述模糊。 不通过（0分）：内容缺失3项及以上，或未提供方案。</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项目技术方案.docx</w:t>
            </w:r>
          </w:p>
        </w:tc>
      </w:tr>
      <w:tr>
        <w:tc>
          <w:tcPr>
            <w:tcW w:type="dxa" w:w="831"/>
            <w:vMerge/>
          </w:tcPr>
          <w:p/>
        </w:tc>
        <w:tc>
          <w:tcPr>
            <w:tcW w:type="dxa" w:w="1661"/>
          </w:tcPr>
          <w:p>
            <w:pPr>
              <w:pStyle w:val="null3"/>
            </w:pPr>
            <w:r>
              <w:rPr>
                <w:rFonts w:ascii="仿宋_GB2312" w:hAnsi="仿宋_GB2312" w:cs="仿宋_GB2312" w:eastAsia="仿宋_GB2312"/>
              </w:rPr>
              <w:t>备品配件保障</w:t>
            </w:r>
          </w:p>
        </w:tc>
        <w:tc>
          <w:tcPr>
            <w:tcW w:type="dxa" w:w="2492"/>
          </w:tcPr>
          <w:p>
            <w:pPr>
              <w:pStyle w:val="null3"/>
            </w:pPr>
            <w:r>
              <w:rPr>
                <w:rFonts w:ascii="仿宋_GB2312" w:hAnsi="仿宋_GB2312" w:cs="仿宋_GB2312" w:eastAsia="仿宋_GB2312"/>
              </w:rPr>
              <w:t>供应商承诺：①主要设备（笼网、清粪带、捡蛋带、环控传感器等）的常用易损件在质保期内有充足库存；②货源渠道正规，能提供原厂配件；③承诺质保期内配件价格不高于市场价。 提供书面承诺函（格式自拟）并加盖公章的，得3分；未提供或不完全承诺的，得0分。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方案须包含以下6项内容：①供货计划；②人员配置；③安装调试方案；④质量保障措施；⑤进度保障措施；⑥安全文明施工措施。 评分标准： 优秀（25分）：6项内容完整，且每项均有具体、可落地的措施，方案针对本项目养殖设备特点有专门考虑。 良好（20分）：6项内容完整，有具体措施，但部分措施与本项目关联度不高或细节不够深入。 一般（15分）：6项内容完整，但大部分措施为通用模板式表述，缺乏针对本项目的内容。 较差（10分）：内容缺失1-2项，或措施空洞、缺乏可操作性。 不通过（0分）：内容缺失3项及以上，或未提供方案。</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方案须包含以下4项内容：①培训对象及内容；②培训方式；③培训时间计划；④培训效果考核方式。 评分标准： 优秀（9分）：4项内容完整，学时明确≥8小时，考核方式具体，培训内容针对本设备特点。 良好（7分）：4项内容完整，学时基本明确，有考核安排但不够具体。 一般（5分）：4项内容完整，但学时模糊，考核方式笼统。 较差（3分）：内容缺失1-2项，或多项描述模糊。 不通过（0分）：内容缺失3项及以上，或未提供方案。</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价格得分计算工作采用低价优先法计算： 报价得分=（评标基准价／投标报价）×30 （满足招标文件要求且报价最低的供应商的价格为评标基准价） 备注：投标人的投标报价明显低于其他投标价，有可能影响产品质量或者不能诚信履约的，评标委员会可启用澄清程序，要求其出具此报价的合理分析，不能合理说明或者不能提供相关证明材料的，评标委员会可认定该投标人以低于成本报价竞标，其报价作为无效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详见附件：项目技术方案.docx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