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版本号：ZXZB-CG2026-21620260514001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2026年陕西省消费环境指数测评与发布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ZXZB-CG2026-216</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2026年陕西省消费环境指数测评与发布</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ZXZB-CG2026-216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2026年陕西省消费环境指数测评与发布</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2026年陕西省消费环境指数测评与发布，采购人委托第三方机构开展对各市及重点行业消费环境指数的数据采集、专家评审等工作，辅助采购人完成报告并发布。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采购包1（2026年陕西省消费环境指数测评与发布）：属于专门面向中小企业采购。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4、有依法缴纳税收的良好记录：提供2025年5月至今已缴纳的至少一个月的纳税证明或完税证明，依法免税的单位应提供相关证明材料。（进行电子签章）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5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7、法定代表人（主要负责人）身份证明/授权委托书：法定代表人参与磋商时，提供法定代表人身份证明；授权代表参与磋商时，提供法人授权委托书。（进行电子签章）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029-86138158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规定标准收取，不足八千按照八千收取。 收款账户信息： 开户名称：陕西中信项目咨询有限公司 开户银行：农业银行西安新欧亚商城支行 账号：2613 5301 0400 10159 交纳时注明：项目编号+代理服务费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联系人：贾雅楠</w:t>
      </w:r>
    </w:p>
    <w:p>
      <w:pPr>
        <w:pStyle w:val="null3"/>
      </w:pPr>
      <w:r>
        <w:rPr>
          <w:rFonts w:ascii="仿宋_GB2312" w:hAnsi="仿宋_GB2312" w:cs="仿宋_GB2312" w:eastAsia="仿宋_GB2312"/>
        </w:rPr>
        <w:t>联系电话：18778673762</w:t>
      </w:r>
    </w:p>
    <w:p>
      <w:pPr>
        <w:pStyle w:val="null3"/>
      </w:pPr>
      <w:r>
        <w:rPr>
          <w:rFonts w:ascii="仿宋_GB2312" w:hAnsi="仿宋_GB2312" w:cs="仿宋_GB2312" w:eastAsia="仿宋_GB2312"/>
        </w:rPr>
        <w:t>地址：陕西省西安市碑林区和平路71号综合楼5楼505室</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2026年陕西省消费环境指数测评与发布，采购人委托第三方机构开展对各市及重点行业消费环境指数的数据采集、专家评审等工作，辅助采购人完成报告并发布。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2026年陕西省消费环境指数测评与发布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标的名称：2026年陕西省消费环境指数测评与发布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817"/>
            </w:tblGrid>
            <w:tr>
              <w:tc>
                <w:tcPr>
                  <w:tcW w:type="dxa" w:w="2817"/>
                  <w:tcBorders>
                    <w:top w:val="single" w:color="000000" w:sz="4"/>
                    <w:left w:val="single" w:color="000000" w:sz="4"/>
                    <w:bottom w:val="single" w:color="000000" w:sz="4"/>
                    <w:right w:val="outset"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202</w:t>
                  </w:r>
                  <w:r>
                    <w:rPr>
                      <w:rFonts w:ascii="仿宋_GB2312" w:hAnsi="仿宋_GB2312" w:cs="仿宋_GB2312" w:eastAsia="仿宋_GB2312"/>
                      <w:sz w:val="21"/>
                      <w:b/>
                    </w:rPr>
                    <w:t>6</w:t>
                  </w:r>
                  <w:r>
                    <w:rPr>
                      <w:rFonts w:ascii="仿宋_GB2312" w:hAnsi="仿宋_GB2312" w:cs="仿宋_GB2312" w:eastAsia="仿宋_GB2312"/>
                      <w:sz w:val="21"/>
                      <w:b/>
                    </w:rPr>
                    <w:t>年消费环境指数指标体系</w:t>
                  </w:r>
                </w:p>
                <w:tbl>
                  <w:tblPr>
                    <w:tblBorders>
                      <w:top w:val="none" w:color="000000" w:sz="4"/>
                      <w:left w:val="none" w:color="000000" w:sz="4"/>
                      <w:bottom w:val="none" w:color="000000" w:sz="4"/>
                      <w:right w:val="none" w:color="000000" w:sz="4"/>
                      <w:insideH w:val="none"/>
                      <w:insideV w:val="none"/>
                    </w:tblBorders>
                  </w:tblPr>
                  <w:tblGrid>
                    <w:gridCol w:w="284"/>
                    <w:gridCol w:w="438"/>
                    <w:gridCol w:w="1505"/>
                    <w:gridCol w:w="301"/>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1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测度点</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安全放心</w:t>
                        </w:r>
                        <w:r>
                          <w:rPr>
                            <w:rFonts w:ascii="仿宋_GB2312" w:hAnsi="仿宋_GB2312" w:cs="仿宋_GB2312" w:eastAsia="仿宋_GB2312"/>
                            <w:sz w:val="21"/>
                            <w:color w:val="000000"/>
                          </w:rPr>
                          <w:t>（</w:t>
                        </w: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经营者措施</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是否建立有安全制度</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应急预案知晓率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消费场所安全设施覆盖情况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安全事故责任人是否明确</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安全风险警示（提示）和消费提示标识情况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监管措施</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安全监督管理活动开展情况（包括出台管理制度等，开展检查、执法、宣传工作等）</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发布安全方面提示、警示、典型案例等信息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社会评价</w:t>
                        </w:r>
                      </w:p>
                      <w:p>
                        <w:pPr>
                          <w:pStyle w:val="null3"/>
                          <w:jc w:val="center"/>
                        </w:p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消费者对消费安全的</w:t>
                        </w:r>
                        <w:r>
                          <w:rPr>
                            <w:rFonts w:ascii="仿宋_GB2312" w:hAnsi="仿宋_GB2312" w:cs="仿宋_GB2312" w:eastAsia="仿宋_GB2312"/>
                            <w:sz w:val="21"/>
                            <w:color w:val="000000"/>
                          </w:rPr>
                          <w:t>总体</w:t>
                        </w:r>
                        <w:r>
                          <w:rPr>
                            <w:rFonts w:ascii="仿宋_GB2312" w:hAnsi="仿宋_GB2312" w:cs="仿宋_GB2312" w:eastAsia="仿宋_GB2312"/>
                            <w:sz w:val="21"/>
                            <w:color w:val="000000"/>
                          </w:rPr>
                          <w:t>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个人信息</w:t>
                        </w:r>
                        <w:r>
                          <w:rPr>
                            <w:rFonts w:ascii="仿宋_GB2312" w:hAnsi="仿宋_GB2312" w:cs="仿宋_GB2312" w:eastAsia="仿宋_GB2312"/>
                            <w:sz w:val="21"/>
                            <w:color w:val="000000"/>
                          </w:rPr>
                          <w:t>安全</w:t>
                        </w:r>
                        <w:r>
                          <w:rPr>
                            <w:rFonts w:ascii="仿宋_GB2312" w:hAnsi="仿宋_GB2312" w:cs="仿宋_GB2312" w:eastAsia="仿宋_GB2312"/>
                            <w:sz w:val="21"/>
                            <w:color w:val="000000"/>
                          </w:rPr>
                          <w:t>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是否遇到过人身伤害或财产损失</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消费场所安全性评价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食品药品安全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特种设备安全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燃气安全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监管效果</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消费安全问题案件增长率（负向指标）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媒体消费安全报道正面</w:t>
                        </w:r>
                        <w:r>
                          <w:rPr>
                            <w:rFonts w:ascii="仿宋_GB2312" w:hAnsi="仿宋_GB2312" w:cs="仿宋_GB2312" w:eastAsia="仿宋_GB2312"/>
                            <w:sz w:val="21"/>
                            <w:color w:val="000000"/>
                          </w:rPr>
                          <w:t>占比</w:t>
                        </w:r>
                        <w:r>
                          <w:rPr>
                            <w:rFonts w:ascii="仿宋_GB2312" w:hAnsi="仿宋_GB2312" w:cs="仿宋_GB2312" w:eastAsia="仿宋_GB2312"/>
                            <w:sz w:val="21"/>
                            <w:color w:val="000000"/>
                          </w:rPr>
                          <w:t>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消费安全问题办理效率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测度点</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质量放心</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经营者措施</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商品的进货检查、验收、登记情况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质量责任人明确程度</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营业执照、许可证办理及公示情况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是否有不合格商品下架、退市、销毁等相关制度或措施</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监管措施</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质量监督管理活动开展情况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发布质量方面提示、警示、典型案例等信息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社会评价</w:t>
                        </w:r>
                      </w:p>
                      <w:p>
                        <w:pPr>
                          <w:pStyle w:val="null3"/>
                          <w:jc w:val="center"/>
                        </w:p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消费者对</w:t>
                        </w:r>
                        <w:r>
                          <w:rPr>
                            <w:rFonts w:ascii="仿宋_GB2312" w:hAnsi="仿宋_GB2312" w:cs="仿宋_GB2312" w:eastAsia="仿宋_GB2312"/>
                            <w:sz w:val="21"/>
                            <w:color w:val="000000"/>
                          </w:rPr>
                          <w:t>商品</w:t>
                        </w:r>
                        <w:r>
                          <w:rPr>
                            <w:rFonts w:ascii="仿宋_GB2312" w:hAnsi="仿宋_GB2312" w:cs="仿宋_GB2312" w:eastAsia="仿宋_GB2312"/>
                            <w:sz w:val="21"/>
                            <w:color w:val="000000"/>
                          </w:rPr>
                          <w:t>质量的总体评价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购买到假货、过期产品及残次品的情况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计量作弊</w:t>
                        </w:r>
                        <w:r>
                          <w:rPr>
                            <w:rFonts w:ascii="仿宋_GB2312" w:hAnsi="仿宋_GB2312" w:cs="仿宋_GB2312" w:eastAsia="仿宋_GB2312"/>
                            <w:sz w:val="21"/>
                            <w:color w:val="000000"/>
                          </w:rPr>
                          <w:t>、</w:t>
                        </w:r>
                        <w:r>
                          <w:rPr>
                            <w:rFonts w:ascii="仿宋_GB2312" w:hAnsi="仿宋_GB2312" w:cs="仿宋_GB2312" w:eastAsia="仿宋_GB2312"/>
                            <w:sz w:val="21"/>
                            <w:color w:val="000000"/>
                          </w:rPr>
                          <w:t>缺斤少两</w:t>
                        </w:r>
                        <w:r>
                          <w:rPr>
                            <w:rFonts w:ascii="仿宋_GB2312" w:hAnsi="仿宋_GB2312" w:cs="仿宋_GB2312" w:eastAsia="仿宋_GB2312"/>
                            <w:sz w:val="21"/>
                            <w:color w:val="000000"/>
                          </w:rPr>
                          <w:t>问题</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监管效果</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消费质量问题案件增长率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媒体消费质量报道正面</w:t>
                        </w:r>
                        <w:r>
                          <w:rPr>
                            <w:rFonts w:ascii="仿宋_GB2312" w:hAnsi="仿宋_GB2312" w:cs="仿宋_GB2312" w:eastAsia="仿宋_GB2312"/>
                            <w:sz w:val="21"/>
                            <w:color w:val="000000"/>
                          </w:rPr>
                          <w:t>占比</w:t>
                        </w:r>
                        <w:r>
                          <w:rPr>
                            <w:rFonts w:ascii="仿宋_GB2312" w:hAnsi="仿宋_GB2312" w:cs="仿宋_GB2312" w:eastAsia="仿宋_GB2312"/>
                            <w:sz w:val="21"/>
                            <w:color w:val="000000"/>
                          </w:rPr>
                          <w:t>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消费质量问题案件办理效率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测度点</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价格放心</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经营者措施</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是否以显著方式标明商品的品名、价格和计价单位，或者服务的项目、内容、价格和计价方法等信息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公示是否做到价签价目齐全、内容真实准确、标识清晰醒目</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自动展期、自动续费是否以显著方式提请消费者注意</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监管措施</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价格监督管理活动开展情况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发布价格方面提示、警示、典型案例等信息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社会评价</w:t>
                        </w:r>
                      </w:p>
                      <w:p>
                        <w:pPr>
                          <w:pStyle w:val="null3"/>
                          <w:jc w:val="center"/>
                        </w:p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明码标价情况评价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有无价格欺诈价格歧视情况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有无不透明定价问题</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有无操纵哄抬物价、变相提价等价格违法行为</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“套娃”收费、诱导消费问题</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消费者对性价比的评价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自动展期、自动续费消费者是否知情</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监管效果</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价格问题案件增长率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媒体消费价格报道正面</w:t>
                        </w:r>
                        <w:r>
                          <w:rPr>
                            <w:rFonts w:ascii="仿宋_GB2312" w:hAnsi="仿宋_GB2312" w:cs="仿宋_GB2312" w:eastAsia="仿宋_GB2312"/>
                            <w:sz w:val="21"/>
                            <w:color w:val="000000"/>
                          </w:rPr>
                          <w:t>占比</w:t>
                        </w:r>
                        <w:r>
                          <w:rPr>
                            <w:rFonts w:ascii="仿宋_GB2312" w:hAnsi="仿宋_GB2312" w:cs="仿宋_GB2312" w:eastAsia="仿宋_GB2312"/>
                            <w:sz w:val="21"/>
                            <w:color w:val="000000"/>
                          </w:rPr>
                          <w:t>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价格问题办理效率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测度点</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服务放心</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经营者措施</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有无霸王条款情况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消费服务或售后服务承诺公示</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售后服务责任人明确程度</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预付卡（费）退费问题</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监管措施</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服务</w:t>
                        </w:r>
                        <w:r>
                          <w:rPr>
                            <w:rFonts w:ascii="仿宋_GB2312" w:hAnsi="仿宋_GB2312" w:cs="仿宋_GB2312" w:eastAsia="仿宋_GB2312"/>
                            <w:sz w:val="21"/>
                            <w:color w:val="000000"/>
                          </w:rPr>
                          <w:t>监督管理活动开展情况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发布服务方面提示、警示、典型案例等信息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社会评价</w:t>
                        </w:r>
                      </w:p>
                      <w:p>
                        <w:pPr>
                          <w:pStyle w:val="null3"/>
                          <w:jc w:val="center"/>
                        </w:p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商家服务</w:t>
                        </w:r>
                        <w:r>
                          <w:rPr>
                            <w:rFonts w:ascii="仿宋_GB2312" w:hAnsi="仿宋_GB2312" w:cs="仿宋_GB2312" w:eastAsia="仿宋_GB2312"/>
                            <w:sz w:val="21"/>
                            <w:color w:val="000000"/>
                          </w:rPr>
                          <w:t>态度、服务体验</w:t>
                        </w:r>
                        <w:r>
                          <w:rPr>
                            <w:rFonts w:ascii="仿宋_GB2312" w:hAnsi="仿宋_GB2312" w:cs="仿宋_GB2312" w:eastAsia="仿宋_GB2312"/>
                            <w:sz w:val="21"/>
                            <w:color w:val="000000"/>
                          </w:rPr>
                          <w:t>满意度</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消费者对本地公平交易情况评价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“霸王条款”问题评价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非法网络招徕、强迫购物等违法违规行为评价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夸大宣传、虚假宣传问题评价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流量造假、刷单炒信、低俗带货、违法广告等问题评价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商家落实三包等售后服务承诺的消费者评价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监管效果</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服务问题投诉举报案件增长率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媒体消费服务报道正面</w:t>
                        </w:r>
                        <w:r>
                          <w:rPr>
                            <w:rFonts w:ascii="仿宋_GB2312" w:hAnsi="仿宋_GB2312" w:cs="仿宋_GB2312" w:eastAsia="仿宋_GB2312"/>
                            <w:sz w:val="21"/>
                            <w:color w:val="000000"/>
                          </w:rPr>
                          <w:t>占比</w:t>
                        </w:r>
                        <w:r>
                          <w:rPr>
                            <w:rFonts w:ascii="仿宋_GB2312" w:hAnsi="仿宋_GB2312" w:cs="仿宋_GB2312" w:eastAsia="仿宋_GB2312"/>
                            <w:sz w:val="21"/>
                            <w:color w:val="000000"/>
                          </w:rPr>
                          <w:t>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服务问题案件办理效率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测度点</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维权放心</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经营者措施</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维权渠道公示情况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处理消费纠纷工作制度完整程度</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是否有消费纠纷办理、消费者意见建议反馈记录</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监管措施</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维权</w:t>
                        </w:r>
                        <w:r>
                          <w:rPr>
                            <w:rFonts w:ascii="仿宋_GB2312" w:hAnsi="仿宋_GB2312" w:cs="仿宋_GB2312" w:eastAsia="仿宋_GB2312"/>
                            <w:sz w:val="21"/>
                            <w:color w:val="000000"/>
                          </w:rPr>
                          <w:t>监督管理活动开展情况</w:t>
                        </w:r>
                        <w:r>
                          <w:rPr>
                            <w:rFonts w:ascii="仿宋_GB2312" w:hAnsi="仿宋_GB2312" w:cs="仿宋_GB2312" w:eastAsia="仿宋_GB2312"/>
                            <w:sz w:val="21"/>
                            <w:color w:val="000000"/>
                          </w:rPr>
                          <w:t>（</w:t>
                        </w:r>
                        <w:r>
                          <w:rPr>
                            <w:rFonts w:ascii="仿宋_GB2312" w:hAnsi="仿宋_GB2312" w:cs="仿宋_GB2312" w:eastAsia="仿宋_GB2312"/>
                            <w:sz w:val="21"/>
                          </w:rPr>
                          <w:t>消费知识、消费维权法律法规方面的宣传</w:t>
                        </w:r>
                        <w:r>
                          <w:rPr>
                            <w:rFonts w:ascii="仿宋_GB2312" w:hAnsi="仿宋_GB2312" w:cs="仿宋_GB2312" w:eastAsia="仿宋_GB2312"/>
                            <w:sz w:val="21"/>
                            <w:color w:val="000000"/>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发布维权方面提示、警示、典型案例等信息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社会评价</w:t>
                        </w:r>
                      </w:p>
                      <w:p>
                        <w:pPr>
                          <w:pStyle w:val="null3"/>
                          <w:jc w:val="center"/>
                        </w:p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消费者对维权渠道的畅通性评价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消费者对于维权处理效率的满意度</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消费者对于维权处理结果的满意度</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经营主体权益是否得到有效保障</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经营主体</w:t>
                        </w:r>
                        <w:r>
                          <w:rPr>
                            <w:rFonts w:ascii="仿宋_GB2312" w:hAnsi="仿宋_GB2312" w:cs="仿宋_GB2312" w:eastAsia="仿宋_GB2312"/>
                            <w:sz w:val="21"/>
                            <w:color w:val="000000"/>
                          </w:rPr>
                          <w:t>是否有畅通的渠道对</w:t>
                        </w:r>
                        <w:r>
                          <w:rPr>
                            <w:rFonts w:ascii="仿宋_GB2312" w:hAnsi="仿宋_GB2312" w:cs="仿宋_GB2312" w:eastAsia="仿宋_GB2312"/>
                            <w:sz w:val="21"/>
                            <w:color w:val="000000"/>
                          </w:rPr>
                          <w:t>行业</w:t>
                        </w:r>
                        <w:r>
                          <w:rPr>
                            <w:rFonts w:ascii="仿宋_GB2312" w:hAnsi="仿宋_GB2312" w:cs="仿宋_GB2312" w:eastAsia="仿宋_GB2312"/>
                            <w:sz w:val="21"/>
                            <w:color w:val="000000"/>
                          </w:rPr>
                          <w:t>监管</w:t>
                        </w:r>
                        <w:r>
                          <w:rPr>
                            <w:rFonts w:ascii="仿宋_GB2312" w:hAnsi="仿宋_GB2312" w:cs="仿宋_GB2312" w:eastAsia="仿宋_GB2312"/>
                            <w:sz w:val="21"/>
                            <w:color w:val="000000"/>
                          </w:rPr>
                          <w:t>部门</w:t>
                        </w:r>
                        <w:r>
                          <w:rPr>
                            <w:rFonts w:ascii="仿宋_GB2312" w:hAnsi="仿宋_GB2312" w:cs="仿宋_GB2312" w:eastAsia="仿宋_GB2312"/>
                            <w:sz w:val="21"/>
                            <w:color w:val="000000"/>
                          </w:rPr>
                          <w:t>反馈相关问题</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消费维权多元化解情况评价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消费纠纷源头解决情况评价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监管效果</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消费维权问题案件增长率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媒体消费维权报</w:t>
                        </w:r>
                        <w:r>
                          <w:rPr>
                            <w:rFonts w:ascii="仿宋_GB2312" w:hAnsi="仿宋_GB2312" w:cs="仿宋_GB2312" w:eastAsia="仿宋_GB2312"/>
                            <w:sz w:val="21"/>
                            <w:color w:val="000000"/>
                          </w:rPr>
                          <w:t>道正面</w:t>
                        </w:r>
                        <w:r>
                          <w:rPr>
                            <w:rFonts w:ascii="仿宋_GB2312" w:hAnsi="仿宋_GB2312" w:cs="仿宋_GB2312" w:eastAsia="仿宋_GB2312"/>
                            <w:sz w:val="21"/>
                            <w:color w:val="000000"/>
                          </w:rPr>
                          <w:t>占比</w:t>
                        </w:r>
                        <w:r>
                          <w:rPr>
                            <w:rFonts w:ascii="仿宋_GB2312" w:hAnsi="仿宋_GB2312" w:cs="仿宋_GB2312" w:eastAsia="仿宋_GB2312"/>
                            <w:sz w:val="21"/>
                            <w:color w:val="000000"/>
                          </w:rPr>
                          <w:t>情</w:t>
                        </w:r>
                        <w:r>
                          <w:rPr>
                            <w:rFonts w:ascii="仿宋_GB2312" w:hAnsi="仿宋_GB2312" w:cs="仿宋_GB2312" w:eastAsia="仿宋_GB2312"/>
                            <w:sz w:val="21"/>
                            <w:color w:val="000000"/>
                          </w:rPr>
                          <w:t>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消费纠纷案件处理效率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测度点</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基础环境</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消费基础</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人均社会消费品零售总额</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人均可支配收入</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人均消费支出</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社会消费品零售额增长率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每万人快递业务量</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人均生活性服务消费额</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企业商标拥有比例</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人均批发和零售业增加值</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限额以上批发零售业法人企业数</w:t>
                        </w:r>
                        <w:r>
                          <w:rPr>
                            <w:rFonts w:ascii="仿宋_GB2312" w:hAnsi="仿宋_GB2312" w:cs="仿宋_GB2312" w:eastAsia="仿宋_GB2312"/>
                            <w:sz w:val="21"/>
                            <w:color w:val="000000"/>
                          </w:rPr>
                          <w:t>（</w:t>
                        </w:r>
                        <w:r>
                          <w:rPr>
                            <w:rFonts w:ascii="仿宋_GB2312" w:hAnsi="仿宋_GB2312" w:cs="仿宋_GB2312" w:eastAsia="仿宋_GB2312"/>
                            <w:sz w:val="21"/>
                            <w:color w:val="000000"/>
                          </w:rPr>
                          <w:t>/人口规模</w:t>
                        </w:r>
                        <w:r>
                          <w:rPr>
                            <w:rFonts w:ascii="仿宋_GB2312" w:hAnsi="仿宋_GB2312" w:cs="仿宋_GB2312" w:eastAsia="仿宋_GB2312"/>
                            <w:sz w:val="21"/>
                            <w:color w:val="000000"/>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社会评价</w:t>
                        </w:r>
                      </w:p>
                      <w:p>
                        <w:pPr>
                          <w:pStyle w:val="null3"/>
                          <w:jc w:val="center"/>
                        </w:p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本地消费的丰富性、多样性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本地消费的便利性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本地消费场景的创新性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放心消费</w:t>
                        </w:r>
                        <w:r>
                          <w:rPr>
                            <w:rFonts w:ascii="仿宋_GB2312" w:hAnsi="仿宋_GB2312" w:cs="仿宋_GB2312" w:eastAsia="仿宋_GB2312"/>
                            <w:sz w:val="21"/>
                            <w:color w:val="000000"/>
                          </w:rPr>
                          <w:t>行动了解和</w:t>
                        </w:r>
                        <w:r>
                          <w:rPr>
                            <w:rFonts w:ascii="仿宋_GB2312" w:hAnsi="仿宋_GB2312" w:cs="仿宋_GB2312" w:eastAsia="仿宋_GB2312"/>
                            <w:sz w:val="21"/>
                            <w:color w:val="000000"/>
                          </w:rPr>
                          <w:t>参与情况</w:t>
                        </w:r>
                        <w:r>
                          <w:rPr>
                            <w:rFonts w:ascii="仿宋_GB2312" w:hAnsi="仿宋_GB2312" w:cs="仿宋_GB2312" w:eastAsia="仿宋_GB2312"/>
                            <w:sz w:val="21"/>
                            <w:color w:val="000000"/>
                          </w:rPr>
                          <w:t>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消费者个人及家庭收入与</w:t>
                        </w:r>
                        <w:r>
                          <w:rPr>
                            <w:rFonts w:ascii="仿宋_GB2312" w:hAnsi="仿宋_GB2312" w:cs="仿宋_GB2312" w:eastAsia="仿宋_GB2312"/>
                            <w:sz w:val="21"/>
                            <w:color w:val="000000"/>
                          </w:rPr>
                          <w:t>1年前比较变化情况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对未来一年内的个人消费支出预期</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消费者的消费信心评价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一年来，商品、服务、场所供给质量是否提升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一年来，消费安全、市场交易环境、市场竞争秩序是否改善</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一年来，消费纠纷化解、调解、权益保护等是否改善</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38"/>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一年来，企业主体责任、行业自律、消费者组织、社会监督</w:t>
                        </w:r>
                        <w:r>
                          <w:rPr>
                            <w:rFonts w:ascii="仿宋_GB2312" w:hAnsi="仿宋_GB2312" w:cs="仿宋_GB2312" w:eastAsia="仿宋_GB2312"/>
                            <w:sz w:val="21"/>
                            <w:color w:val="000000"/>
                          </w:rPr>
                          <w:t>多方协同共治</w:t>
                        </w:r>
                        <w:r>
                          <w:rPr>
                            <w:rFonts w:ascii="仿宋_GB2312" w:hAnsi="仿宋_GB2312" w:cs="仿宋_GB2312" w:eastAsia="仿宋_GB2312"/>
                            <w:sz w:val="21"/>
                            <w:color w:val="000000"/>
                          </w:rPr>
                          <w:t>作用是否发挥</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本项目服务范围：2026年陕西省消费环境指数测评与发布；服务要求：符合磋商文件有关技术、商务要求； 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自合同签订之日起至2027年3月15日止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成交供应商提交项目所有的成果报告后，由采购人和成交供应商共同对项目进行整体验收。其内容包括是否按照采购人要求进行服务、是否在规定时间内服务完毕。其他事项： 1、验收合格后，填写政府采购项目验收单作为对本服务的最终认可。2、服务商向采购人提供服务过程中的所有资料,以便采购人日后管理。3、验收依据3.1磋商文件、磋商响应文件、澄清表（函）；3.2本合同及附件文本；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3.4.1安全责任:乙方应对其工作人员在现场工作期间的一切行为负责，如安全事故责任及因此发生的人身损害赔偿和其它费用由乙方承担。 3.4.2保密条款:(1)成交供应商应严格遵守采购单位有关保密规定，不得泄漏一切机密;(2)在技术服务期间，成交供应商对接触到的有关采购单位商业活动、技术情报和技术资料等文件进行保密。3.4.3成交单位须向采购代理机构提供纸质版响应文件2套，且提供的响应文件必须与在陕西省政府采购综合管理平台的项目电子化交易系统中递交的电子响应文件内容一致，纸质版响应文件必须装订成册封面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提供2025年5月至今已缴纳的至少一个月的纳税证明或完税证明，依法免税的单位应提供相关证明材料。（进行电子签章）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法定代表人参与磋商时，提供法定代表人身份证明；授权代表参与磋商时，提供法人授权委托书。（进行电子签章）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响应文件封面 业绩一览表.docx 供应商应提交的相关资格证明材料.docx 服务内容及服务要求偏离表.docx 中小企业声明函 残疾人福利性单位声明函 供应商概况与承诺.docx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供应商应提交的相关资格证明材料.docx 残疾人福利性单位声明函 标的清单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供应商的服务方案，内容包含①测评思路与框架 ②服务标准③服务流程④服务成果交付方案⑤后期与技术支持保障。方案内容全面详细、阐述条理清晰，具有针对性，能有效保障本项目实施得20分，每有一项内容缺项扣4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供应商提供针对本项目的进度计划，内容包含①进度计划安排②进度计划保证措施。方案内容全面详细、阐述条理清晰，具有针对性，能有效保障本项目实施得8分，每有一项内容缺项扣4分，每有一项有内容但内容存在缺陷，扣2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服务团队，内容包含①岗位配置方案②岗位职责③人员管理方案。方案内容全面详细、阐述条理清晰，具有针对性，能有效保障本项目实施得12分，每有一项内容缺项扣4分，每有一项有内容但内容存在缺陷，扣2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供应商的质量保证方案，内容包括①服务质量管理体系②服务质量保障措施。方案内容全面详细、阐述条理清晰，具有针对性，能有效保障本项目实施得8分，每有一项内容缺项扣4分，每有一项有内容但内容存在缺陷，扣2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重难点分析及解决思路</w:t>
            </w:r>
          </w:p>
        </w:tc>
        <w:tc>
          <w:tcPr>
            <w:tcW w:type="dxa" w:w="2492"/>
          </w:tcPr>
          <w:p>
            <w:pPr>
              <w:pStyle w:val="null3"/>
            </w:pPr>
            <w:r>
              <w:rPr>
                <w:rFonts w:ascii="仿宋_GB2312" w:hAnsi="仿宋_GB2312" w:cs="仿宋_GB2312" w:eastAsia="仿宋_GB2312"/>
              </w:rPr>
              <w:t>供应商提供针对本项目的重难点分析及解决措施，内容包含①针对本项目的重难点分析②针对重难点分析后的预防及解决措施。方案内容全面详细、阐述条理清晰，具有针对性，能有效保障本项目实施得8分，每有一项内容缺项扣4分，每有一项有内容但内容存在缺陷，扣2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管理制度，内容包含①内部管理机制②监管机制③信息反馈处理机制。方案内容全面详细、阐述条理清晰，具有针对性，能有效保障本项目实施得12分，每有一项内容缺项扣4分，每有一项有内容但内容存在缺陷，扣2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测评方法与技术</w:t>
            </w:r>
          </w:p>
        </w:tc>
        <w:tc>
          <w:tcPr>
            <w:tcW w:type="dxa" w:w="2492"/>
          </w:tcPr>
          <w:p>
            <w:pPr>
              <w:pStyle w:val="null3"/>
            </w:pPr>
            <w:r>
              <w:rPr>
                <w:rFonts w:ascii="仿宋_GB2312" w:hAnsi="仿宋_GB2312" w:cs="仿宋_GB2312" w:eastAsia="仿宋_GB2312"/>
              </w:rPr>
              <w:t>提出针对于本项目的测评方法与技术方案，内容包含①数据采集方法②数据分析技术。方案内容全面详细、阐述条理清晰，具有针对性，能有效保障本项目实施得8分，每有一项内容缺项扣4分，每有一项有内容但内容存在缺陷，扣2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突发事件应急方案</w:t>
            </w:r>
          </w:p>
        </w:tc>
        <w:tc>
          <w:tcPr>
            <w:tcW w:type="dxa" w:w="2492"/>
          </w:tcPr>
          <w:p>
            <w:pPr>
              <w:pStyle w:val="null3"/>
            </w:pPr>
            <w:r>
              <w:rPr>
                <w:rFonts w:ascii="仿宋_GB2312" w:hAnsi="仿宋_GB2312" w:cs="仿宋_GB2312" w:eastAsia="仿宋_GB2312"/>
              </w:rPr>
              <w:t>提出针对于本项目的突发事件及安全保障方案，内容包含但不限于①应急预案②应急保障措施。方案内容全面详细、阐述条理清晰，具有针对性，能有效保障本项目实施得4分，每有一项内容缺项扣2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供应商提供2023年5月至今类似项目业绩合同（以合同签订时间为准）；每提供1份合格业绩计2分，最高10分。评审依据：提供合同复印件（扫描件）并加盖公章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满足磋商文件要求且磋商价格最低的磋商报价为评标基准价，其价格分为满分。其他供应商的价格分统一按照下列公式计算： 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详见附件：拟签订的合同文本-2026年陕西省消费环境指数测评与发布.docx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