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版本号：SXBX-ZFCG-202602120260629002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2026年洋县洋洲街道东联村蓝莓基质无土栽培建设项目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SXBX-ZFCG-2026021</w:t>
      </w:r>
      <w:r>
        <w:br/>
      </w:r>
      <w:r>
        <w:br/>
      </w:r>
      <w:r>
        <w:br/>
      </w:r>
    </w:p>
    <w:p>
      <w:pPr>
        <w:pStyle w:val="null3"/>
        <w:jc w:val="center"/>
        <w:outlineLvl w:val="2"/>
      </w:pPr>
      <w:r>
        <w:rPr>
          <w:rFonts w:ascii="仿宋_GB2312" w:hAnsi="仿宋_GB2312" w:cs="仿宋_GB2312" w:eastAsia="仿宋_GB2312"/>
          <w:sz w:val="28"/>
          <w:b/>
        </w:rPr>
        <w:t>洋县洋州街道办事处</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洋县洋州街道办事处</w:t>
      </w:r>
      <w:r>
        <w:rPr>
          <w:rFonts w:ascii="仿宋_GB2312" w:hAnsi="仿宋_GB2312" w:cs="仿宋_GB2312" w:eastAsia="仿宋_GB2312"/>
        </w:rPr>
        <w:t>委托，拟对</w:t>
      </w:r>
      <w:r>
        <w:rPr>
          <w:rFonts w:ascii="仿宋_GB2312" w:hAnsi="仿宋_GB2312" w:cs="仿宋_GB2312" w:eastAsia="仿宋_GB2312"/>
        </w:rPr>
        <w:t>2026年洋县洋洲街道东联村蓝莓基质无土栽培建设项目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2026年洋县洋洲街道东联村蓝莓基质无土栽培建设项目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新建10000平方米恒温钢架智慧大棚，配套12套水源热泵空调机组及滴灌系统1套，完善电力等设施。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采购包1（2026年洋县洋洲街道东联村蓝莓基质无土栽培建设项目）：属于专门面向中小企业采购。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3、联合体投标：联合体成员数量不超过2家 ，如联合体投标的 ，各投标供应商须满足：①联合体牵头单位:须具备建筑工程施工总承包三级及以上资质 ，具备有效的安全生产许可证； ②成员单位:供应商应为具备承接本项目设备供货、安装、调试及售后服务的相应能力的厂家或经销商。联合体各方均不得再以自身名义单独投标 ，也不得另行组建其他联合体参与本项目投标；</w:t>
      </w:r>
    </w:p>
    <w:p>
      <w:pPr>
        <w:pStyle w:val="null3"/>
      </w:pPr>
      <w:r>
        <w:rPr>
          <w:rFonts w:ascii="仿宋_GB2312" w:hAnsi="仿宋_GB2312" w:cs="仿宋_GB2312" w:eastAsia="仿宋_GB2312"/>
        </w:rPr>
        <w:t>4、拟派项目经理资质：联合体牵头单位拟派项目经理须具有建筑工程专业二级及以上注册建造师证书及安全生产考核合格证书（B证） ，且无在建工程，项目经理为本单位在职人员；</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 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洋县洋州街道办事处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18791160999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陕西省汉中市洋县北二环观澜酒店隔壁（东）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19992619689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开户名称：陕西柏骁项⽬管理有限公司</w:t>
            </w:r>
          </w:p>
          <w:p>
            <w:pPr>
              <w:pStyle w:val="null3"/>
            </w:pPr>
            <w:r>
              <w:rPr>
                <w:rFonts w:ascii="仿宋_GB2312" w:hAnsi="仿宋_GB2312" w:cs="仿宋_GB2312" w:eastAsia="仿宋_GB2312"/>
              </w:rPr>
              <w:t>开户银行：中国⼯商银⾏股份有限公司汉中洋县⽀⾏营业部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办法的通知》（计价格〔2002〕1980号）⽂件及国家发改委下发的《关于降低部分建设项⽬收费标准规范收费⾏为等有关问题的通知》（发改价格〔2011〕534号）⽂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洋县洋州街道办事处</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洋县洋州街道办事处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洋县洋州街道办事处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联系电话：19992619689</w:t>
      </w:r>
    </w:p>
    <w:p>
      <w:pPr>
        <w:pStyle w:val="null3"/>
      </w:pPr>
      <w:r>
        <w:rPr>
          <w:rFonts w:ascii="仿宋_GB2312" w:hAnsi="仿宋_GB2312" w:cs="仿宋_GB2312" w:eastAsia="仿宋_GB2312"/>
        </w:rPr>
        <w:t>地址：陕西省汉中市洋县北二环观澜酒店隔壁（东 ）</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2,580,000.00</w:t>
      </w:r>
    </w:p>
    <w:p>
      <w:pPr>
        <w:pStyle w:val="null3"/>
      </w:pPr>
      <w:r>
        <w:rPr>
          <w:rFonts w:ascii="仿宋_GB2312" w:hAnsi="仿宋_GB2312" w:cs="仿宋_GB2312" w:eastAsia="仿宋_GB2312"/>
        </w:rPr>
        <w:t>采购包最高限价（元）: 2,466,905.16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2026年洋县洋洲街道东联村蓝莓基质无土栽培建设项目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标的名称：2026年洋县洋洲街道东联村蓝莓基质无土栽培建设项目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1.施⼯⼯期：90⽇历天</w:t>
            </w:r>
            <w:r>
              <w:br/>
            </w:r>
            <w:r>
              <w:rPr>
                <w:rFonts w:ascii="仿宋_GB2312" w:hAnsi="仿宋_GB2312" w:cs="仿宋_GB2312" w:eastAsia="仿宋_GB2312"/>
              </w:rPr>
              <w:t xml:space="preserve"> 2.质量⽬标：达到国家现行行业合格标准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1、技术要求详⻅本⼯程施⼯图纸及⼯程量清单; 2、在施⼯期间，成交供应商必须注意⼈员安全，加强安全措施，并对施⼯⼈员进⾏安全教育，施⼯⼈员必须持证上岗。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联合体成员数量不超过2家 ，如联合体投标的 ，各投标供应商须满足：①联合体牵头单位:须具备建筑工程施工总承包三级及以上资质 ，具备有效的安全生产许可证； ②成员单位:供应商应为具备承接本项目设备供货、安装、调试及售后服务的相应能力的厂家或经销商。联合体各方均不得再以自身名义单独投标 ，也不得另行组建其他联合体参与本项目投标；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联合体牵头单位拟派项目经理须具有建筑工程专业二级及以上注册建造师证书及安全生产考核合格证书（B证） ，且无在建工程，项目经理为本单位在职人员；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 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技术方案.docx 联合体协议书（如有）.docx 已标价工程量清单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技术方案.docx 联合体协议书（如有）.docx 已标价工程量清单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 报价符合竞争性磋商⽂件的要求。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一、评审内容：包括：①项目整体思路；②施工方案。 二、赋分标准： 1.完整性：对上述各项内容均有完整提供，得1分；缺1项得0.5分；未提供不得分。 2.针对性：两项内容均结合本项目施工范围、现场条件、工期、施工重难点编制，无通用模板内容，得 3 分；两项内容基本结合项目实际，少量内容套用通用模板、未单独说明重难点，得 2 分；两项内容均为通用模板，未结合本项目特点，得 1 分；未提供本项内容，不得分。3. 可实施性：施工流程、工艺、资源配置、工序排布完全贴合现场及行业规范，落地无阻碍，得 6 分；整体方案合规，仅局部细节简略，不影响正常施工，得 4 分；流程混乱、工艺 / 资源配置与现场冲突，无法落地，得 2 分；未提供本项内容，不得分。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1.完整性：两项内容齐全，得1分；每缺1项扣0.5分，扣完为止。不提供不得分。 2.针对性：制度及措施结合本项目工序、质量管控节点、验收标准制定，得 2 分；仅提供通用范本，未结合项目实际要求，得 1 分；未提供本项内容，不得分。 3.可实施性：管控流程闭环、岗位职责清晰、检测方案明确，完全满足管控要求，得 3 分；整体框架完整，仅执行细节未细化，不影响管控工作，得 2 分；流程缺失、责任模糊、无具体检测手段，无法开展管控，得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一、评审内容：供应商针对本项目制定安全施工管理制度及措施，内容包含：①安全生产管理、培训制度；②安全施工技术保证措施；二、赋分标准： 1.完整性：两项内容齐全，得 1 分；缺任意 1 项扣 0.5 分，扣完为止；未提供本项内容，不得分。2. 针对性：精准识别本项目安全风险点，制度及措施对应风险专项制定，得 2 分；仅提供通用安全资料，未结合项目风险特点，得 1 分；未提供本项内容，不得分。3. 可实施性：管理流程闭环、培训及防护措施符合行业规范，得 3 分；整体合规，仅细节简略，不影响安全管理，得 2 分；措施缺失、防护标准低于规范要求，无法保障施工安全，得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一、评审内容：针对本项目制定工期的技术组织措施，包括：①工期控制的技术组织措施；②施工工期进度安排（项目总工期 90 日历天）。 二、赋分标准： 1.完整性：两项内容齐全，得 1 分；缺任意 1 项扣 0.5 分，扣完为止；未提供本项内容，不得分。2. 针对性：进度节点、管控措施贴合 90 日历天工期要求，针对延误风险制定专项方案，得 2 分；采用通用模板，未结合本项目工期约束，得 1 分；未提供本项内容，不得分。3. 可实施性：工序衔接有序、资源调配合理、工期保障措施完备，得 3 分；进度框架合理，局部节点未细化，可正常推进施工，得 2 分；工序逻辑混乱、节点不合理、无保障措施，无法按期完工，得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一、评审内容：①项目成员配置清单及架构；②组织管理机制：有详细的人员进场计划、岗位职责说明、履职考核机制、保障措施。 二、评审标准： ①完整性：两项内容全部完整提供，得 1 分；缺任意 1 项扣 0.5 分，扣完为止；未提供本项内容，不得分。2. 针对性：人员配置、组织架构、管理机制匹配项目规模、施工内容及工期，得 2 分；全部采用通用模板，未结合项目实际，得 1 分；未提供本项内容，不得分。3. 可实施性：进场计划节点精准、岗位职责到人、考核机制具备约束力，得 2 分；框架完整，但时间节点、考核标准模糊，得 1 分；未提供本项内容，不得分。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一、评审内容：针对本项目制定文明施工和环境保护的技术组织措施，包括：①环境污染防控、节能降耗管理制度、②扬尘、降噪、固废、污水处置专项措施。 二、赋分标准：1.完整性：两项内容齐全，得 1 分；缺任意 1 项扣 0.5 分，扣完为止；未提供本项内容，不得分。2. 针对性：结合项目所在地环保规定、现场及周边环境制定措施，覆盖全部管控要点，得 2 分；仅提供通用模板，未结合属地及现场实际，得 1 分；未提供本项内容，不得分。3. 可实施性：措施合规、流程清晰、处置方案明确，得 3 分；整体合规，仅细节简略，不影响环保管控，得 2 分；措施缺失、标准低于法规要求，易产生环保违规，得 1 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本项目总工期要求 90 日历天，名词界定：完整网络图 = 含全工序、关键节点、逻辑关系、资源排布；简易网络图 = 仅体现施工分段及大致工期。按以下标准计分：1. 书面承诺满足工期 + 提供完整施工进度网络图，得 6 分；2. 书面承诺满足工期 + 仅提供简易 / 不完善网络图，得 4 分；3. 仅书面承诺满足工期，未提供网络图，得 2 分；4. 未承诺工期或承诺工期超出 90 日历天，不得分。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提供施工机械设备清单、自有设备购置发票、租赁合同。核心设备清单详见采购文件附件；租赁合同有效期须完整覆盖 90 日历天工期，材料真实可查。1. 完整列明全部核心设备清单，自有 + 租赁设备佐证材料齐全有效，得 6 分；2. 完整列明全部核心设备清单，提供部分有效佐证材料，不影响项目正常施工履约，得 4 分；3. 仅列明部分核心设备清单，佐证材料少量有效，无法保障全流程施工，得 2 分；4. 未提供任何相关资料，不得分。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服务保修承诺</w:t>
            </w:r>
          </w:p>
        </w:tc>
        <w:tc>
          <w:tcPr>
            <w:tcW w:type="dxa" w:w="2492"/>
          </w:tcPr>
          <w:p>
            <w:pPr>
              <w:pStyle w:val="null3"/>
            </w:pPr>
            <w:r>
              <w:rPr>
                <w:rFonts w:ascii="仿宋_GB2312" w:hAnsi="仿宋_GB2312" w:cs="仿宋_GB2312" w:eastAsia="仿宋_GB2312"/>
              </w:rPr>
              <w:t>法定质保期按《建设工程质量管理条例》执行；所有承诺须加盖公章，无量化数据不计分；承诺纳入合同，违约需承担相应责任。1. 质保期延长（4 分）：较法定质保期延长 2 年得 4 分，延长 1 年得 2 分，未延长不得分；2. 应急抢修（2 分）：承诺 3 小时内到场抢修得 2 分，承诺 4 小时内到场得 1 分，未明确时效不得分；3. 增值服务（2 分）：同时承诺每年 2 次巡检 + 免费养护培训得 2 分，缺 1 项扣 1 分，两项全无不得分。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设备质量证明材料</w:t>
            </w:r>
          </w:p>
        </w:tc>
        <w:tc>
          <w:tcPr>
            <w:tcW w:type="dxa" w:w="2492"/>
          </w:tcPr>
          <w:p>
            <w:pPr>
              <w:pStyle w:val="null3"/>
            </w:pPr>
            <w:r>
              <w:rPr>
                <w:rFonts w:ascii="仿宋_GB2312" w:hAnsi="仿宋_GB2312" w:cs="仿宋_GB2312" w:eastAsia="仿宋_GB2312"/>
              </w:rPr>
              <w:t>提供主要设备（热泵机组）出场合格证书、第三方检测单位出具的检测报告、厂家授权书（供应商若为厂家出具营业执照） 提供以上三项得6分，每提供一项得2分，不提供不得分。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企业类似工程业绩</w:t>
            </w:r>
          </w:p>
        </w:tc>
        <w:tc>
          <w:tcPr>
            <w:tcW w:type="dxa" w:w="2492"/>
          </w:tcPr>
          <w:p>
            <w:pPr>
              <w:pStyle w:val="null3"/>
            </w:pPr>
            <w:r>
              <w:rPr>
                <w:rFonts w:ascii="仿宋_GB2312" w:hAnsi="仿宋_GB2312" w:cs="仿宋_GB2312" w:eastAsia="仿宋_GB2312"/>
              </w:rPr>
              <w:t>业绩为 2023 年 1 月 1 日至今已完工项目；类似项目定义：建筑工程；材料为中标通知书 + 合同关键页；同一项目仅计分 1 次，重复提交不计分。每提供 1 份有效类似业绩得 2.5 分，本项最高得5分；未提供有效业绩，不得分。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采用低价优先法，满足采购文件实质性要求的最低投标价为评标基准价。计算公式：价格分 =(评标基准价 ÷ 投标报价)×30 备注：本项目专门面向中小企业采购，评审不再执行价格扣除政策。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详见附件：联合体协议书（如有）.docx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