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版本号：ZJGS-ZB-2026（59）20260827001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曹村镇曹村村茶叶厂基础设施建设项目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ZJGS-ZB-2026（59）</w:t>
      </w:r>
      <w:r>
        <w:br/>
      </w:r>
      <w:r>
        <w:br/>
      </w:r>
      <w:r>
        <w:br/>
      </w:r>
    </w:p>
    <w:p>
      <w:pPr>
        <w:pStyle w:val="null3"/>
        <w:jc w:val="center"/>
        <w:outlineLvl w:val="2"/>
      </w:pPr>
      <w:r>
        <w:rPr>
          <w:rFonts w:ascii="仿宋_GB2312" w:hAnsi="仿宋_GB2312" w:cs="仿宋_GB2312" w:eastAsia="仿宋_GB2312"/>
          <w:sz w:val="28"/>
          <w:b/>
        </w:rPr>
        <w:t>富平县曹村镇人民政府（本级）</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富平县曹村镇人民政府（本级）</w:t>
      </w:r>
      <w:r>
        <w:rPr>
          <w:rFonts w:ascii="仿宋_GB2312" w:hAnsi="仿宋_GB2312" w:cs="仿宋_GB2312" w:eastAsia="仿宋_GB2312"/>
        </w:rPr>
        <w:t>委托，拟对</w:t>
      </w:r>
      <w:r>
        <w:rPr>
          <w:rFonts w:ascii="仿宋_GB2312" w:hAnsi="仿宋_GB2312" w:cs="仿宋_GB2312" w:eastAsia="仿宋_GB2312"/>
        </w:rPr>
        <w:t>曹村镇曹村村茶叶厂基础设施建设项目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ZJGS-ZB-2026（59）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曹村镇曹村村茶叶厂基础设施建设项目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曹村镇曹村村茶叶厂基础设施建设项目主要包括加工厂房建设的土方开挖、地基基础、钢结构厂房及装饰装修、变配电工程、照明工程室外道路拆除与新做、给水工程、污水工程、雨水工程、室外配电工程等。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采购包1（曹村镇曹村村茶叶厂基础设施建设项目）：属于专门面向中小企业采购。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1、供应商须具有独立承担民事责任的能力：供应商须具有独立承担民事责任能力的法人、其他组织或自然人，提供营业执照/事业单位法人证书/非企业专业服务机构执业许可证/自然人身份证。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供应商应授权合法的人员参加磋商全过程：供应商应授权合法的人员参加磋商全过程，其中法定代表人直接参加磋商的，须出具法人身份证复印件，并与营业执照上信息一致。法定代表人授权代表参加磋商的，须出具法定代表人授权书。</w:t>
      </w:r>
    </w:p>
    <w:p>
      <w:pPr>
        <w:pStyle w:val="null3"/>
      </w:pPr>
      <w:r>
        <w:rPr>
          <w:rFonts w:ascii="仿宋_GB2312" w:hAnsi="仿宋_GB2312" w:cs="仿宋_GB2312" w:eastAsia="仿宋_GB2312"/>
        </w:rPr>
        <w:t>3、供应商提供健全的财务会计制度的证明资料：供应商须提供健全的财务会计制度的证明资料：①可提供2025年度经审计的财务报告（包含审计报告和审计报告中所涉及的财务报表和报表附注，财务报告须符合《财政部关于注册会计师行业统一监管平台上线运行的通知》财办[2022]32号文件要求），②可提供2025年度供应商完整的全套财务报表（应当包括资产负债表、利润表、现金流量表、所有者权益变动表、附注），③可提供提交响应文件截止时间三个月内其基本账户开户银行出具的资信证明（附基本存款账户信息），④供应商注册时间截至响应文件提交截止日不足一年的，也可提供在工商管理部门备案的公司章程。</w:t>
      </w:r>
    </w:p>
    <w:p>
      <w:pPr>
        <w:pStyle w:val="null3"/>
      </w:pPr>
      <w:r>
        <w:rPr>
          <w:rFonts w:ascii="仿宋_GB2312" w:hAnsi="仿宋_GB2312" w:cs="仿宋_GB2312" w:eastAsia="仿宋_GB2312"/>
        </w:rPr>
        <w:t>4、纳税证明：供应商提交响应文件截止时间前6个月内至少一个月的纳税证明或完税证明，纳税证明或完税证明上应有代收机构或税务机关的公章或业务专用章。（依法免税的供应商应提供相应文件证明）。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保缴纳证明：供应商提交响应文件截止时间前6个月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6、书面声明：供应商提供参加政府采购活动前3年内在经营活动中没有重大违法记录的书面声明。</w:t>
      </w:r>
    </w:p>
    <w:p>
      <w:pPr>
        <w:pStyle w:val="null3"/>
      </w:pPr>
      <w:r>
        <w:rPr>
          <w:rFonts w:ascii="仿宋_GB2312" w:hAnsi="仿宋_GB2312" w:cs="仿宋_GB2312" w:eastAsia="仿宋_GB2312"/>
        </w:rPr>
        <w:t>7、承诺函：供应商提供具有履行本合同所必需的设备和专业技术能力的承诺函。</w:t>
      </w:r>
    </w:p>
    <w:p>
      <w:pPr>
        <w:pStyle w:val="null3"/>
      </w:pPr>
      <w:r>
        <w:rPr>
          <w:rFonts w:ascii="仿宋_GB2312" w:hAnsi="仿宋_GB2312" w:cs="仿宋_GB2312" w:eastAsia="仿宋_GB2312"/>
        </w:rPr>
        <w:t>8、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9、企业资质：供应商须具备建设行政主管部门颁发的建筑工程施工总承包三级及以上资质，同时具有有效的安全生产许可证。</w:t>
      </w:r>
    </w:p>
    <w:p>
      <w:pPr>
        <w:pStyle w:val="null3"/>
      </w:pPr>
      <w:r>
        <w:rPr>
          <w:rFonts w:ascii="仿宋_GB2312" w:hAnsi="仿宋_GB2312" w:cs="仿宋_GB2312" w:eastAsia="仿宋_GB2312"/>
        </w:rPr>
        <w:t>10、拟派本工程项目经理资质：派本工程项目经理须具备建筑工程专业二级及以上注册建造师资格，同时具有合格有效的安全生产考核合格证（B证）,本单位注册且无在建工程。</w:t>
      </w:r>
    </w:p>
    <w:p>
      <w:pPr>
        <w:pStyle w:val="null3"/>
      </w:pPr>
      <w:r>
        <w:rPr>
          <w:rFonts w:ascii="仿宋_GB2312" w:hAnsi="仿宋_GB2312" w:cs="仿宋_GB2312" w:eastAsia="仿宋_GB2312"/>
        </w:rPr>
        <w:t>11、其他：本项目不接受联合体磋商，单位负责人为同一人或者存在控股、管理关系的不同单位不得同时参加磋商，提供承诺或相关说明并加盖公章。</w:t>
      </w:r>
    </w:p>
    <w:p>
      <w:pPr>
        <w:pStyle w:val="null3"/>
      </w:pPr>
      <w:r>
        <w:rPr>
          <w:rFonts w:ascii="仿宋_GB2312" w:hAnsi="仿宋_GB2312" w:cs="仿宋_GB2312" w:eastAsia="仿宋_GB2312"/>
        </w:rPr>
        <w:t>12、磋商保证金：a.提供磋商保证金转账凭证和基本存款账户信息证明资料复印件或扫描件；b.提供金融机构、担保机构出具的保函复印件或扫描件。以上两种方式二选一。</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富平县曹村镇人民政府（本级）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富平县曹村镇街道中段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13554600369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西安市凤城十一路文景广场c座18层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史瑞瑞、李方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17782566626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杜股长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采购包1：2,552,002.93元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w:t>
            </w:r>
          </w:p>
          <w:p>
            <w:pPr>
              <w:pStyle w:val="null3"/>
            </w:pPr>
            <w:r>
              <w:rPr>
                <w:rFonts w:ascii="仿宋_GB2312" w:hAnsi="仿宋_GB2312" w:cs="仿宋_GB2312" w:eastAsia="仿宋_GB2312"/>
              </w:rPr>
              <w:t>开户银行：中国建设银行股份有限公司延安分行营业部</w:t>
            </w:r>
          </w:p>
          <w:p>
            <w:pPr>
              <w:pStyle w:val="null3"/>
            </w:pPr>
            <w:r>
              <w:rPr>
                <w:rFonts w:ascii="仿宋_GB2312" w:hAnsi="仿宋_GB2312" w:cs="仿宋_GB2312" w:eastAsia="仿宋_GB2312"/>
              </w:rPr>
              <w:t>银行账号：610 501 6800 3109 999999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参照国家计委关于印发《《招标代理服务收费管理暂行办法》的通知（计价格〔2002〕1980号）、《国家发展和改革委员会办公厅关于招标代理服务收费有关问题的通知》（发改办价格〔2003〕857号）文件规定，招标代理服务费优惠后按10000元收取，招标代理服务费不计入工程造价，由成交单位支付。造价咨询服务费根据（陕价行发〔2014〕88号）规定服务费计费标准基础计算优惠后按5000元计取，造价咨询服务费不计入工程造价，由成交单位支付。具体金额详见采购结果公告，成交单位在领取中标通知书时向采购代理机构一次付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富平县曹村镇人民政府（本级）</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富平县曹村镇人民政府（本级）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富平县曹村镇人民政府（本级）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知识产权属发包人所有，承包人不得将此类图纸用于任何 与本工程以外的项目，承包人对所有图纸和工程文件负有保密义务，不得任意扩大接触和 使用范围，不得泄露给与本工程无关的其他人员。发包人无需支付保密措施费用。因承包人原因造成泄密的，应承担赔偿损失等法律责任。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联系人：史瑞瑞、李方</w:t>
      </w:r>
    </w:p>
    <w:p>
      <w:pPr>
        <w:pStyle w:val="null3"/>
      </w:pPr>
      <w:r>
        <w:rPr>
          <w:rFonts w:ascii="仿宋_GB2312" w:hAnsi="仿宋_GB2312" w:cs="仿宋_GB2312" w:eastAsia="仿宋_GB2312"/>
        </w:rPr>
        <w:t>联系电话：17782566626</w:t>
      </w:r>
    </w:p>
    <w:p>
      <w:pPr>
        <w:pStyle w:val="null3"/>
      </w:pPr>
      <w:r>
        <w:rPr>
          <w:rFonts w:ascii="仿宋_GB2312" w:hAnsi="仿宋_GB2312" w:cs="仿宋_GB2312" w:eastAsia="仿宋_GB2312"/>
        </w:rPr>
        <w:t>地址：西安市凤城⼗⼀路⽂景⼴场c座18层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2,552,002.93</w:t>
      </w:r>
    </w:p>
    <w:p>
      <w:pPr>
        <w:pStyle w:val="null3"/>
      </w:pPr>
      <w:r>
        <w:rPr>
          <w:rFonts w:ascii="仿宋_GB2312" w:hAnsi="仿宋_GB2312" w:cs="仿宋_GB2312" w:eastAsia="仿宋_GB2312"/>
        </w:rPr>
        <w:t>采购包最高限价（元）: 2,300,529.14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曹村镇曹村村茶叶厂基础设施建设项目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2,552,002.93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标的名称：曹村镇曹村村茶叶厂基础设施建设项目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1"/>
                <w:b/>
              </w:rPr>
              <w:t>一、项目概况：</w:t>
            </w:r>
          </w:p>
          <w:p>
            <w:pPr>
              <w:pStyle w:val="null3"/>
              <w:ind w:firstLine="456"/>
              <w:jc w:val="left"/>
            </w:pPr>
            <w:r>
              <w:rPr>
                <w:rFonts w:ascii="仿宋_GB2312" w:hAnsi="仿宋_GB2312" w:cs="仿宋_GB2312" w:eastAsia="仿宋_GB2312"/>
                <w:sz w:val="21"/>
              </w:rPr>
              <w:t>曹村镇曹村村茶叶厂基础设施建设项目主要包括加工厂房建设的土方开挖、地基基础、钢结构厂房及装饰装修、变配电工程、照明工程室外道路拆除与新做、给水工程、污水工程、雨水工程、室外配电工程等。</w:t>
            </w:r>
          </w:p>
          <w:p>
            <w:pPr>
              <w:pStyle w:val="null3"/>
              <w:ind w:firstLine="482"/>
              <w:jc w:val="left"/>
            </w:pPr>
            <w:r>
              <w:rPr>
                <w:rFonts w:ascii="仿宋_GB2312" w:hAnsi="仿宋_GB2312" w:cs="仿宋_GB2312" w:eastAsia="仿宋_GB2312"/>
                <w:sz w:val="21"/>
                <w:b/>
              </w:rPr>
              <w:t>二、编制依据</w:t>
            </w:r>
          </w:p>
          <w:p>
            <w:pPr>
              <w:pStyle w:val="null3"/>
              <w:jc w:val="left"/>
            </w:pPr>
            <w:r>
              <w:rPr>
                <w:rFonts w:ascii="仿宋_GB2312" w:hAnsi="仿宋_GB2312" w:cs="仿宋_GB2312" w:eastAsia="仿宋_GB2312"/>
                <w:sz w:val="21"/>
              </w:rPr>
              <w:t xml:space="preserve">  1、国家发布的有关法律、法规、规章、规程等；</w:t>
            </w:r>
          </w:p>
          <w:p>
            <w:pPr>
              <w:pStyle w:val="null3"/>
              <w:jc w:val="left"/>
            </w:pPr>
            <w:r>
              <w:rPr>
                <w:rFonts w:ascii="仿宋_GB2312" w:hAnsi="仿宋_GB2312" w:cs="仿宋_GB2312" w:eastAsia="仿宋_GB2312"/>
                <w:sz w:val="21"/>
              </w:rPr>
              <w:t xml:space="preserve">  2、《曹村镇曹村村茶叶厂基础设施建设项目》相关批复；</w:t>
            </w:r>
          </w:p>
          <w:p>
            <w:pPr>
              <w:pStyle w:val="null3"/>
              <w:jc w:val="left"/>
            </w:pPr>
            <w:r>
              <w:rPr>
                <w:rFonts w:ascii="仿宋_GB2312" w:hAnsi="仿宋_GB2312" w:cs="仿宋_GB2312" w:eastAsia="仿宋_GB2312"/>
                <w:sz w:val="21"/>
              </w:rPr>
              <w:t xml:space="preserve">  3、《曹村镇曹村村茶叶厂基础设施建设项目》图纸；</w:t>
            </w:r>
          </w:p>
          <w:p>
            <w:pPr>
              <w:pStyle w:val="null3"/>
              <w:jc w:val="left"/>
            </w:pPr>
            <w:r>
              <w:rPr>
                <w:rFonts w:ascii="仿宋_GB2312" w:hAnsi="仿宋_GB2312" w:cs="仿宋_GB2312" w:eastAsia="仿宋_GB2312"/>
                <w:sz w:val="21"/>
              </w:rPr>
              <w:t xml:space="preserve">  4、《陕西省建设工程工程量清单计价标准》（2025）及《陕西省建设工程费用规则》（2025）；</w:t>
            </w:r>
          </w:p>
          <w:p>
            <w:pPr>
              <w:pStyle w:val="null3"/>
              <w:jc w:val="left"/>
            </w:pPr>
            <w:r>
              <w:rPr>
                <w:rFonts w:ascii="仿宋_GB2312" w:hAnsi="仿宋_GB2312" w:cs="仿宋_GB2312" w:eastAsia="仿宋_GB2312"/>
                <w:sz w:val="21"/>
              </w:rPr>
              <w:t xml:space="preserve">  5、《陕西省房屋建筑与装饰工程工程量计算标准》（2025）、《陕西省市政工程工程量计算标准》（2025）、《陕西省通用安装工程工程量计算标准》（2025）、《陕西省园林绿化工程工程量计算标准》（2025）；</w:t>
            </w:r>
          </w:p>
          <w:p>
            <w:pPr>
              <w:pStyle w:val="null3"/>
              <w:jc w:val="left"/>
            </w:pPr>
            <w:r>
              <w:rPr>
                <w:rFonts w:ascii="仿宋_GB2312" w:hAnsi="仿宋_GB2312" w:cs="仿宋_GB2312" w:eastAsia="仿宋_GB2312"/>
                <w:sz w:val="21"/>
              </w:rPr>
              <w:t xml:space="preserve">  6、《陕西省房屋建筑与装饰工程消耗量定额》（2025）、《陕西省市政工程消耗量定额》（2025）、《陕西省通用安装工程消耗量定额》（2025）、《陕西省园林绿化工程消耗量定额》（2025）；《陕西省城市地下综合管廊工程消耗量定额》（2025）、《陕西省绿色建筑工程消耗量定额》（2025）；</w:t>
            </w:r>
          </w:p>
          <w:p>
            <w:pPr>
              <w:pStyle w:val="null3"/>
              <w:jc w:val="left"/>
            </w:pPr>
            <w:r>
              <w:rPr>
                <w:rFonts w:ascii="仿宋_GB2312" w:hAnsi="仿宋_GB2312" w:cs="仿宋_GB2312" w:eastAsia="仿宋_GB2312"/>
                <w:sz w:val="21"/>
              </w:rPr>
              <w:t xml:space="preserve">  7、《陕西省建设工程施工机械台班费用定额（2025）》、《陕西省建设工程施工仪器仪表台班费用定额（2025）》；</w:t>
            </w:r>
          </w:p>
          <w:p>
            <w:pPr>
              <w:pStyle w:val="null3"/>
              <w:jc w:val="left"/>
            </w:pPr>
            <w:r>
              <w:rPr>
                <w:rFonts w:ascii="仿宋_GB2312" w:hAnsi="仿宋_GB2312" w:cs="仿宋_GB2312" w:eastAsia="仿宋_GB2312"/>
                <w:sz w:val="21"/>
              </w:rPr>
              <w:t xml:space="preserve">  8、报审的预算造价文件；</w:t>
            </w:r>
          </w:p>
          <w:p>
            <w:pPr>
              <w:pStyle w:val="null3"/>
              <w:jc w:val="left"/>
            </w:pPr>
            <w:r>
              <w:rPr>
                <w:rFonts w:ascii="仿宋_GB2312" w:hAnsi="仿宋_GB2312" w:cs="仿宋_GB2312" w:eastAsia="仿宋_GB2312"/>
                <w:sz w:val="21"/>
              </w:rPr>
              <w:t xml:space="preserve">  9、《渭南市建设工程造价信息》2026年第2期信息价及相关市场价，材料价格不含增值税；</w:t>
            </w:r>
          </w:p>
          <w:p>
            <w:pPr>
              <w:pStyle w:val="null3"/>
              <w:jc w:val="left"/>
            </w:pPr>
            <w:r>
              <w:rPr>
                <w:rFonts w:ascii="仿宋_GB2312" w:hAnsi="仿宋_GB2312" w:cs="仿宋_GB2312" w:eastAsia="仿宋_GB2312"/>
                <w:sz w:val="21"/>
              </w:rPr>
              <w:t xml:space="preserve">  10、与建设工程项目有关的标准、规范、图集、技术资料；</w:t>
            </w:r>
          </w:p>
          <w:p>
            <w:pPr>
              <w:pStyle w:val="null3"/>
              <w:jc w:val="left"/>
            </w:pPr>
            <w:r>
              <w:rPr>
                <w:rFonts w:ascii="仿宋_GB2312" w:hAnsi="仿宋_GB2312" w:cs="仿宋_GB2312" w:eastAsia="仿宋_GB2312"/>
                <w:sz w:val="21"/>
              </w:rPr>
              <w:t xml:space="preserve">  11、其他相关资料；</w:t>
            </w:r>
          </w:p>
          <w:p>
            <w:pPr>
              <w:pStyle w:val="null3"/>
              <w:jc w:val="left"/>
            </w:pPr>
            <w:r>
              <w:rPr>
                <w:rFonts w:ascii="仿宋_GB2312" w:hAnsi="仿宋_GB2312" w:cs="仿宋_GB2312" w:eastAsia="仿宋_GB2312"/>
                <w:sz w:val="21"/>
              </w:rPr>
              <w:t xml:space="preserve">  12、软件版本：广联达云计价平台GCCP7.0(7.5000.23.3)。</w:t>
            </w:r>
          </w:p>
          <w:p>
            <w:pPr>
              <w:pStyle w:val="null3"/>
              <w:ind w:firstLine="482"/>
            </w:pPr>
            <w:r>
              <w:rPr>
                <w:rFonts w:ascii="仿宋_GB2312" w:hAnsi="仿宋_GB2312" w:cs="仿宋_GB2312" w:eastAsia="仿宋_GB2312"/>
                <w:sz w:val="21"/>
                <w:b/>
              </w:rPr>
              <w:t>三、</w:t>
            </w:r>
            <w:r>
              <w:rPr>
                <w:rFonts w:ascii="仿宋_GB2312" w:hAnsi="仿宋_GB2312" w:cs="仿宋_GB2312" w:eastAsia="仿宋_GB2312"/>
                <w:sz w:val="21"/>
                <w:b/>
              </w:rPr>
              <w:t>施工地点、计划工期</w:t>
            </w:r>
            <w:r>
              <w:rPr>
                <w:rFonts w:ascii="仿宋_GB2312" w:hAnsi="仿宋_GB2312" w:cs="仿宋_GB2312" w:eastAsia="仿宋_GB2312"/>
                <w:sz w:val="21"/>
                <w:b/>
              </w:rPr>
              <w:t>、</w:t>
            </w:r>
            <w:r>
              <w:rPr>
                <w:rFonts w:ascii="仿宋_GB2312" w:hAnsi="仿宋_GB2312" w:cs="仿宋_GB2312" w:eastAsia="仿宋_GB2312"/>
                <w:sz w:val="21"/>
                <w:b/>
              </w:rPr>
              <w:t>质量</w:t>
            </w:r>
            <w:r>
              <w:rPr>
                <w:rFonts w:ascii="仿宋_GB2312" w:hAnsi="仿宋_GB2312" w:cs="仿宋_GB2312" w:eastAsia="仿宋_GB2312"/>
                <w:sz w:val="21"/>
                <w:b/>
              </w:rPr>
              <w:t>要求、付款方式</w:t>
            </w:r>
          </w:p>
          <w:p>
            <w:pPr>
              <w:pStyle w:val="null3"/>
              <w:ind w:firstLine="482"/>
            </w:pPr>
            <w:r>
              <w:rPr>
                <w:rFonts w:ascii="仿宋_GB2312" w:hAnsi="仿宋_GB2312" w:cs="仿宋_GB2312" w:eastAsia="仿宋_GB2312"/>
                <w:sz w:val="21"/>
              </w:rPr>
              <w:t>1、施工地点：采购人指定地点；</w:t>
            </w:r>
          </w:p>
          <w:p>
            <w:pPr>
              <w:pStyle w:val="null3"/>
              <w:ind w:firstLine="480"/>
              <w:jc w:val="left"/>
            </w:pPr>
            <w:r>
              <w:rPr>
                <w:rFonts w:ascii="仿宋_GB2312" w:hAnsi="仿宋_GB2312" w:cs="仿宋_GB2312" w:eastAsia="仿宋_GB2312"/>
                <w:sz w:val="21"/>
              </w:rPr>
              <w:t>2、计划工期：45日历天（具体起止日期以合同签订时间为准）；</w:t>
            </w:r>
          </w:p>
          <w:p>
            <w:pPr>
              <w:pStyle w:val="null3"/>
              <w:ind w:firstLine="480"/>
              <w:jc w:val="left"/>
            </w:pPr>
            <w:r>
              <w:rPr>
                <w:rFonts w:ascii="仿宋_GB2312" w:hAnsi="仿宋_GB2312" w:cs="仿宋_GB2312" w:eastAsia="仿宋_GB2312"/>
                <w:sz w:val="21"/>
              </w:rPr>
              <w:t>3、质量要求：合格；</w:t>
            </w:r>
          </w:p>
          <w:p>
            <w:pPr>
              <w:pStyle w:val="null3"/>
            </w:pPr>
            <w:r>
              <w:rPr>
                <w:rFonts w:ascii="仿宋_GB2312" w:hAnsi="仿宋_GB2312" w:cs="仿宋_GB2312" w:eastAsia="仿宋_GB2312"/>
                <w:sz w:val="21"/>
              </w:rPr>
              <w:t xml:space="preserve">   4、付款方式：合同签订后，支付合同总价30%作为预付款；工程进度完成80%，支付至合同总价的50%；施工全部完成，支付至合同总价的80%；工程竣工验收合格后，待工程结算审计报告经双方签字盖章确认后，付至审定金额的97%；剩余3%作为质量保证金，于缺陷责任期满后一次性付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施工要求、相关规范进行施工。要求所有工程符合行业规格标准，达到环保节能性、耐用性、安全可靠性、使用性能，安全可靠，功能齐全，性能良好，质量保证完善，符合国内相关标准和有关规定，验收以国内行业标准或合同文本描述的有关技术要求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磋商实行两轮报价。第一轮报价后，磋商小组可以根据项目实施情况调整采购需求，第二轮报价为最终报价。如采购需求没有实质性变化，各供应商的报价应逐次降低，本次报价超过上次报价的，为无效报价。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包含审计报告和审计报告中所涉及的财务报表和报表附注，财务报告须符合《财政部关于注册会计师行业统一监管平台上线运行的通知》财办[2022]32号文件要求），②可提供2025年度供应商完整的全套财务报表（应当包括资产负债表、利润表、现金流量表、所有者权益变动表、附注），③可提供提交响应文件截止时间三个月内其基本账户开户银行出具的资信证明（附基本存款账户信息），④供应商注册时间截至响应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供应商须具有独立承担民事责任的能力</w:t>
            </w:r>
          </w:p>
        </w:tc>
        <w:tc>
          <w:tcPr>
            <w:tcW w:type="dxa" w:w="3322"/>
          </w:tcPr>
          <w:p>
            <w:pPr>
              <w:pStyle w:val="null3"/>
            </w:pPr>
            <w:r>
              <w:rPr>
                <w:rFonts w:ascii="仿宋_GB2312" w:hAnsi="仿宋_GB2312" w:cs="仿宋_GB2312" w:eastAsia="仿宋_GB2312"/>
              </w:rPr>
              <w:t>供应商须具有独立承担民事责任能力的法人、其他组织或自然人，提供营业执照/事业单位法人证书/非企业专业服务机构执业许可证/自然人身份证。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供应商应授权合法的人员参加磋商全过程，其中法定代表人直接参加磋商的，须出具法人身份证复印件，并与营业执照上信息一致。法定代表人授权代表参加磋商的，须出具法定代表人授权书。</w:t>
            </w:r>
          </w:p>
        </w:tc>
        <w:tc>
          <w:tcPr>
            <w:tcW w:type="dxa" w:w="1661"/>
          </w:tcPr>
          <w:p>
            <w:pPr>
              <w:pStyle w:val="null3"/>
            </w:pPr>
            <w:r>
              <w:rPr>
                <w:rFonts w:ascii="仿宋_GB2312" w:hAnsi="仿宋_GB2312" w:cs="仿宋_GB2312" w:eastAsia="仿宋_GB2312"/>
              </w:rPr>
              <w:t>法人授权委托书格式.pdf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供应商提供健全的财务会计制度的证明资料</w:t>
            </w:r>
          </w:p>
        </w:tc>
        <w:tc>
          <w:tcPr>
            <w:tcW w:type="dxa" w:w="3322"/>
          </w:tcPr>
          <w:p>
            <w:pPr>
              <w:pStyle w:val="null3"/>
            </w:pPr>
            <w:r>
              <w:rPr>
                <w:rFonts w:ascii="仿宋_GB2312" w:hAnsi="仿宋_GB2312" w:cs="仿宋_GB2312" w:eastAsia="仿宋_GB2312"/>
              </w:rPr>
              <w:t>供应商须提供健全的财务会计制度的证明资料：①可提供2025年度经审计的财务报告（包含审计报告和审计报告中所涉及的财务报表和报表附注，财务报告须符合《财政部关于注册会计师行业统一监管平台上线运行的通知》财办[2022]32号文件要求），②可提供2025年度供应商完整的全套财务报表（应当包括资产负债表、利润表、现金流量表、所有者权益变动表、附注），③可提供提交响应文件截止时间三个月内其基本账户开户银行出具的资信证明（附基本存款账户信息），④供应商注册时间截至响应文件提交截止日不足一年的，也可提供在工商管理部门备案的公司章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供应商提交响应文件截止时间前6个月内至少一个月的纳税证明或完税证明，纳税证明或完税证明上应有代收机构或税务机关的公章或业务专用章。（依法免税的供应商应提供相应文件证明）。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交响应文件截止时间前6个月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供应商须具备建设行政主管部门颁发的建筑工程施工总承包三级及以上资质，同时具有有效的安全生产许可证。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拟派本工程项目经理资质</w:t>
            </w:r>
          </w:p>
        </w:tc>
        <w:tc>
          <w:tcPr>
            <w:tcW w:type="dxa" w:w="3322"/>
          </w:tcPr>
          <w:p>
            <w:pPr>
              <w:pStyle w:val="null3"/>
            </w:pPr>
            <w:r>
              <w:rPr>
                <w:rFonts w:ascii="仿宋_GB2312" w:hAnsi="仿宋_GB2312" w:cs="仿宋_GB2312" w:eastAsia="仿宋_GB2312"/>
              </w:rPr>
              <w:t>派本工程项目经理须具备建筑工程专业二级及以上注册建造师资格，同时具有合格有效的安全生产考核合格证（B证）,本单位注册且无在建工程。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本项目不接受联合体磋商，单位负责人为同一人或者存在控股、管理关系的不同单位不得同时参加磋商，提供承诺或相关说明并加盖公章。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a.提供磋商保证金转账凭证和基本存款账户信息证明资料复印件或扫描件；b.提供金融机构、担保机构出具的保函复印件或扫描件。以上两种方式二选一。</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形式评审标准</w:t>
            </w:r>
          </w:p>
        </w:tc>
        <w:tc>
          <w:tcPr>
            <w:tcW w:type="dxa" w:w="3322"/>
          </w:tcPr>
          <w:p>
            <w:pPr>
              <w:pStyle w:val="null3"/>
            </w:pPr>
            <w:r>
              <w:rPr>
                <w:rFonts w:ascii="仿宋_GB2312" w:hAnsi="仿宋_GB2312" w:cs="仿宋_GB2312" w:eastAsia="仿宋_GB2312"/>
              </w:rPr>
              <w:t>供应商名称：与营业执照、资质证书一致； 响应文件的签署：按照响应文件格式要求签字或盖章； 响应文件格式：符合第七章“响应文件格式”的要求。</w:t>
            </w:r>
          </w:p>
        </w:tc>
        <w:tc>
          <w:tcPr>
            <w:tcW w:type="dxa" w:w="1661"/>
          </w:tcPr>
          <w:p>
            <w:pPr>
              <w:pStyle w:val="null3"/>
            </w:pPr>
            <w:r>
              <w:rPr>
                <w:rFonts w:ascii="仿宋_GB2312" w:hAnsi="仿宋_GB2312" w:cs="仿宋_GB2312" w:eastAsia="仿宋_GB2312"/>
              </w:rPr>
              <w:t>已标价工程量清单 法人授权委托书格式.pdf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响应性评审标准</w:t>
            </w:r>
          </w:p>
        </w:tc>
        <w:tc>
          <w:tcPr>
            <w:tcW w:type="dxa" w:w="3322"/>
          </w:tcPr>
          <w:p>
            <w:pPr>
              <w:pStyle w:val="null3"/>
            </w:pPr>
            <w:r>
              <w:rPr>
                <w:rFonts w:ascii="仿宋_GB2312" w:hAnsi="仿宋_GB2312" w:cs="仿宋_GB2312" w:eastAsia="仿宋_GB2312"/>
              </w:rPr>
              <w:t>工期：45日历天（具体起止日期以合同签订时间为准）； 质量标准：合格； 投标有效期：应满⾜磋商⽂件中的规定；已标价工程量清单：符合“工程量清单”给出的子目名称、计量单位、工程量、子目。备注说明： 投标价格：报价唯一且不得高于最高投标限价。</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已标价工程量清单 法人授权委托书格式.pdf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供应商针对本项目编制完善的施工部署，内容包含：①施工目标:成本目标、工期目标、质量目标②施工准备：技术准备、材料准备、机械准备、机具准备③施工平面布置与安排：现场围挡及出入口管理、交通组织安排、消防及道路安排。 二、评审标准1、完整性：方案必须全面，对评审内容中的各项要求有详细描述；2、可实施性：切合本项目实际情况，提出步骤清晰、合理的方案；3、针对性：方案能够紧扣项目实际情况，内容科学合理。 三、赋分标准（满分9分）①施工目标：每完全满足一个评审标准得1分，满分3分；②施工准备：每完全满足一个评审标准得1分，满分3分；③施工平面布置与安排：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一、评审内容供应商针对本项目编制完善的施工进度计划，内容包含：①施工进度计划横道图②进度计划保证措施③工期保证措施。 二、评审标准1、完整性：方案必须全面，对评审内容中的各项要求有详细描述；2、可实施性：切合本项目实际情况，提出步骤清晰、合理的方案；3、针对性：方案能够紧扣项目实际情况，内容科学合理。 三、赋分标准（满分9分）①施工进度计划横道图：每完全满足一个评审标准得1分，满分3分；②进度计划保证措施：每完全满足一个评审标准得1分，满分3分；③工期保证措施：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一、评审内容供应商针对本项目编制完善的分部分项工程施工方案，内容包含：①工程重难点及解决措施②分部分项工程施工方法③施工质量通病防治措施。 二、评审标准1、完整性：方案必须全面，对评审内容中的各项要求有详细描述；2、可实施性：切合本项目实际情况，提出步骤清晰、合理的方案；3、针对性：方案能够紧扣项目实际情况，内容科学合理。 三、赋分标准（满分9分）①工程重难点及解决措施：每完全满足一个评审标准得1分，满分3分；②分部分项工程施工方法：每完全满足一个评审标准得1分，满分3分；③施工质量通病防治措施：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供应商针对本项目编制主要管理措施，内容包含：①成品保护措施②季节性施工措施③消防保卫措施④环境保护措施。二、评审标准1、完整性：方案必须全面，对评审内容中的各项要求有详细描述；2、可实施性：切合本项目实际情况，提出步骤清晰、合理的方案；3、针对性：方案能够紧扣项目实际情况，内容科学合理。三、赋分标准（满分6分）①成品保护措施：每完全满足一个评审标准得0.5分，满分1.5分；②季节性施工措施：每完全满足一个评审标准得0.5分，满分1.5分；③消防保卫措施：每完全满足一个评审标准得0.5分，满分1.5分；④环境保护措施：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①文明施工管理目标及技术措施②文明施工现场管理：材料管理、防扰民措施。二、评审标准1、完整性：方案必须全面，对评审内容中的各项要求有详细描述；2、可实施性：切合本项目实际情况，提出步骤清晰、合理的方案；3、针对性：方案能够紧扣项目实际情况，内容科学合理。三、赋分标准（满分3分）①文明施工管理目标及技术措施：每完全满足一个评审标准得0.5分，满分1.5分；②文明施工现场管理：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一、评审内容供应商针对本项目编制科学的项目管理机构，内容包含：①管理机构的配备计划②组织机构的岗位职责。 二、评审标准1、完整性：方案必须全面，对评审内容中的各项要求有详细描述；2、可实施性：切合本项目实际情况，提出步骤清晰、合理的方案；3、针对性：方案能够紧扣项目实际情况，内容科学合理。三、赋分标准（满分8分）①管理机构的配备计划：具有五⼤员（质量员、安全员、施⼯员、材料员、资料员）上岗证书（安全员须具有安全⽣产考核合格证书）的⼀项得1分，最⾼得5分。②组织机构的岗位职责：每完全满足一个评审标准得1分，满分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针对本项目具有①新材料的应用情况②新技术和新工艺的应用情况。二、评审标准1、完整性：方案必须全面，对评审内容中的各项要求有详细描述；2、可实施性：切合本项目实际情况，提出步骤清晰、合理的方案；3、针对性：方案能够紧扣项目实际情况，内容科学合理。三、赋分标准（满分3分）①新材料的应用情况：每完全满足一个评审标准得0.5分，满分1.5分；②新技术和新工艺的应用情况：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一、评审内容供应商针对本项目编制完善的质量保证措施，内容包含：①质量目标管理体系②施工质量的检验制度③确保质量的技术组织措施④施工质量控制措施。 二、评审标准1、完整性：方案必须全面，对评审内容中的各项要求有详细描述；2、可实施性：切合本项目实际情况，提出步骤清晰、合理的方案；3、针对性：方案能够紧扣项目实际情况，内容科学合理。 三、赋分标准（满分6分）①质量目标管理体系：每完全满足一个评审标准得0.5分，满分1.5分；②施工质量的检验制度：每完全满足一个评审标准得0.5分，满分1.5分；③确保质量的技术组织措施：每完全满足一个评审标准得0.5分，满分1.5分；④施工质量控制措施：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①安全生产管理制度②安全施工措施③安全应急预案④安全生产教育。二、评审标准1、完整性：方案必须全面，对评审内容中的各项要求有详细描述；2、可实施性：切合本项目实际情况，提出步骤清晰、合理的方案；3、针对性：方案能够紧扣项目实际情况，内容科学合理。三、赋分标准（满分6分）①安全生产管理制度：每完全满足一个评审标准得0.5分，满分1.5分；②安全施工措施：每完全满足一个评审标准得0.5分，满分1.5分；③安全应急预案：每完全满足一个评审标准得0.5分，满分1.5分；④安全生产教育：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结合本项目的实际，供应商应依据国家相关规定提出工程验收维护方案，内容包含：①验收方案②维修措施、保修责任及保修承诺。二、评审标准1、完整性：内容必须全面，对评审内容中的各项要求有详细描述；2、落实性：切合项目具体情况，提出责任明确、要求具体的方案；3、针对性：内容能够紧扣项目实际情况，内容科学合理。三、赋分标准（满分3分）①验收方案：每完全满足一个评审标准得0.5分，满分1.5分；②维修措施、保修责任及保修承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具有2023年1月1日至今的类似项目业绩合同（以合同签订日期为准），每提供一份得2分，最高得8分。投标响应文件中附有说明其业绩证明材料（业绩以合同为依据）。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评标价法，即实质性满足磋商文件要求且最终投标报价最低的为评标基准价，其价格分为满分30分。其他供应商的价格分按照下列公式计算：投标报价得分=(评标基准价/最终投标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详见附件：法人授权委托书格式.pdf</w:t>
      </w:r>
    </w:p>
    <w:p>
      <w:pPr>
        <w:pStyle w:val="null3"/>
        <w:ind w:firstLine="960"/>
      </w:pPr>
      <w:r>
        <w:rPr>
          <w:rFonts w:ascii="仿宋_GB2312" w:hAnsi="仿宋_GB2312" w:cs="仿宋_GB2312" w:eastAsia="仿宋_GB2312"/>
        </w:rPr>
        <w:t>详见附件：磋商方案.docx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详见附件：建设工程合同文件.docx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