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093799">
      <w:pPr>
        <w:jc w:val="center"/>
        <w:rPr>
          <w:rFonts w:hint="eastAsia"/>
          <w:sz w:val="32"/>
          <w:szCs w:val="40"/>
          <w:lang w:val="en-US" w:eastAsia="zh-CN"/>
        </w:rPr>
      </w:pPr>
      <w:r>
        <w:rPr>
          <w:rFonts w:hint="eastAsia"/>
          <w:sz w:val="32"/>
          <w:szCs w:val="40"/>
          <w:lang w:val="en-US" w:eastAsia="zh-CN"/>
        </w:rPr>
        <w:t>采购需求</w:t>
      </w:r>
    </w:p>
    <w:p w14:paraId="5D44F8D6">
      <w:pPr>
        <w:pStyle w:val="4"/>
      </w:pPr>
      <w:r>
        <w:rPr>
          <w:rFonts w:ascii="仿宋_GB2312" w:hAnsi="仿宋_GB2312" w:eastAsia="仿宋_GB2312" w:cs="仿宋_GB2312"/>
          <w:sz w:val="21"/>
        </w:rPr>
        <w:t>一、产品清单</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81"/>
        <w:gridCol w:w="3154"/>
        <w:gridCol w:w="2039"/>
        <w:gridCol w:w="2039"/>
      </w:tblGrid>
      <w:tr w14:paraId="20186F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84CEAC4">
            <w:pPr>
              <w:pStyle w:val="4"/>
              <w:jc w:val="center"/>
            </w:pPr>
            <w:r>
              <w:rPr>
                <w:rFonts w:ascii="仿宋_GB2312" w:hAnsi="仿宋_GB2312" w:eastAsia="仿宋_GB2312" w:cs="仿宋_GB2312"/>
                <w:b/>
                <w:sz w:val="19"/>
              </w:rPr>
              <w:t>序号</w:t>
            </w:r>
          </w:p>
        </w:tc>
        <w:tc>
          <w:tcPr>
            <w:tcW w:w="185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C1D463">
            <w:pPr>
              <w:pStyle w:val="4"/>
              <w:jc w:val="center"/>
            </w:pPr>
            <w:r>
              <w:rPr>
                <w:rFonts w:ascii="仿宋_GB2312" w:hAnsi="仿宋_GB2312" w:eastAsia="仿宋_GB2312" w:cs="仿宋_GB2312"/>
                <w:b/>
                <w:sz w:val="19"/>
              </w:rPr>
              <w:t>产品名称</w:t>
            </w:r>
          </w:p>
        </w:tc>
        <w:tc>
          <w:tcPr>
            <w:tcW w:w="119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6CE1B6F">
            <w:pPr>
              <w:pStyle w:val="4"/>
              <w:jc w:val="center"/>
            </w:pPr>
            <w:r>
              <w:rPr>
                <w:rFonts w:ascii="仿宋_GB2312" w:hAnsi="仿宋_GB2312" w:eastAsia="仿宋_GB2312" w:cs="仿宋_GB2312"/>
                <w:b/>
                <w:sz w:val="19"/>
              </w:rPr>
              <w:t>数量</w:t>
            </w:r>
          </w:p>
        </w:tc>
        <w:tc>
          <w:tcPr>
            <w:tcW w:w="119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DA823C7">
            <w:pPr>
              <w:pStyle w:val="4"/>
              <w:jc w:val="center"/>
            </w:pPr>
            <w:r>
              <w:rPr>
                <w:rFonts w:ascii="仿宋_GB2312" w:hAnsi="仿宋_GB2312" w:eastAsia="仿宋_GB2312" w:cs="仿宋_GB2312"/>
                <w:b/>
                <w:sz w:val="19"/>
              </w:rPr>
              <w:t>备注</w:t>
            </w:r>
          </w:p>
        </w:tc>
      </w:tr>
      <w:tr w14:paraId="080031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698980">
            <w:pPr>
              <w:pStyle w:val="4"/>
              <w:jc w:val="center"/>
            </w:pPr>
            <w:r>
              <w:rPr>
                <w:rFonts w:ascii="仿宋_GB2312" w:hAnsi="仿宋_GB2312" w:eastAsia="仿宋_GB2312" w:cs="仿宋_GB2312"/>
                <w:sz w:val="19"/>
              </w:rPr>
              <w:t>1</w:t>
            </w:r>
          </w:p>
        </w:tc>
        <w:tc>
          <w:tcPr>
            <w:tcW w:w="185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045ACF">
            <w:pPr>
              <w:pStyle w:val="4"/>
              <w:jc w:val="center"/>
            </w:pPr>
            <w:r>
              <w:rPr>
                <w:rFonts w:ascii="仿宋_GB2312" w:hAnsi="仿宋_GB2312" w:eastAsia="仿宋_GB2312" w:cs="仿宋_GB2312"/>
                <w:sz w:val="19"/>
              </w:rPr>
              <w:t>真账全流程实践平台</w:t>
            </w:r>
          </w:p>
        </w:tc>
        <w:tc>
          <w:tcPr>
            <w:tcW w:w="11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91E3A2">
            <w:pPr>
              <w:pStyle w:val="4"/>
              <w:jc w:val="center"/>
            </w:pPr>
            <w:r>
              <w:rPr>
                <w:rFonts w:ascii="仿宋_GB2312" w:hAnsi="仿宋_GB2312" w:eastAsia="仿宋_GB2312" w:cs="仿宋_GB2312"/>
                <w:sz w:val="19"/>
              </w:rPr>
              <w:t>1套</w:t>
            </w:r>
          </w:p>
        </w:tc>
        <w:tc>
          <w:tcPr>
            <w:tcW w:w="11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79120F">
            <w:pPr>
              <w:pStyle w:val="4"/>
              <w:jc w:val="both"/>
            </w:pPr>
          </w:p>
        </w:tc>
      </w:tr>
      <w:tr w14:paraId="6B0AA0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C94531">
            <w:pPr>
              <w:pStyle w:val="4"/>
              <w:jc w:val="center"/>
            </w:pPr>
            <w:r>
              <w:rPr>
                <w:rFonts w:ascii="仿宋_GB2312" w:hAnsi="仿宋_GB2312" w:eastAsia="仿宋_GB2312" w:cs="仿宋_GB2312"/>
                <w:sz w:val="19"/>
              </w:rPr>
              <w:t>2</w:t>
            </w:r>
          </w:p>
        </w:tc>
        <w:tc>
          <w:tcPr>
            <w:tcW w:w="185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6A1012">
            <w:pPr>
              <w:pStyle w:val="4"/>
              <w:jc w:val="center"/>
            </w:pPr>
            <w:r>
              <w:rPr>
                <w:rFonts w:ascii="仿宋_GB2312" w:hAnsi="仿宋_GB2312" w:eastAsia="仿宋_GB2312" w:cs="仿宋_GB2312"/>
                <w:sz w:val="19"/>
              </w:rPr>
              <w:t>财务审账管理平台</w:t>
            </w:r>
          </w:p>
        </w:tc>
        <w:tc>
          <w:tcPr>
            <w:tcW w:w="11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A9E2D5">
            <w:pPr>
              <w:pStyle w:val="4"/>
              <w:jc w:val="center"/>
            </w:pPr>
            <w:r>
              <w:rPr>
                <w:rFonts w:ascii="仿宋_GB2312" w:hAnsi="仿宋_GB2312" w:eastAsia="仿宋_GB2312" w:cs="仿宋_GB2312"/>
                <w:sz w:val="21"/>
              </w:rPr>
              <w:t>1套</w:t>
            </w:r>
          </w:p>
        </w:tc>
        <w:tc>
          <w:tcPr>
            <w:tcW w:w="11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5862CE">
            <w:pPr>
              <w:pStyle w:val="4"/>
              <w:jc w:val="both"/>
            </w:pPr>
          </w:p>
        </w:tc>
      </w:tr>
      <w:tr w14:paraId="001FD9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A3ECFB">
            <w:pPr>
              <w:pStyle w:val="4"/>
              <w:jc w:val="center"/>
            </w:pPr>
            <w:r>
              <w:rPr>
                <w:rFonts w:ascii="仿宋_GB2312" w:hAnsi="仿宋_GB2312" w:eastAsia="仿宋_GB2312" w:cs="仿宋_GB2312"/>
                <w:sz w:val="19"/>
              </w:rPr>
              <w:t>3</w:t>
            </w:r>
          </w:p>
        </w:tc>
        <w:tc>
          <w:tcPr>
            <w:tcW w:w="185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D7F885">
            <w:pPr>
              <w:pStyle w:val="4"/>
              <w:jc w:val="center"/>
            </w:pPr>
            <w:r>
              <w:rPr>
                <w:rFonts w:ascii="仿宋_GB2312" w:hAnsi="仿宋_GB2312" w:eastAsia="仿宋_GB2312" w:cs="仿宋_GB2312"/>
                <w:sz w:val="19"/>
              </w:rPr>
              <w:t>智能财税真账实战平台</w:t>
            </w:r>
          </w:p>
        </w:tc>
        <w:tc>
          <w:tcPr>
            <w:tcW w:w="11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60B6A5">
            <w:pPr>
              <w:pStyle w:val="4"/>
              <w:jc w:val="center"/>
            </w:pPr>
            <w:r>
              <w:rPr>
                <w:rFonts w:ascii="仿宋_GB2312" w:hAnsi="仿宋_GB2312" w:eastAsia="仿宋_GB2312" w:cs="仿宋_GB2312"/>
                <w:sz w:val="21"/>
              </w:rPr>
              <w:t>1套</w:t>
            </w:r>
          </w:p>
        </w:tc>
        <w:tc>
          <w:tcPr>
            <w:tcW w:w="119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8D168D">
            <w:pPr>
              <w:pStyle w:val="4"/>
              <w:jc w:val="center"/>
            </w:pPr>
            <w:r>
              <w:rPr>
                <w:rFonts w:ascii="仿宋_GB2312" w:hAnsi="仿宋_GB2312" w:eastAsia="仿宋_GB2312" w:cs="仿宋_GB2312"/>
                <w:sz w:val="19"/>
              </w:rPr>
              <w:t>核心产品</w:t>
            </w:r>
          </w:p>
        </w:tc>
      </w:tr>
    </w:tbl>
    <w:p w14:paraId="77D2F5B6">
      <w:pPr>
        <w:pStyle w:val="4"/>
      </w:pPr>
      <w:r>
        <w:rPr>
          <w:rFonts w:ascii="仿宋_GB2312" w:hAnsi="仿宋_GB2312" w:eastAsia="仿宋_GB2312" w:cs="仿宋_GB2312"/>
        </w:rPr>
        <w:t>二、技术参数</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47"/>
        <w:gridCol w:w="895"/>
        <w:gridCol w:w="5986"/>
        <w:gridCol w:w="473"/>
        <w:gridCol w:w="580"/>
      </w:tblGrid>
      <w:tr w14:paraId="61C83F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76BFF6">
            <w:pPr>
              <w:pStyle w:val="4"/>
              <w:jc w:val="center"/>
            </w:pPr>
            <w:r>
              <w:rPr>
                <w:rFonts w:ascii="仿宋_GB2312" w:hAnsi="仿宋_GB2312" w:eastAsia="仿宋_GB2312" w:cs="仿宋_GB2312"/>
                <w:b/>
                <w:sz w:val="21"/>
              </w:rPr>
              <w:t>序号</w:t>
            </w:r>
          </w:p>
        </w:tc>
        <w:tc>
          <w:tcPr>
            <w:tcW w:w="0" w:type="auto"/>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9A0FA2E">
            <w:pPr>
              <w:pStyle w:val="4"/>
              <w:jc w:val="center"/>
            </w:pPr>
            <w:r>
              <w:rPr>
                <w:rFonts w:ascii="仿宋_GB2312" w:hAnsi="仿宋_GB2312" w:eastAsia="仿宋_GB2312" w:cs="仿宋_GB2312"/>
                <w:b/>
                <w:sz w:val="21"/>
              </w:rPr>
              <w:t>设备（平台）名称</w:t>
            </w:r>
          </w:p>
        </w:tc>
        <w:tc>
          <w:tcPr>
            <w:tcW w:w="0" w:type="auto"/>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1062E87">
            <w:pPr>
              <w:pStyle w:val="4"/>
              <w:jc w:val="center"/>
            </w:pPr>
            <w:r>
              <w:rPr>
                <w:rFonts w:ascii="仿宋_GB2312" w:hAnsi="仿宋_GB2312" w:eastAsia="仿宋_GB2312" w:cs="仿宋_GB2312"/>
                <w:b/>
                <w:sz w:val="21"/>
              </w:rPr>
              <w:t>主要参数</w:t>
            </w:r>
            <w:bookmarkStart w:id="0" w:name="_GoBack"/>
            <w:bookmarkEnd w:id="0"/>
          </w:p>
        </w:tc>
        <w:tc>
          <w:tcPr>
            <w:tcW w:w="0" w:type="auto"/>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7A73A93">
            <w:pPr>
              <w:pStyle w:val="4"/>
              <w:jc w:val="both"/>
            </w:pPr>
            <w:r>
              <w:rPr>
                <w:rFonts w:ascii="仿宋_GB2312" w:hAnsi="仿宋_GB2312" w:eastAsia="仿宋_GB2312" w:cs="仿宋_GB2312"/>
                <w:b/>
                <w:sz w:val="21"/>
              </w:rPr>
              <w:t>单位</w:t>
            </w:r>
          </w:p>
        </w:tc>
        <w:tc>
          <w:tcPr>
            <w:tcW w:w="0" w:type="auto"/>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A35A80F">
            <w:pPr>
              <w:pStyle w:val="4"/>
              <w:jc w:val="center"/>
            </w:pPr>
            <w:r>
              <w:rPr>
                <w:rFonts w:ascii="仿宋_GB2312" w:hAnsi="仿宋_GB2312" w:eastAsia="仿宋_GB2312" w:cs="仿宋_GB2312"/>
                <w:b/>
                <w:sz w:val="21"/>
              </w:rPr>
              <w:t>数量</w:t>
            </w:r>
          </w:p>
          <w:p w14:paraId="6FDA5698">
            <w:pPr>
              <w:pStyle w:val="4"/>
              <w:jc w:val="center"/>
            </w:pPr>
            <w:r>
              <w:rPr>
                <w:rFonts w:ascii="仿宋_GB2312" w:hAnsi="仿宋_GB2312" w:eastAsia="仿宋_GB2312" w:cs="仿宋_GB2312"/>
                <w:b/>
                <w:sz w:val="21"/>
              </w:rPr>
              <w:t>(台/套)</w:t>
            </w:r>
          </w:p>
        </w:tc>
      </w:tr>
      <w:tr w14:paraId="7D25A0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356ACC">
            <w:pPr>
              <w:pStyle w:val="4"/>
              <w:jc w:val="center"/>
            </w:pPr>
            <w:r>
              <w:rPr>
                <w:rFonts w:ascii="仿宋_GB2312" w:hAnsi="仿宋_GB2312" w:eastAsia="仿宋_GB2312" w:cs="仿宋_GB2312"/>
                <w:sz w:val="21"/>
              </w:rPr>
              <w:t>1</w:t>
            </w:r>
          </w:p>
        </w:tc>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CB983C">
            <w:pPr>
              <w:pStyle w:val="4"/>
              <w:jc w:val="center"/>
            </w:pPr>
            <w:r>
              <w:rPr>
                <w:rFonts w:ascii="仿宋_GB2312" w:hAnsi="仿宋_GB2312" w:eastAsia="仿宋_GB2312" w:cs="仿宋_GB2312"/>
                <w:sz w:val="21"/>
              </w:rPr>
              <w:t>动态真账财务共享实训平台</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82BDFD">
            <w:pPr>
              <w:pStyle w:val="4"/>
              <w:jc w:val="both"/>
            </w:pPr>
            <w:r>
              <w:rPr>
                <w:rFonts w:ascii="仿宋_GB2312" w:hAnsi="仿宋_GB2312" w:eastAsia="仿宋_GB2312" w:cs="仿宋_GB2312"/>
                <w:b/>
                <w:sz w:val="21"/>
              </w:rPr>
              <w:t>真账全流程实践平台</w:t>
            </w:r>
          </w:p>
          <w:p w14:paraId="4278C3A7">
            <w:pPr>
              <w:pStyle w:val="4"/>
              <w:ind w:left="435"/>
              <w:jc w:val="both"/>
            </w:pPr>
            <w:r>
              <w:rPr>
                <w:rFonts w:ascii="仿宋_GB2312" w:hAnsi="仿宋_GB2312" w:eastAsia="仿宋_GB2312" w:cs="仿宋_GB2312"/>
                <w:sz w:val="21"/>
              </w:rPr>
              <w:t>一、功能</w:t>
            </w:r>
          </w:p>
          <w:p w14:paraId="15017517">
            <w:pPr>
              <w:pStyle w:val="4"/>
              <w:jc w:val="both"/>
            </w:pPr>
            <w:r>
              <w:rPr>
                <w:rFonts w:ascii="仿宋_GB2312" w:hAnsi="仿宋_GB2312" w:eastAsia="仿宋_GB2312" w:cs="仿宋_GB2312"/>
                <w:sz w:val="21"/>
              </w:rPr>
              <w:t>支撑学生对平台内置的企业历史脱敏数据完成从票据处理、会计核算到纳税申报、财税合规分析评价的财税业务操作，为学生进行企业动态真账的财税处理做好准备。</w:t>
            </w:r>
            <w:r>
              <w:rPr>
                <w:rFonts w:ascii="仿宋_GB2312" w:hAnsi="仿宋_GB2312" w:eastAsia="仿宋_GB2312" w:cs="仿宋_GB2312"/>
                <w:b/>
                <w:sz w:val="21"/>
              </w:rPr>
              <w:t>平台须满足本地化部署。</w:t>
            </w:r>
          </w:p>
          <w:p w14:paraId="39589A93">
            <w:pPr>
              <w:pStyle w:val="4"/>
              <w:ind w:left="435"/>
              <w:jc w:val="both"/>
            </w:pPr>
            <w:r>
              <w:rPr>
                <w:rFonts w:ascii="仿宋_GB2312" w:hAnsi="仿宋_GB2312" w:eastAsia="仿宋_GB2312" w:cs="仿宋_GB2312"/>
                <w:sz w:val="21"/>
              </w:rPr>
              <w:t>二、参数</w:t>
            </w:r>
          </w:p>
          <w:p w14:paraId="3D03F69E">
            <w:pPr>
              <w:pStyle w:val="4"/>
              <w:jc w:val="both"/>
            </w:pPr>
            <w:r>
              <w:rPr>
                <w:rFonts w:ascii="仿宋_GB2312" w:hAnsi="仿宋_GB2312" w:eastAsia="仿宋_GB2312" w:cs="仿宋_GB2312"/>
                <w:sz w:val="21"/>
              </w:rPr>
              <w:t>1.平台首页包括课程导入、我的班级、成绩分析三个模块；其中课程导入实现查看课程简介、课程目标、课程重点、课程难点、课程考核等；我的班级实现查看班级所有成员及班级公告和系统公告；成绩分析实现展示课程总分、班级排名及班级成绩分布图。</w:t>
            </w:r>
          </w:p>
          <w:p w14:paraId="55DCC81C">
            <w:pPr>
              <w:pStyle w:val="4"/>
              <w:jc w:val="both"/>
            </w:pPr>
            <w:r>
              <w:rPr>
                <w:rFonts w:ascii="仿宋_GB2312" w:hAnsi="仿宋_GB2312" w:eastAsia="仿宋_GB2312" w:cs="仿宋_GB2312"/>
                <w:sz w:val="21"/>
              </w:rPr>
              <w:t>2.学生账号实现根据角色，通过系统设置查看平台各个模块及功能使用权限，如客户模块、账务模块、税务模块、档案模块等</w:t>
            </w:r>
          </w:p>
          <w:p w14:paraId="632F239A">
            <w:pPr>
              <w:pStyle w:val="4"/>
              <w:jc w:val="both"/>
            </w:pPr>
            <w:r>
              <w:rPr>
                <w:rFonts w:ascii="仿宋_GB2312" w:hAnsi="仿宋_GB2312" w:eastAsia="仿宋_GB2312" w:cs="仿宋_GB2312"/>
                <w:sz w:val="21"/>
              </w:rPr>
              <w:t>3.实训系统首页实现查看理票进度、记账进度、申报进度、缴款进度等，并显示各类业务进度的实时变化情况。</w:t>
            </w:r>
          </w:p>
          <w:p w14:paraId="0DD367B8">
            <w:pPr>
              <w:pStyle w:val="4"/>
              <w:jc w:val="both"/>
            </w:pPr>
            <w:r>
              <w:rPr>
                <w:rFonts w:ascii="仿宋_GB2312" w:hAnsi="仿宋_GB2312" w:eastAsia="仿宋_GB2312" w:cs="仿宋_GB2312"/>
                <w:sz w:val="21"/>
              </w:rPr>
              <w:t>4.客户模块实现对客户信息进行维护，自主修改客户信息，信息修改后，系统无感自动保存；客户资料中实现自主添加客户联系人信息，包括姓名、职位、手机、邮件、客户生日等，实现选择客户信息是否公开及删除，信息修改后，系统无感自动保存等。</w:t>
            </w:r>
          </w:p>
          <w:p w14:paraId="1974457B">
            <w:pPr>
              <w:pStyle w:val="4"/>
              <w:jc w:val="both"/>
            </w:pPr>
            <w:r>
              <w:rPr>
                <w:rFonts w:ascii="仿宋_GB2312" w:hAnsi="仿宋_GB2312" w:eastAsia="仿宋_GB2312" w:cs="仿宋_GB2312"/>
                <w:sz w:val="21"/>
              </w:rPr>
              <w:t>5.客户资料实现云盘功能，在云盘中自主新建文件夹，自主上传文件，对财税资料进行分类整理保存；新建的文件夹可以进行重命名、删除、分享等；上传的文件支持重命名、移动、删除、下载等。</w:t>
            </w:r>
          </w:p>
          <w:p w14:paraId="71FB8FAE">
            <w:pPr>
              <w:pStyle w:val="4"/>
              <w:jc w:val="both"/>
            </w:pPr>
            <w:r>
              <w:rPr>
                <w:rFonts w:ascii="仿宋_GB2312" w:hAnsi="仿宋_GB2312" w:eastAsia="仿宋_GB2312" w:cs="仿宋_GB2312"/>
                <w:sz w:val="21"/>
              </w:rPr>
              <w:t>6.财务模块基础设置实现新建科目模版，系统支持多种会计制度科目模版的设置功能。</w:t>
            </w:r>
          </w:p>
          <w:p w14:paraId="120A5C25">
            <w:pPr>
              <w:pStyle w:val="4"/>
              <w:jc w:val="both"/>
            </w:pPr>
            <w:r>
              <w:rPr>
                <w:rFonts w:ascii="仿宋_GB2312" w:hAnsi="仿宋_GB2312" w:eastAsia="仿宋_GB2312" w:cs="仿宋_GB2312"/>
                <w:sz w:val="21"/>
              </w:rPr>
              <w:t>▲7.财务模块基础设置实现查看系统智能审账规则，包括业务操作规范检查、三大报表检查、出纳对账、资产对账、库存对账、重点科目期末余额方向、重点科目期末余额限值、报表数据、往来款项长期挂账、其他往来款配比、一般纳税人认定监控（仅针对小规模纳税人）、重点费用科目监控、费用发生和纳税调整（年度累计）、暂估成本监控、税负率、纳税评估类指标等，涉及的风险扫描指标≥40个。</w:t>
            </w:r>
          </w:p>
          <w:p w14:paraId="32CC29B7">
            <w:pPr>
              <w:pStyle w:val="4"/>
              <w:jc w:val="both"/>
            </w:pPr>
            <w:r>
              <w:rPr>
                <w:rFonts w:ascii="仿宋_GB2312" w:hAnsi="仿宋_GB2312" w:eastAsia="仿宋_GB2312" w:cs="仿宋_GB2312"/>
                <w:sz w:val="21"/>
              </w:rPr>
              <w:t>8.实现通过财务模块查看负责的账套数量（包括一般纳税人和小规模纳税人）、记账进度（包括未建账、未结账、未结账-未开始、未结账-进行中、已结账等）、凭证数（包括按制单月统计、按会计期统计等）、审账进度（包括未建账、未提交、待审账、审账通过、审账不通过等），且记账进度数据以EXCEL格式导出。</w:t>
            </w:r>
          </w:p>
          <w:p w14:paraId="20C06CBD">
            <w:pPr>
              <w:pStyle w:val="4"/>
              <w:jc w:val="both"/>
            </w:pPr>
            <w:r>
              <w:rPr>
                <w:rFonts w:ascii="仿宋_GB2312" w:hAnsi="仿宋_GB2312" w:eastAsia="仿宋_GB2312" w:cs="仿宋_GB2312"/>
                <w:sz w:val="21"/>
              </w:rPr>
              <w:t>9.记账系统实现从首页直接进入，从财务模块中的账务处理的记账入口进入。</w:t>
            </w:r>
          </w:p>
          <w:p w14:paraId="4C69B5DD">
            <w:pPr>
              <w:pStyle w:val="4"/>
              <w:jc w:val="both"/>
            </w:pPr>
            <w:r>
              <w:rPr>
                <w:rFonts w:ascii="仿宋_GB2312" w:hAnsi="仿宋_GB2312" w:eastAsia="仿宋_GB2312" w:cs="仿宋_GB2312"/>
                <w:sz w:val="21"/>
              </w:rPr>
              <w:t>10.记账基础信息设置包括账套设置、科目与期初、辅助设置等，科目与期初数据设置支持科目辅助核算选择、计量单位填写及资产、负债、权益、成本、损益的期初数据的设置。</w:t>
            </w:r>
          </w:p>
          <w:p w14:paraId="1C4B3ADD">
            <w:pPr>
              <w:pStyle w:val="4"/>
              <w:jc w:val="both"/>
            </w:pPr>
            <w:r>
              <w:rPr>
                <w:rFonts w:ascii="仿宋_GB2312" w:hAnsi="仿宋_GB2312" w:eastAsia="仿宋_GB2312" w:cs="仿宋_GB2312"/>
                <w:sz w:val="21"/>
              </w:rPr>
              <w:t>11.记账功能实现票据、凭证、出纳、结账、账簿、报表、资产、库存等功能。</w:t>
            </w:r>
            <w:r>
              <w:rPr>
                <w:rFonts w:ascii="仿宋_GB2312" w:hAnsi="仿宋_GB2312" w:eastAsia="仿宋_GB2312" w:cs="仿宋_GB2312"/>
                <w:b/>
                <w:sz w:val="21"/>
              </w:rPr>
              <w:t>（需演示）</w:t>
            </w:r>
          </w:p>
          <w:p w14:paraId="56264889">
            <w:pPr>
              <w:pStyle w:val="4"/>
              <w:jc w:val="both"/>
            </w:pPr>
            <w:r>
              <w:rPr>
                <w:rFonts w:ascii="仿宋_GB2312" w:hAnsi="仿宋_GB2312" w:eastAsia="仿宋_GB2312" w:cs="仿宋_GB2312"/>
                <w:sz w:val="21"/>
              </w:rPr>
              <w:t>（1）票据管理支持对销项发票、进项发票进行录入处理，录入好的发票信息实现设置系统自动生成凭证的规则，包括发票对应生成凭证、入账科目、相同科目分类汇总、凭证附件数等；支持所有数据的导出、删除、修改等。票据管理也支持费用单据自主添加与删除，支持系统自动生成凭证的基础设置，包括入账日期、入账科目及凭证生成方式的组合设置等。</w:t>
            </w:r>
          </w:p>
          <w:p w14:paraId="7287D218">
            <w:pPr>
              <w:pStyle w:val="4"/>
              <w:jc w:val="both"/>
            </w:pPr>
            <w:r>
              <w:rPr>
                <w:rFonts w:ascii="仿宋_GB2312" w:hAnsi="仿宋_GB2312" w:eastAsia="仿宋_GB2312" w:cs="仿宋_GB2312"/>
                <w:sz w:val="21"/>
              </w:rPr>
              <w:t>（2）凭证管理支持录凭证、查凭证、凭证模版设置、凭证汇总表等功能；录凭证支持保存、复制、清空、打印等功能；查凭证支持凭证查询、删除、审核和反审核、以及EXCEL数据导出等功能。</w:t>
            </w:r>
          </w:p>
          <w:p w14:paraId="7FF12AAC">
            <w:pPr>
              <w:pStyle w:val="4"/>
              <w:jc w:val="both"/>
            </w:pPr>
            <w:r>
              <w:rPr>
                <w:rFonts w:ascii="仿宋_GB2312" w:hAnsi="仿宋_GB2312" w:eastAsia="仿宋_GB2312" w:cs="仿宋_GB2312"/>
                <w:sz w:val="21"/>
              </w:rPr>
              <w:t>（3）出纳管理支持日记账、出纳对账、资金报表、账户和期初设置等功能；日记账支持收付款凭据的录入、删除、导出等。</w:t>
            </w:r>
          </w:p>
          <w:p w14:paraId="0A10064C">
            <w:pPr>
              <w:pStyle w:val="4"/>
              <w:jc w:val="both"/>
            </w:pPr>
            <w:r>
              <w:rPr>
                <w:rFonts w:ascii="仿宋_GB2312" w:hAnsi="仿宋_GB2312" w:eastAsia="仿宋_GB2312" w:cs="仿宋_GB2312"/>
                <w:sz w:val="21"/>
              </w:rPr>
              <w:t>（4）结账管理支持期末结账和结账检查两大功能。期末结转内容包括生产领料、结转制造费用、结转产成品成本、结转销售成本、计提工资、计提折旧/摊销、结转研发支出、结转损益等，系统实现自动进行结账试算，试算平衡后，一键结转等；结账前支持风险检查，结账风险检查指标可以进行自定义指标配置，如科目检查、报表分析检查、往来分析检查等，以实现规避财税风险目的。</w:t>
            </w:r>
          </w:p>
          <w:p w14:paraId="7DA50C82">
            <w:pPr>
              <w:pStyle w:val="4"/>
              <w:jc w:val="both"/>
            </w:pPr>
            <w:r>
              <w:rPr>
                <w:rFonts w:ascii="仿宋_GB2312" w:hAnsi="仿宋_GB2312" w:eastAsia="仿宋_GB2312" w:cs="仿宋_GB2312"/>
                <w:sz w:val="21"/>
              </w:rPr>
              <w:t>（5）账簿管理支持科目余额表、总账、明细账、凭证序时簿、多栏账、辅助核算余额表、辅助核算明细账、商品毛利明细表等的查看与数据导出。</w:t>
            </w:r>
          </w:p>
          <w:p w14:paraId="7AF78AA0">
            <w:pPr>
              <w:pStyle w:val="4"/>
              <w:jc w:val="both"/>
            </w:pPr>
            <w:r>
              <w:rPr>
                <w:rFonts w:ascii="仿宋_GB2312" w:hAnsi="仿宋_GB2312" w:eastAsia="仿宋_GB2312" w:cs="仿宋_GB2312"/>
                <w:sz w:val="21"/>
              </w:rPr>
              <w:t>（6）报表管理支持资产负债表、利润表、现金流量表等报表的生成与数据导出。</w:t>
            </w:r>
          </w:p>
          <w:p w14:paraId="54EBBE7B">
            <w:pPr>
              <w:pStyle w:val="4"/>
              <w:jc w:val="both"/>
            </w:pPr>
            <w:r>
              <w:rPr>
                <w:rFonts w:ascii="仿宋_GB2312" w:hAnsi="仿宋_GB2312" w:eastAsia="仿宋_GB2312" w:cs="仿宋_GB2312"/>
                <w:sz w:val="21"/>
              </w:rPr>
              <w:t>（7）资产管理支持资产卡片的录入和资产折旧（摊销），支持资产记账、折旧（摊销）明细表、折旧（摊销）汇总表、资产明细账等查看管理；其中资产卡片支持基本信息采集、折旧信息采集、核算信息采集。</w:t>
            </w:r>
          </w:p>
          <w:p w14:paraId="68A72A51">
            <w:pPr>
              <w:pStyle w:val="4"/>
              <w:jc w:val="both"/>
            </w:pPr>
            <w:r>
              <w:rPr>
                <w:rFonts w:ascii="仿宋_GB2312" w:hAnsi="仿宋_GB2312" w:eastAsia="仿宋_GB2312" w:cs="仿宋_GB2312"/>
                <w:sz w:val="21"/>
              </w:rPr>
              <w:t>（8）库存管理实现对产品、材料、周转材料进行入库单、出库单录入管理等。</w:t>
            </w:r>
          </w:p>
          <w:p w14:paraId="1A5C9FC5">
            <w:pPr>
              <w:pStyle w:val="4"/>
              <w:jc w:val="both"/>
            </w:pPr>
            <w:r>
              <w:rPr>
                <w:rFonts w:ascii="仿宋_GB2312" w:hAnsi="仿宋_GB2312" w:eastAsia="仿宋_GB2312" w:cs="仿宋_GB2312"/>
                <w:sz w:val="21"/>
              </w:rPr>
              <w:t>12.报税模块支持税费种类管理、基础设置、发票采集、申报清册等功能。其中发票采集支持进销项发票数据录入；申报清册支持增值税、企业所得税、消费税、财行税等税种的申报表填写。</w:t>
            </w:r>
          </w:p>
          <w:p w14:paraId="3BD0A606">
            <w:pPr>
              <w:pStyle w:val="4"/>
              <w:jc w:val="both"/>
            </w:pPr>
            <w:r>
              <w:rPr>
                <w:rFonts w:ascii="仿宋_GB2312" w:hAnsi="仿宋_GB2312" w:eastAsia="仿宋_GB2312" w:cs="仿宋_GB2312"/>
                <w:sz w:val="21"/>
              </w:rPr>
              <w:t>★13.智能财税真账实战平台数据后期由供应商负责进行脱敏处理并内置到真账全流程实践平台。</w:t>
            </w:r>
          </w:p>
          <w:p w14:paraId="496C1ECE">
            <w:pPr>
              <w:pStyle w:val="4"/>
              <w:jc w:val="both"/>
            </w:pPr>
            <w:r>
              <w:rPr>
                <w:rFonts w:ascii="仿宋_GB2312" w:hAnsi="仿宋_GB2312" w:eastAsia="仿宋_GB2312" w:cs="仿宋_GB2312"/>
                <w:sz w:val="21"/>
              </w:rPr>
              <w:t>14.平台需配置24小时在线智能软件咨询，并实时显示当前咨询时间；客服根据学生的问题实时给出解决方案及详细解决步骤图示或视频操作，视频操作指南支持下载。</w:t>
            </w:r>
          </w:p>
          <w:p w14:paraId="51A550FF">
            <w:pPr>
              <w:pStyle w:val="4"/>
              <w:jc w:val="both"/>
            </w:pPr>
            <w:r>
              <w:rPr>
                <w:rFonts w:ascii="仿宋_GB2312" w:hAnsi="仿宋_GB2312" w:eastAsia="仿宋_GB2312" w:cs="仿宋_GB2312"/>
                <w:sz w:val="21"/>
              </w:rPr>
              <w:t>三、配套要求</w:t>
            </w:r>
          </w:p>
          <w:p w14:paraId="408B3657">
            <w:pPr>
              <w:pStyle w:val="4"/>
              <w:jc w:val="both"/>
            </w:pPr>
            <w:r>
              <w:rPr>
                <w:rFonts w:ascii="仿宋_GB2312" w:hAnsi="仿宋_GB2312" w:eastAsia="仿宋_GB2312" w:cs="仿宋_GB2312"/>
                <w:sz w:val="21"/>
              </w:rPr>
              <w:t>1.满足1名教师及50名学生同时实训需要的终端</w:t>
            </w:r>
          </w:p>
          <w:p w14:paraId="6683EC42">
            <w:pPr>
              <w:pStyle w:val="4"/>
              <w:jc w:val="both"/>
            </w:pPr>
            <w:r>
              <w:rPr>
                <w:rFonts w:ascii="仿宋_GB2312" w:hAnsi="仿宋_GB2312" w:eastAsia="仿宋_GB2312" w:cs="仿宋_GB2312"/>
                <w:sz w:val="21"/>
              </w:rPr>
              <w:t>（1）学生终端（50台）</w:t>
            </w:r>
          </w:p>
          <w:p w14:paraId="7BDF6797">
            <w:pPr>
              <w:pStyle w:val="4"/>
              <w:ind w:firstLine="210"/>
              <w:jc w:val="both"/>
            </w:pPr>
            <w:r>
              <w:rPr>
                <w:rFonts w:ascii="仿宋_GB2312" w:hAnsi="仿宋_GB2312" w:eastAsia="仿宋_GB2312" w:cs="仿宋_GB2312"/>
                <w:sz w:val="21"/>
              </w:rPr>
              <w:t>CPU核心数≥10核；CPU线程数≥16线程；CPU频率≥1.8GHz；内存频率≥2400MHz；内存总容量≥16G；固态硬盘容量≥512G；显示器尺寸≥23.8英寸；集成显卡；集成显卡基础频率：300MHz；集成显卡最大动态频率：1.55GHz；预装同传/还原系统；预装正版Windows 11 专业版操作系统，部署真账全流程实践平台客户端；有线鼠标键盘1套，接口要求为USB；电源≥300w。</w:t>
            </w:r>
          </w:p>
          <w:p w14:paraId="7AB20CD4">
            <w:pPr>
              <w:pStyle w:val="4"/>
              <w:numPr>
                <w:ilvl w:val="0"/>
                <w:numId w:val="1"/>
              </w:numPr>
              <w:jc w:val="both"/>
            </w:pPr>
            <w:r>
              <w:rPr>
                <w:rFonts w:ascii="仿宋_GB2312" w:hAnsi="仿宋_GB2312" w:eastAsia="仿宋_GB2312" w:cs="仿宋_GB2312"/>
                <w:sz w:val="21"/>
              </w:rPr>
              <w:t>教师终端（1台）：</w:t>
            </w:r>
          </w:p>
          <w:p w14:paraId="647F6DAD">
            <w:pPr>
              <w:pStyle w:val="4"/>
              <w:ind w:firstLine="210"/>
              <w:jc w:val="both"/>
            </w:pPr>
            <w:r>
              <w:rPr>
                <w:rFonts w:ascii="仿宋_GB2312" w:hAnsi="仿宋_GB2312" w:eastAsia="仿宋_GB2312" w:cs="仿宋_GB2312"/>
                <w:sz w:val="21"/>
              </w:rPr>
              <w:t>CPU核心数≥20核；CPU线程数≥28线程；CPU频率≥1.5GHz；内存频率≥2400MHz；内存总容量≥16G；固态硬盘容量≥1T；机械硬盘容量≥2T；显示器尺寸≥23.8英寸；集成显卡；集成显卡基础频率：300MHz；集成显卡最大动态频率：1.6GHz；预装同传/还原系统；预装正版Windows 11 专业版操作系统，部署真账全流程实践平台管理端；有线鼠标键盘1套，接口要求为USB；电源≥500w。</w:t>
            </w:r>
          </w:p>
          <w:p w14:paraId="3064E545">
            <w:pPr>
              <w:pStyle w:val="4"/>
              <w:jc w:val="both"/>
            </w:pPr>
            <w:r>
              <w:rPr>
                <w:rFonts w:ascii="仿宋_GB2312" w:hAnsi="仿宋_GB2312" w:eastAsia="仿宋_GB2312" w:cs="仿宋_GB2312"/>
                <w:sz w:val="21"/>
              </w:rPr>
              <w:t>2.满足实训联网需求的设备</w:t>
            </w:r>
          </w:p>
          <w:p w14:paraId="5B94DBEC">
            <w:pPr>
              <w:pStyle w:val="4"/>
              <w:jc w:val="both"/>
            </w:pPr>
            <w:r>
              <w:rPr>
                <w:rFonts w:ascii="仿宋_GB2312" w:hAnsi="仿宋_GB2312" w:eastAsia="仿宋_GB2312" w:cs="仿宋_GB2312"/>
                <w:sz w:val="21"/>
              </w:rPr>
              <w:t>（1）路由器（1台）：</w:t>
            </w:r>
          </w:p>
          <w:p w14:paraId="5E220CAC">
            <w:pPr>
              <w:pStyle w:val="4"/>
              <w:ind w:firstLine="210"/>
              <w:jc w:val="both"/>
            </w:pPr>
            <w:r>
              <w:rPr>
                <w:rFonts w:ascii="仿宋_GB2312" w:hAnsi="仿宋_GB2312" w:eastAsia="仿宋_GB2312" w:cs="仿宋_GB2312"/>
                <w:sz w:val="21"/>
              </w:rPr>
              <w:t>无线标准：IEEE 802.11a/b/g/n/ac/ax（WiFi6）；工作频段：2.4GHz，5GHz，无线速率：≥5400 Mbps；功能：支持防火墙出入站策略，支持≥16个VLAN，支持AC功能，支持上网行为管理功能，支持QoS，支持流量监控。</w:t>
            </w:r>
          </w:p>
          <w:p w14:paraId="384394BE">
            <w:pPr>
              <w:pStyle w:val="4"/>
              <w:jc w:val="both"/>
            </w:pPr>
            <w:r>
              <w:rPr>
                <w:rFonts w:ascii="仿宋_GB2312" w:hAnsi="仿宋_GB2312" w:eastAsia="仿宋_GB2312" w:cs="仿宋_GB2312"/>
                <w:sz w:val="21"/>
              </w:rPr>
              <w:t>（2）48口交换机（1台）：</w:t>
            </w:r>
          </w:p>
          <w:p w14:paraId="6433950D">
            <w:pPr>
              <w:pStyle w:val="4"/>
              <w:ind w:firstLine="210"/>
              <w:jc w:val="both"/>
            </w:pPr>
            <w:r>
              <w:rPr>
                <w:rFonts w:ascii="仿宋_GB2312" w:hAnsi="仿宋_GB2312" w:eastAsia="仿宋_GB2312" w:cs="仿宋_GB2312"/>
                <w:sz w:val="21"/>
              </w:rPr>
              <w:t>不低于以下参数要求：</w:t>
            </w:r>
          </w:p>
          <w:p w14:paraId="685EA47E">
            <w:pPr>
              <w:pStyle w:val="4"/>
              <w:ind w:firstLine="210"/>
              <w:jc w:val="both"/>
            </w:pPr>
            <w:r>
              <w:rPr>
                <w:rFonts w:ascii="仿宋_GB2312" w:hAnsi="仿宋_GB2312" w:eastAsia="仿宋_GB2312" w:cs="仿宋_GB2312"/>
                <w:sz w:val="21"/>
              </w:rPr>
              <w:t>交换容量：≥500Gbps；包转发率：≥140Mpps；管理端口：1个Console口；固定端口：48*10/100/1000Base-T以太网端口，4*1000 Base-X SFP光口；功能：支持端口聚合；支持VLAN；支持静态路由；支持Web网关。</w:t>
            </w:r>
          </w:p>
          <w:p w14:paraId="0A566B93">
            <w:pPr>
              <w:pStyle w:val="4"/>
              <w:jc w:val="both"/>
            </w:pPr>
            <w:r>
              <w:rPr>
                <w:rFonts w:ascii="仿宋_GB2312" w:hAnsi="仿宋_GB2312" w:eastAsia="仿宋_GB2312" w:cs="仿宋_GB2312"/>
                <w:sz w:val="21"/>
              </w:rPr>
              <w:t>（3）24口交换机（1台）：</w:t>
            </w:r>
          </w:p>
          <w:p w14:paraId="30A587CD">
            <w:pPr>
              <w:pStyle w:val="4"/>
              <w:ind w:firstLine="210"/>
              <w:jc w:val="both"/>
            </w:pPr>
            <w:r>
              <w:rPr>
                <w:rFonts w:ascii="仿宋_GB2312" w:hAnsi="仿宋_GB2312" w:eastAsia="仿宋_GB2312" w:cs="仿宋_GB2312"/>
                <w:sz w:val="21"/>
              </w:rPr>
              <w:t>不低于以下参数要求：</w:t>
            </w:r>
          </w:p>
          <w:p w14:paraId="4E360253">
            <w:pPr>
              <w:pStyle w:val="4"/>
              <w:ind w:firstLine="210"/>
              <w:jc w:val="both"/>
            </w:pPr>
            <w:r>
              <w:rPr>
                <w:rFonts w:ascii="仿宋_GB2312" w:hAnsi="仿宋_GB2312" w:eastAsia="仿宋_GB2312" w:cs="仿宋_GB2312"/>
                <w:sz w:val="21"/>
              </w:rPr>
              <w:t>交换容量：≥500Gbps，包转发率：≥100Mpps，管理端口：1个Console口，固定端口：24*10/100/1000Base-T以太网端口，4*1000 Base-X SFP光口，功能：支持端口聚合，支持VLAN，支持静态路由，支持Web网关。</w:t>
            </w:r>
          </w:p>
          <w:p w14:paraId="58D9FC2F">
            <w:pPr>
              <w:pStyle w:val="4"/>
              <w:jc w:val="both"/>
            </w:pPr>
            <w:r>
              <w:rPr>
                <w:rFonts w:ascii="仿宋_GB2312" w:hAnsi="仿宋_GB2312" w:eastAsia="仿宋_GB2312" w:cs="仿宋_GB2312"/>
                <w:sz w:val="21"/>
              </w:rPr>
              <w:t>（4）交换机机柜（1个）：</w:t>
            </w:r>
          </w:p>
          <w:p w14:paraId="6057DBF1">
            <w:pPr>
              <w:pStyle w:val="4"/>
              <w:ind w:firstLine="210"/>
              <w:jc w:val="both"/>
            </w:pPr>
            <w:r>
              <w:rPr>
                <w:rFonts w:ascii="仿宋_GB2312" w:hAnsi="仿宋_GB2312" w:eastAsia="仿宋_GB2312" w:cs="仿宋_GB2312"/>
                <w:sz w:val="21"/>
              </w:rPr>
              <w:t>容量：22U；材料及工艺：加厚冷轧钢材；尺寸：1200*600*600mm，≥8位PDU电源。</w:t>
            </w:r>
          </w:p>
          <w:p w14:paraId="7CC51660">
            <w:pPr>
              <w:pStyle w:val="4"/>
              <w:jc w:val="both"/>
            </w:pPr>
            <w:r>
              <w:rPr>
                <w:rFonts w:ascii="仿宋_GB2312" w:hAnsi="仿宋_GB2312" w:eastAsia="仿宋_GB2312" w:cs="仿宋_GB2312"/>
                <w:sz w:val="21"/>
              </w:rPr>
              <w:t>3.智慧黑板、电子教室</w:t>
            </w:r>
          </w:p>
          <w:p w14:paraId="0603A9B9">
            <w:pPr>
              <w:pStyle w:val="4"/>
              <w:jc w:val="both"/>
            </w:pPr>
            <w:r>
              <w:rPr>
                <w:rFonts w:ascii="仿宋_GB2312" w:hAnsi="仿宋_GB2312" w:eastAsia="仿宋_GB2312" w:cs="仿宋_GB2312"/>
                <w:sz w:val="21"/>
              </w:rPr>
              <w:t>（1）智慧黑板（1套）</w:t>
            </w:r>
          </w:p>
          <w:p w14:paraId="76FA303D">
            <w:pPr>
              <w:pStyle w:val="4"/>
              <w:ind w:firstLine="210"/>
              <w:jc w:val="both"/>
            </w:pPr>
            <w:r>
              <w:rPr>
                <w:rFonts w:ascii="仿宋_GB2312" w:hAnsi="仿宋_GB2312" w:eastAsia="仿宋_GB2312" w:cs="仿宋_GB2312"/>
                <w:sz w:val="21"/>
              </w:rPr>
              <w:t>分辨率：≥4K；产品尺寸：≥86英寸；操作系统：双操作系统，支持Windows和Android；内存：Android≥4G/Windows≥8G*2；硬盘：Android≥8G/Windows≥256G SSD；支持手写触摸；非转接前置物理接口：HDMI≥1、双通道USB3.0≥2、Type-C≥1；带黑板功能、带音响；配笔，投屏器。</w:t>
            </w:r>
          </w:p>
          <w:p w14:paraId="5B5CB8E1">
            <w:pPr>
              <w:pStyle w:val="4"/>
              <w:jc w:val="both"/>
            </w:pPr>
            <w:r>
              <w:rPr>
                <w:rFonts w:ascii="仿宋_GB2312" w:hAnsi="仿宋_GB2312" w:eastAsia="仿宋_GB2312" w:cs="仿宋_GB2312"/>
                <w:sz w:val="21"/>
              </w:rPr>
              <w:t>（2）电子教室（1套）</w:t>
            </w:r>
          </w:p>
          <w:p w14:paraId="08A6A126">
            <w:pPr>
              <w:pStyle w:val="4"/>
              <w:ind w:firstLine="210"/>
              <w:jc w:val="both"/>
            </w:pPr>
            <w:r>
              <w:rPr>
                <w:rFonts w:ascii="仿宋_GB2312" w:hAnsi="仿宋_GB2312" w:eastAsia="仿宋_GB2312" w:cs="仿宋_GB2312"/>
                <w:sz w:val="21"/>
              </w:rPr>
              <w:t>同时控制≥60台电脑，包括屏幕教学演示与示范、屏幕监视、遥控辅导、黑屏肃静、屏幕录制、屏幕回放、网络考试和在线考试、试卷管理和共享、网上语音广播、两人对讲和多方讨论、联机讨论、同步文件传输、提交作业、远程命令、电子教鞭、电子黑板与白板、电子抢答、电子点名等功能。</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1459C0">
            <w:pPr>
              <w:pStyle w:val="4"/>
              <w:spacing w:before="30"/>
              <w:ind w:right="30"/>
              <w:jc w:val="center"/>
            </w:pPr>
            <w:r>
              <w:rPr>
                <w:rFonts w:ascii="仿宋_GB2312" w:hAnsi="仿宋_GB2312" w:eastAsia="仿宋_GB2312" w:cs="仿宋_GB2312"/>
                <w:sz w:val="21"/>
              </w:rPr>
              <w:t>套</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D59465">
            <w:pPr>
              <w:pStyle w:val="4"/>
              <w:spacing w:before="30"/>
              <w:ind w:right="30"/>
              <w:jc w:val="center"/>
            </w:pPr>
            <w:r>
              <w:rPr>
                <w:rFonts w:ascii="仿宋_GB2312" w:hAnsi="仿宋_GB2312" w:eastAsia="仿宋_GB2312" w:cs="仿宋_GB2312"/>
                <w:sz w:val="21"/>
              </w:rPr>
              <w:t>1</w:t>
            </w:r>
          </w:p>
        </w:tc>
      </w:tr>
      <w:tr w14:paraId="6F179E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89575ED"/>
        </w:tc>
        <w:tc>
          <w:tcPr>
            <w:tcW w:w="0" w:type="auto"/>
            <w:vMerge w:val="continue"/>
            <w:tcBorders>
              <w:top w:val="nil"/>
              <w:left w:val="single" w:color="000000" w:sz="4" w:space="0"/>
              <w:bottom w:val="single" w:color="000000" w:sz="4" w:space="0"/>
              <w:right w:val="single" w:color="000000" w:sz="4" w:space="0"/>
            </w:tcBorders>
          </w:tcPr>
          <w:p w14:paraId="03A75560"/>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BFC2F3">
            <w:pPr>
              <w:pStyle w:val="4"/>
              <w:jc w:val="both"/>
            </w:pPr>
            <w:r>
              <w:rPr>
                <w:rFonts w:ascii="仿宋_GB2312" w:hAnsi="仿宋_GB2312" w:eastAsia="仿宋_GB2312" w:cs="仿宋_GB2312"/>
                <w:b/>
                <w:sz w:val="21"/>
              </w:rPr>
              <w:t>财务审账管理平台</w:t>
            </w:r>
          </w:p>
          <w:p w14:paraId="34091EBF">
            <w:pPr>
              <w:pStyle w:val="4"/>
              <w:jc w:val="both"/>
            </w:pPr>
            <w:r>
              <w:rPr>
                <w:rFonts w:ascii="仿宋_GB2312" w:hAnsi="仿宋_GB2312" w:eastAsia="仿宋_GB2312" w:cs="仿宋_GB2312"/>
                <w:sz w:val="21"/>
              </w:rPr>
              <w:t>一、功能</w:t>
            </w:r>
          </w:p>
          <w:p w14:paraId="4275E3E5">
            <w:pPr>
              <w:pStyle w:val="4"/>
              <w:jc w:val="both"/>
            </w:pPr>
            <w:r>
              <w:rPr>
                <w:rFonts w:ascii="仿宋_GB2312" w:hAnsi="仿宋_GB2312" w:eastAsia="仿宋_GB2312" w:cs="仿宋_GB2312"/>
                <w:sz w:val="21"/>
              </w:rPr>
              <w:t>支持学生对其他人或财务机器人完成的凭证、账簿、报表等账务资料进行查阅与审核，进一步提升账务处理的准确性及合规风控水平。</w:t>
            </w:r>
            <w:r>
              <w:rPr>
                <w:rFonts w:ascii="仿宋_GB2312" w:hAnsi="仿宋_GB2312" w:eastAsia="仿宋_GB2312" w:cs="仿宋_GB2312"/>
                <w:b/>
                <w:sz w:val="21"/>
              </w:rPr>
              <w:t>平台须满足本地化部署。</w:t>
            </w:r>
          </w:p>
          <w:p w14:paraId="2E70710E">
            <w:pPr>
              <w:pStyle w:val="4"/>
              <w:jc w:val="both"/>
            </w:pPr>
            <w:r>
              <w:rPr>
                <w:rFonts w:ascii="仿宋_GB2312" w:hAnsi="仿宋_GB2312" w:eastAsia="仿宋_GB2312" w:cs="仿宋_GB2312"/>
                <w:sz w:val="21"/>
              </w:rPr>
              <w:t>二、参数</w:t>
            </w:r>
          </w:p>
          <w:p w14:paraId="2DD97A4D">
            <w:pPr>
              <w:pStyle w:val="4"/>
              <w:jc w:val="both"/>
            </w:pPr>
            <w:r>
              <w:rPr>
                <w:rFonts w:ascii="仿宋_GB2312" w:hAnsi="仿宋_GB2312" w:eastAsia="仿宋_GB2312" w:cs="仿宋_GB2312"/>
                <w:sz w:val="21"/>
              </w:rPr>
              <w:t>1.支持电脑桌面微端登录，支持SAAS网页直接登录。</w:t>
            </w:r>
          </w:p>
          <w:p w14:paraId="3E6B19E6">
            <w:pPr>
              <w:pStyle w:val="4"/>
              <w:jc w:val="both"/>
            </w:pPr>
            <w:r>
              <w:rPr>
                <w:rFonts w:ascii="仿宋_GB2312" w:hAnsi="仿宋_GB2312" w:eastAsia="仿宋_GB2312" w:cs="仿宋_GB2312"/>
                <w:sz w:val="21"/>
              </w:rPr>
              <w:t>2.审账平台首页需显示审账进度、风险等级、企业财税健康分值、平均自动记账率、全部企业列表等信息。</w:t>
            </w:r>
          </w:p>
          <w:p w14:paraId="51CC02E4">
            <w:pPr>
              <w:pStyle w:val="4"/>
              <w:jc w:val="both"/>
            </w:pPr>
            <w:r>
              <w:rPr>
                <w:rFonts w:ascii="仿宋_GB2312" w:hAnsi="仿宋_GB2312" w:eastAsia="仿宋_GB2312" w:cs="仿宋_GB2312"/>
                <w:sz w:val="21"/>
              </w:rPr>
              <w:t>3.系统需支持一键智能审账,进行企业重点风险扫描，并进行扫描结果的提示。</w:t>
            </w:r>
          </w:p>
          <w:p w14:paraId="57099D06">
            <w:pPr>
              <w:pStyle w:val="4"/>
              <w:jc w:val="both"/>
            </w:pPr>
            <w:r>
              <w:rPr>
                <w:rFonts w:ascii="仿宋_GB2312" w:hAnsi="仿宋_GB2312" w:eastAsia="仿宋_GB2312" w:cs="仿宋_GB2312"/>
                <w:sz w:val="21"/>
              </w:rPr>
              <w:t>4.企业清单列表显示客户简称、客户编号、客户标签、凭证数量、自动记账率、健康分数、重点风险扫描结果、审账进度、审账不通过次数、最后审账月等信息，学生可以点击账套，进入企业账务系统。</w:t>
            </w:r>
            <w:r>
              <w:rPr>
                <w:rFonts w:ascii="仿宋_GB2312" w:hAnsi="仿宋_GB2312" w:eastAsia="仿宋_GB2312" w:cs="仿宋_GB2312"/>
                <w:b/>
                <w:sz w:val="21"/>
              </w:rPr>
              <w:t>（需演示）</w:t>
            </w:r>
          </w:p>
          <w:p w14:paraId="3EEBA7A6">
            <w:pPr>
              <w:pStyle w:val="4"/>
              <w:jc w:val="both"/>
            </w:pPr>
            <w:r>
              <w:rPr>
                <w:rFonts w:ascii="仿宋_GB2312" w:hAnsi="仿宋_GB2312" w:eastAsia="仿宋_GB2312" w:cs="仿宋_GB2312"/>
                <w:sz w:val="21"/>
              </w:rPr>
              <w:t>5.账务系统由票据、凭证、出纳、结账、账簿、报表、薪酬等管理模块组成，学生可以看到每个模块中真实企业的数据，并根据财务规则和业务规范，进行数据的审核。</w:t>
            </w:r>
          </w:p>
          <w:p w14:paraId="6481B50D">
            <w:pPr>
              <w:pStyle w:val="4"/>
              <w:jc w:val="both"/>
            </w:pPr>
            <w:r>
              <w:rPr>
                <w:rFonts w:ascii="仿宋_GB2312" w:hAnsi="仿宋_GB2312" w:eastAsia="仿宋_GB2312" w:cs="仿宋_GB2312"/>
                <w:sz w:val="21"/>
              </w:rPr>
              <w:t>6.票据管理模块可以查看企业的销项发票和进项发票信息。发票详情页可以直接查看原始数电发票，且原始数电发票可以通过真实的发票查验平台查验真伪；系统支持所有发票数据的导出。</w:t>
            </w:r>
          </w:p>
          <w:p w14:paraId="3CC256C2">
            <w:pPr>
              <w:pStyle w:val="4"/>
              <w:jc w:val="both"/>
            </w:pPr>
            <w:r>
              <w:rPr>
                <w:rFonts w:ascii="仿宋_GB2312" w:hAnsi="仿宋_GB2312" w:eastAsia="仿宋_GB2312" w:cs="仿宋_GB2312"/>
                <w:sz w:val="21"/>
              </w:rPr>
              <w:t>7.凭证管理模块可以看到审核月份的所有凭证信息，系统支持学生批量审核凭证，支持学生进行反审核；单张凭证，支持修改、插入、调整、红冲、删除、审核、打印等。</w:t>
            </w:r>
          </w:p>
          <w:p w14:paraId="0506DD21">
            <w:pPr>
              <w:pStyle w:val="4"/>
              <w:jc w:val="both"/>
            </w:pPr>
            <w:r>
              <w:rPr>
                <w:rFonts w:ascii="仿宋_GB2312" w:hAnsi="仿宋_GB2312" w:eastAsia="仿宋_GB2312" w:cs="仿宋_GB2312"/>
                <w:sz w:val="21"/>
              </w:rPr>
              <w:t>8.账簿管理模块可以查看科目余额表、总账、明细账、凭证序时簿、多栏账等所有数据信息。</w:t>
            </w:r>
          </w:p>
          <w:p w14:paraId="3258AB30">
            <w:pPr>
              <w:pStyle w:val="4"/>
              <w:jc w:val="both"/>
            </w:pPr>
            <w:r>
              <w:rPr>
                <w:rFonts w:ascii="仿宋_GB2312" w:hAnsi="仿宋_GB2312" w:eastAsia="仿宋_GB2312" w:cs="仿宋_GB2312"/>
                <w:sz w:val="21"/>
              </w:rPr>
              <w:t>9.报表管理模块可以查看资产负债表、利润表、现金流量表的所有数据信息，并支持报表下载，导出的格式支持PDF和XLS，纸张类型支持A4纸张和A5纸张。</w:t>
            </w:r>
          </w:p>
          <w:p w14:paraId="2DFB513E">
            <w:pPr>
              <w:pStyle w:val="4"/>
              <w:jc w:val="both"/>
            </w:pPr>
            <w:r>
              <w:rPr>
                <w:rFonts w:ascii="仿宋_GB2312" w:hAnsi="仿宋_GB2312" w:eastAsia="仿宋_GB2312" w:cs="仿宋_GB2312"/>
                <w:sz w:val="21"/>
              </w:rPr>
              <w:t>▲10.平台需内置≥300家真实企业的审账实时数据，数据来源对接代理记账公司及企业财务共享中心的真实业务资源，覆盖零售业、批发业、制造业、建筑装饰、软件和信息技术服务业、餐饮业、商务服务业等多个行业领域。平台应具备完善的更新机制，三年内每月更新≥2000张真实业务票据，并同步记录更新内容、更新时间及数据来源等信息。</w:t>
            </w:r>
          </w:p>
          <w:p w14:paraId="4A3EFE5B">
            <w:pPr>
              <w:pStyle w:val="4"/>
              <w:jc w:val="both"/>
            </w:pPr>
            <w:r>
              <w:rPr>
                <w:rFonts w:ascii="仿宋_GB2312" w:hAnsi="仿宋_GB2312" w:eastAsia="仿宋_GB2312" w:cs="仿宋_GB2312"/>
                <w:sz w:val="19"/>
              </w:rPr>
              <w:t xml:space="preserve"> </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79179D">
            <w:pPr>
              <w:pStyle w:val="4"/>
              <w:spacing w:before="30"/>
              <w:ind w:right="30"/>
              <w:jc w:val="center"/>
            </w:pPr>
            <w:r>
              <w:rPr>
                <w:rFonts w:ascii="仿宋_GB2312" w:hAnsi="仿宋_GB2312" w:eastAsia="仿宋_GB2312" w:cs="仿宋_GB2312"/>
                <w:sz w:val="21"/>
              </w:rPr>
              <w:t>套</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D0B710">
            <w:pPr>
              <w:pStyle w:val="4"/>
              <w:spacing w:before="30"/>
              <w:ind w:right="30"/>
              <w:jc w:val="center"/>
            </w:pPr>
            <w:r>
              <w:rPr>
                <w:rFonts w:ascii="仿宋_GB2312" w:hAnsi="仿宋_GB2312" w:eastAsia="仿宋_GB2312" w:cs="仿宋_GB2312"/>
                <w:sz w:val="21"/>
              </w:rPr>
              <w:t>1</w:t>
            </w:r>
          </w:p>
        </w:tc>
      </w:tr>
      <w:tr w14:paraId="5FB5C2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D2D1025"/>
        </w:tc>
        <w:tc>
          <w:tcPr>
            <w:tcW w:w="0" w:type="auto"/>
            <w:vMerge w:val="continue"/>
            <w:tcBorders>
              <w:top w:val="nil"/>
              <w:left w:val="single" w:color="000000" w:sz="4" w:space="0"/>
              <w:bottom w:val="single" w:color="000000" w:sz="4" w:space="0"/>
              <w:right w:val="single" w:color="000000" w:sz="4" w:space="0"/>
            </w:tcBorders>
          </w:tcPr>
          <w:p w14:paraId="56980977"/>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64184B">
            <w:pPr>
              <w:pStyle w:val="4"/>
              <w:jc w:val="both"/>
            </w:pPr>
            <w:r>
              <w:rPr>
                <w:rFonts w:ascii="仿宋_GB2312" w:hAnsi="仿宋_GB2312" w:eastAsia="仿宋_GB2312" w:cs="仿宋_GB2312"/>
                <w:b/>
                <w:sz w:val="21"/>
              </w:rPr>
              <w:t>智能财税真账实战平台（核心产品）</w:t>
            </w:r>
          </w:p>
          <w:p w14:paraId="5586AFF7">
            <w:pPr>
              <w:pStyle w:val="4"/>
              <w:jc w:val="both"/>
            </w:pPr>
            <w:r>
              <w:rPr>
                <w:rFonts w:ascii="仿宋_GB2312" w:hAnsi="仿宋_GB2312" w:eastAsia="仿宋_GB2312" w:cs="仿宋_GB2312"/>
                <w:sz w:val="21"/>
              </w:rPr>
              <w:t>一、功能</w:t>
            </w:r>
          </w:p>
          <w:p w14:paraId="7A2BD54A">
            <w:pPr>
              <w:pStyle w:val="4"/>
              <w:jc w:val="both"/>
            </w:pPr>
            <w:r>
              <w:rPr>
                <w:rFonts w:ascii="仿宋_GB2312" w:hAnsi="仿宋_GB2312" w:eastAsia="仿宋_GB2312" w:cs="仿宋_GB2312"/>
                <w:sz w:val="21"/>
              </w:rPr>
              <w:t>支撑学生直接处理企业动态真实账务，完成从票据处理、凭证录入、账簿登记到报表生成、纳税申报的全流程财税业务操作，并对企业财税合规情况进行分析评价。</w:t>
            </w:r>
            <w:r>
              <w:rPr>
                <w:rFonts w:ascii="仿宋_GB2312" w:hAnsi="仿宋_GB2312" w:eastAsia="仿宋_GB2312" w:cs="仿宋_GB2312"/>
                <w:b/>
                <w:sz w:val="21"/>
              </w:rPr>
              <w:t>平台须满足本地化部署。</w:t>
            </w:r>
          </w:p>
          <w:p w14:paraId="5E6F2F88">
            <w:pPr>
              <w:pStyle w:val="4"/>
              <w:jc w:val="both"/>
            </w:pPr>
            <w:r>
              <w:rPr>
                <w:rFonts w:ascii="仿宋_GB2312" w:hAnsi="仿宋_GB2312" w:eastAsia="仿宋_GB2312" w:cs="仿宋_GB2312"/>
                <w:sz w:val="21"/>
              </w:rPr>
              <w:t>二、参数</w:t>
            </w:r>
          </w:p>
          <w:p w14:paraId="6D4FBC6B">
            <w:pPr>
              <w:pStyle w:val="4"/>
              <w:jc w:val="both"/>
            </w:pPr>
            <w:r>
              <w:rPr>
                <w:rFonts w:ascii="仿宋_GB2312" w:hAnsi="仿宋_GB2312" w:eastAsia="仿宋_GB2312" w:cs="仿宋_GB2312"/>
                <w:sz w:val="21"/>
              </w:rPr>
              <w:t>（一）智能做账模块</w:t>
            </w:r>
          </w:p>
          <w:p w14:paraId="472B1091">
            <w:pPr>
              <w:pStyle w:val="4"/>
              <w:jc w:val="both"/>
            </w:pPr>
            <w:r>
              <w:rPr>
                <w:rFonts w:ascii="仿宋_GB2312" w:hAnsi="仿宋_GB2312" w:eastAsia="仿宋_GB2312" w:cs="仿宋_GB2312"/>
                <w:sz w:val="21"/>
              </w:rPr>
              <w:t>1.账务处理模块功能包括票据、单据、凭证、出纳、结账、账簿、报表、薪酬、资产、库存、档案、基础设置等。</w:t>
            </w:r>
          </w:p>
          <w:p w14:paraId="773693EE">
            <w:pPr>
              <w:pStyle w:val="4"/>
              <w:jc w:val="both"/>
            </w:pPr>
            <w:r>
              <w:rPr>
                <w:rFonts w:ascii="仿宋_GB2312" w:hAnsi="仿宋_GB2312" w:eastAsia="仿宋_GB2312" w:cs="仿宋_GB2312"/>
                <w:sz w:val="21"/>
              </w:rPr>
              <w:t>2.票据管理功能可以进行发票获取，对销项发票、进项发票、费用单据进行处理。</w:t>
            </w:r>
          </w:p>
          <w:p w14:paraId="4BD386DA">
            <w:pPr>
              <w:pStyle w:val="4"/>
              <w:jc w:val="both"/>
            </w:pPr>
            <w:r>
              <w:rPr>
                <w:rFonts w:ascii="仿宋_GB2312" w:hAnsi="仿宋_GB2312" w:eastAsia="仿宋_GB2312" w:cs="仿宋_GB2312"/>
                <w:sz w:val="21"/>
              </w:rPr>
              <w:t>★（1）发票获取可以根据发票开票月份、发票类别等属性一键提取相关发票信息，同时可以获取数电票原件，且原始数电发票可以通过真实的发票查验平台查验真伪。跟税务局等其他部门对接费用包含在本次报价中。</w:t>
            </w:r>
          </w:p>
          <w:p w14:paraId="798FD062">
            <w:pPr>
              <w:pStyle w:val="4"/>
              <w:jc w:val="both"/>
            </w:pPr>
            <w:r>
              <w:rPr>
                <w:rFonts w:ascii="仿宋_GB2312" w:hAnsi="仿宋_GB2312" w:eastAsia="仿宋_GB2312" w:cs="仿宋_GB2312"/>
                <w:sz w:val="21"/>
              </w:rPr>
              <w:t>（2）平台满足一键提取销项发票和进项发票信息，并能设置系统自动生成凭证的规则；同时支持所有数据的导出、删除、修改等。</w:t>
            </w:r>
          </w:p>
          <w:p w14:paraId="6D20B986">
            <w:pPr>
              <w:pStyle w:val="4"/>
              <w:jc w:val="both"/>
            </w:pPr>
            <w:r>
              <w:rPr>
                <w:rFonts w:ascii="仿宋_GB2312" w:hAnsi="仿宋_GB2312" w:eastAsia="仿宋_GB2312" w:cs="仿宋_GB2312"/>
                <w:sz w:val="21"/>
              </w:rPr>
              <w:t>▲（3）可自主添加或一键导入费用单据信息，系统内置费用单据的费用项目包括办公费、通讯费、快递费、交通费、车辆使用费、房租、水电费、餐饮费、服务费、修理费、业务招待费等≥20个费用项目；支持系统自动生成凭证。</w:t>
            </w:r>
          </w:p>
          <w:p w14:paraId="3FDF6F1F">
            <w:pPr>
              <w:pStyle w:val="4"/>
              <w:jc w:val="both"/>
            </w:pPr>
            <w:r>
              <w:rPr>
                <w:rFonts w:ascii="仿宋_GB2312" w:hAnsi="仿宋_GB2312" w:eastAsia="仿宋_GB2312" w:cs="仿宋_GB2312"/>
                <w:sz w:val="21"/>
              </w:rPr>
              <w:t>3.单据管理功能可以对报销单进行处理，包括业务记账规则的设置。</w:t>
            </w:r>
          </w:p>
          <w:p w14:paraId="0E8D750E">
            <w:pPr>
              <w:pStyle w:val="4"/>
              <w:jc w:val="both"/>
            </w:pPr>
            <w:r>
              <w:rPr>
                <w:rFonts w:ascii="仿宋_GB2312" w:hAnsi="仿宋_GB2312" w:eastAsia="仿宋_GB2312" w:cs="仿宋_GB2312"/>
                <w:sz w:val="21"/>
              </w:rPr>
              <w:t>4.凭证管理需支持录凭证、查凭证、凭证模版设置、凭证汇总表等功能；录凭证支持保存、复制、清空、打印等功能；查凭证支持凭证查询、删除、审核和反审核及EXCEL数据导出等功能。</w:t>
            </w:r>
          </w:p>
          <w:p w14:paraId="60E39541">
            <w:pPr>
              <w:pStyle w:val="4"/>
              <w:jc w:val="both"/>
            </w:pPr>
            <w:r>
              <w:rPr>
                <w:rFonts w:ascii="仿宋_GB2312" w:hAnsi="仿宋_GB2312" w:eastAsia="仿宋_GB2312" w:cs="仿宋_GB2312"/>
                <w:sz w:val="21"/>
              </w:rPr>
              <w:t>▲5.出纳管理需支持日记账、出纳对账、资金报表、账户和期初设置等功能；支持银企直连或智能授权取数的银行不少于30家，对接银行产生的费用包含到本次报价中。</w:t>
            </w:r>
          </w:p>
          <w:p w14:paraId="55E784BC">
            <w:pPr>
              <w:pStyle w:val="4"/>
              <w:jc w:val="both"/>
            </w:pPr>
            <w:r>
              <w:rPr>
                <w:rFonts w:ascii="仿宋_GB2312" w:hAnsi="仿宋_GB2312" w:eastAsia="仿宋_GB2312" w:cs="仿宋_GB2312"/>
                <w:sz w:val="21"/>
              </w:rPr>
              <w:t>6.结账管理需支持期末结账和结账检查两大功能，系统可以自动进行结账试算，试算平衡后，一键结转。结账管理支持结账前风险检查，规避财税风险，结账风险检查指标可以进行自定义指标配置。结账风险检查指标涵盖科目检查、报表分析检查、往来分析检查、涉税指标监控检查、税负率异常检查、纳税评估指标检查等方面。</w:t>
            </w:r>
          </w:p>
          <w:p w14:paraId="6ECDC71F">
            <w:pPr>
              <w:pStyle w:val="4"/>
              <w:jc w:val="both"/>
            </w:pPr>
            <w:r>
              <w:rPr>
                <w:rFonts w:ascii="仿宋_GB2312" w:hAnsi="仿宋_GB2312" w:eastAsia="仿宋_GB2312" w:cs="仿宋_GB2312"/>
                <w:sz w:val="21"/>
              </w:rPr>
              <w:t>7.账簿管理需支持科目余额表、总账、明细账、日记账、多栏账、辅助核算余额表、辅助核算明细账、商品毛利明细表的查看与数据导出等。</w:t>
            </w:r>
          </w:p>
          <w:p w14:paraId="094E1FED">
            <w:pPr>
              <w:pStyle w:val="4"/>
              <w:jc w:val="both"/>
            </w:pPr>
            <w:r>
              <w:rPr>
                <w:rFonts w:ascii="仿宋_GB2312" w:hAnsi="仿宋_GB2312" w:eastAsia="仿宋_GB2312" w:cs="仿宋_GB2312"/>
                <w:sz w:val="21"/>
              </w:rPr>
              <w:t>8.报表管理需支持资产负债表、利润表、现金流量表等报表的生成与数据导出。</w:t>
            </w:r>
          </w:p>
          <w:p w14:paraId="67F726A1">
            <w:pPr>
              <w:pStyle w:val="4"/>
              <w:jc w:val="both"/>
            </w:pPr>
            <w:r>
              <w:rPr>
                <w:rFonts w:ascii="仿宋_GB2312" w:hAnsi="仿宋_GB2312" w:eastAsia="仿宋_GB2312" w:cs="仿宋_GB2312"/>
                <w:sz w:val="21"/>
              </w:rPr>
              <w:t>9.薪酬管理需支持对员工档案、工资表和社保公积金管理，以及对薪酬记账规则进行配置、计提工资生成凭证方式进行选择、凭证入账日志进行选择等。</w:t>
            </w:r>
          </w:p>
          <w:p w14:paraId="08DDA684">
            <w:pPr>
              <w:pStyle w:val="4"/>
              <w:jc w:val="both"/>
            </w:pPr>
            <w:r>
              <w:rPr>
                <w:rFonts w:ascii="仿宋_GB2312" w:hAnsi="仿宋_GB2312" w:eastAsia="仿宋_GB2312" w:cs="仿宋_GB2312"/>
                <w:sz w:val="21"/>
              </w:rPr>
              <w:t>10.资产管理需支持资产卡片的录入和资产折旧（摊销）、资产记账、折旧（摊销）明细表、折旧（摊销）汇总表、资产明细账等查看管理；其中资产卡片支持基本信息采集、折旧信息采集、核算信息采集等。</w:t>
            </w:r>
          </w:p>
          <w:p w14:paraId="7C040A8F">
            <w:pPr>
              <w:pStyle w:val="4"/>
              <w:jc w:val="both"/>
            </w:pPr>
            <w:r>
              <w:rPr>
                <w:rFonts w:ascii="仿宋_GB2312" w:hAnsi="仿宋_GB2312" w:eastAsia="仿宋_GB2312" w:cs="仿宋_GB2312"/>
                <w:sz w:val="21"/>
              </w:rPr>
              <w:t>11.库存管理需满足库存核算，可以进行行业仓库设置、出库单生成方式、暂估/期初数据选择、生成流程等。</w:t>
            </w:r>
          </w:p>
          <w:p w14:paraId="7826F007">
            <w:pPr>
              <w:pStyle w:val="4"/>
              <w:jc w:val="both"/>
            </w:pPr>
            <w:r>
              <w:rPr>
                <w:rFonts w:ascii="仿宋_GB2312" w:hAnsi="仿宋_GB2312" w:eastAsia="仿宋_GB2312" w:cs="仿宋_GB2312"/>
                <w:sz w:val="21"/>
              </w:rPr>
              <w:t>12.档案组卷采集功能可以通过取统一社会信用代码的特定位段等方式进行立档单位的社会信用代码选择，并完成初始化工作。</w:t>
            </w:r>
          </w:p>
          <w:p w14:paraId="7E8E6A99">
            <w:pPr>
              <w:pStyle w:val="4"/>
              <w:jc w:val="both"/>
            </w:pPr>
            <w:r>
              <w:rPr>
                <w:rFonts w:ascii="仿宋_GB2312" w:hAnsi="仿宋_GB2312" w:eastAsia="仿宋_GB2312" w:cs="仿宋_GB2312"/>
                <w:sz w:val="21"/>
              </w:rPr>
              <w:t>13.基础信息设置包括账套设置、科目与期初、辅助设置等，其中科目与期初数据设置支持科目辅助核算选择、计量单位填写及资产、负债、权益、成本、损益的期初数据的设置等。</w:t>
            </w:r>
          </w:p>
          <w:p w14:paraId="726E9139">
            <w:pPr>
              <w:pStyle w:val="4"/>
              <w:jc w:val="both"/>
            </w:pPr>
            <w:r>
              <w:rPr>
                <w:rFonts w:ascii="仿宋_GB2312" w:hAnsi="仿宋_GB2312" w:eastAsia="仿宋_GB2312" w:cs="仿宋_GB2312"/>
                <w:sz w:val="21"/>
              </w:rPr>
              <w:t>▲14.基础信息设置中旧账迁移功能需满足支持10种及以上常见财务软件的账务迁移，并可以进行账套备份。</w:t>
            </w:r>
          </w:p>
          <w:p w14:paraId="5D51706B">
            <w:pPr>
              <w:pStyle w:val="4"/>
              <w:jc w:val="both"/>
            </w:pPr>
            <w:r>
              <w:rPr>
                <w:rFonts w:ascii="仿宋_GB2312" w:hAnsi="仿宋_GB2312" w:eastAsia="仿宋_GB2312" w:cs="仿宋_GB2312"/>
                <w:sz w:val="21"/>
              </w:rPr>
              <w:t>（二）智能报税模块</w:t>
            </w:r>
          </w:p>
          <w:p w14:paraId="631FBE1E">
            <w:pPr>
              <w:pStyle w:val="4"/>
              <w:jc w:val="both"/>
            </w:pPr>
            <w:r>
              <w:rPr>
                <w:rFonts w:ascii="仿宋_GB2312" w:hAnsi="仿宋_GB2312" w:eastAsia="仿宋_GB2312" w:cs="仿宋_GB2312"/>
                <w:sz w:val="21"/>
              </w:rPr>
              <w:t>1.报税企业安全认证窗口，需要学生进行真实企业安全信息认证，进行企业法人、手机号码、电子税务局账户密码匹配性认证，并通过手机短信验证码进行安全确认。</w:t>
            </w:r>
          </w:p>
          <w:p w14:paraId="196A407E">
            <w:pPr>
              <w:pStyle w:val="4"/>
              <w:jc w:val="both"/>
            </w:pPr>
            <w:r>
              <w:rPr>
                <w:rFonts w:ascii="仿宋_GB2312" w:hAnsi="仿宋_GB2312" w:eastAsia="仿宋_GB2312" w:cs="仿宋_GB2312"/>
                <w:sz w:val="21"/>
              </w:rPr>
              <w:t>▲2.报税模块至少包含税种管理、基础设置、发票采集、申报清册、申报作废、网上缴款、缴款查询打印、批量打印导出和申报任务管理等功能。</w:t>
            </w:r>
          </w:p>
          <w:p w14:paraId="73A23977">
            <w:pPr>
              <w:pStyle w:val="4"/>
              <w:jc w:val="both"/>
            </w:pPr>
            <w:r>
              <w:rPr>
                <w:rFonts w:ascii="仿宋_GB2312" w:hAnsi="仿宋_GB2312" w:eastAsia="仿宋_GB2312" w:cs="仿宋_GB2312"/>
                <w:sz w:val="21"/>
              </w:rPr>
              <w:t>3.基础设置功能可以对印花税是否自动生成纳税申报表进行选择设定；对企税、财报的生成时间节点进行选择；对财务数据取值重分类有不重分类、全部重分类、部分重分类、一级科目重分类4种分类方式。</w:t>
            </w:r>
          </w:p>
          <w:p w14:paraId="4C71B58F">
            <w:pPr>
              <w:pStyle w:val="4"/>
              <w:jc w:val="both"/>
            </w:pPr>
            <w:r>
              <w:rPr>
                <w:rFonts w:ascii="仿宋_GB2312" w:hAnsi="仿宋_GB2312" w:eastAsia="仿宋_GB2312" w:cs="仿宋_GB2312"/>
                <w:sz w:val="21"/>
              </w:rPr>
              <w:t>4.发票采集需支持销项发票和进项发票数据采集；系统自动计算发票总份数、总税额、抵扣发票份数、抵扣税额等。</w:t>
            </w:r>
          </w:p>
          <w:p w14:paraId="3271ED71">
            <w:pPr>
              <w:pStyle w:val="4"/>
              <w:jc w:val="both"/>
            </w:pPr>
            <w:r>
              <w:rPr>
                <w:rFonts w:ascii="仿宋_GB2312" w:hAnsi="仿宋_GB2312" w:eastAsia="仿宋_GB2312" w:cs="仿宋_GB2312"/>
                <w:sz w:val="21"/>
              </w:rPr>
              <w:t>5.申报清册功能可以看到所有申报税种及申报状态，学生可以选择自动生成报表数据，也可以进行手动填写或导入相关报表数据；点击去申报功能，系统弹出申报发送状态窗口，系统自动计算应补退税额，学生可以选择立即申报，也可以选择定时申报。</w:t>
            </w:r>
            <w:r>
              <w:rPr>
                <w:rFonts w:ascii="仿宋_GB2312" w:hAnsi="仿宋_GB2312" w:eastAsia="仿宋_GB2312" w:cs="仿宋_GB2312"/>
                <w:b/>
                <w:sz w:val="21"/>
              </w:rPr>
              <w:t>（需演示）</w:t>
            </w:r>
          </w:p>
          <w:p w14:paraId="45AA5644">
            <w:pPr>
              <w:pStyle w:val="4"/>
              <w:jc w:val="both"/>
            </w:pPr>
            <w:r>
              <w:rPr>
                <w:rFonts w:ascii="仿宋_GB2312" w:hAnsi="仿宋_GB2312" w:eastAsia="仿宋_GB2312" w:cs="仿宋_GB2312"/>
                <w:sz w:val="21"/>
              </w:rPr>
              <w:t>6.申报作废功能，学生可以选择将相关已申报的信息进行作废。</w:t>
            </w:r>
          </w:p>
          <w:p w14:paraId="669FD204">
            <w:pPr>
              <w:pStyle w:val="4"/>
              <w:jc w:val="both"/>
            </w:pPr>
            <w:r>
              <w:rPr>
                <w:rFonts w:ascii="仿宋_GB2312" w:hAnsi="仿宋_GB2312" w:eastAsia="仿宋_GB2312" w:cs="仿宋_GB2312"/>
                <w:sz w:val="21"/>
              </w:rPr>
              <w:t>7.可以根据已申报的应补退税额进行网上缴款，完成最终的税款缴纳。</w:t>
            </w:r>
          </w:p>
          <w:p w14:paraId="56FA5ED4">
            <w:pPr>
              <w:pStyle w:val="4"/>
              <w:jc w:val="both"/>
            </w:pPr>
            <w:r>
              <w:rPr>
                <w:rFonts w:ascii="仿宋_GB2312" w:hAnsi="仿宋_GB2312" w:eastAsia="仿宋_GB2312" w:cs="仿宋_GB2312"/>
                <w:sz w:val="21"/>
              </w:rPr>
              <w:t>（三）智能财税合规模块</w:t>
            </w:r>
          </w:p>
          <w:p w14:paraId="3E28DE6B">
            <w:pPr>
              <w:pStyle w:val="4"/>
              <w:jc w:val="both"/>
            </w:pPr>
            <w:r>
              <w:rPr>
                <w:rFonts w:ascii="仿宋_GB2312" w:hAnsi="仿宋_GB2312" w:eastAsia="仿宋_GB2312" w:cs="仿宋_GB2312"/>
                <w:sz w:val="21"/>
              </w:rPr>
              <w:t>1.财税合规模块需至少包含增值税合规、企业所得税合规、个税合规、经营合规、小税种合规、税收优惠模块。</w:t>
            </w:r>
          </w:p>
          <w:p w14:paraId="736E21AD">
            <w:pPr>
              <w:pStyle w:val="4"/>
              <w:jc w:val="both"/>
            </w:pPr>
            <w:r>
              <w:rPr>
                <w:rFonts w:ascii="仿宋_GB2312" w:hAnsi="仿宋_GB2312" w:eastAsia="仿宋_GB2312" w:cs="仿宋_GB2312"/>
                <w:sz w:val="21"/>
              </w:rPr>
              <w:t>2.财税合规模块需能扫描出内部机构风险及外部企业风险，针对扫描出的风险对应的合规项给出风险等级并提供修改意见关联的相关政策或者案例供企业参考，基于企业已申报的财务报表、发票、纳税申报表、工商等数据，对企业自身工商风险、财务风险、发票风险、税务风险等业务模块进行综合分析，最终形成财税合规评价报告。报告需包含企业基本信息、财务综合分析、发票分析、上下游专项分析、税务合规评估,其中企业基本信息包括工商注册情况、企业近三年纳税信用评价级别。</w:t>
            </w:r>
            <w:r>
              <w:rPr>
                <w:rFonts w:ascii="仿宋_GB2312" w:hAnsi="仿宋_GB2312" w:eastAsia="仿宋_GB2312" w:cs="仿宋_GB2312"/>
                <w:b/>
                <w:sz w:val="21"/>
              </w:rPr>
              <w:t>（需演示）</w:t>
            </w:r>
          </w:p>
          <w:p w14:paraId="682E82A9">
            <w:pPr>
              <w:pStyle w:val="4"/>
              <w:jc w:val="both"/>
            </w:pPr>
            <w:r>
              <w:rPr>
                <w:rFonts w:ascii="仿宋_GB2312" w:hAnsi="仿宋_GB2312" w:eastAsia="仿宋_GB2312" w:cs="仿宋_GB2312"/>
                <w:sz w:val="21"/>
              </w:rPr>
              <w:t>3.财务综合分析需包含资产负债情况分析、利润情况分析、毛利率分析、利润率分析、销售费用率分析、管理费用率分析、财务费用率分析等，对于风险点给出风险等级及异常时间和原因，并给出处理意见。</w:t>
            </w:r>
          </w:p>
          <w:p w14:paraId="1EE0859C">
            <w:pPr>
              <w:pStyle w:val="4"/>
              <w:jc w:val="both"/>
            </w:pPr>
            <w:r>
              <w:rPr>
                <w:rFonts w:ascii="仿宋_GB2312" w:hAnsi="仿宋_GB2312" w:eastAsia="仿宋_GB2312" w:cs="仿宋_GB2312"/>
                <w:sz w:val="21"/>
              </w:rPr>
              <w:t>4.经营能力指标分析包括盈利能力分析、营运能力分析、偿债能力分析，每个指标都有注解并给出计算公式与近3年的行业参考值进行比对。</w:t>
            </w:r>
          </w:p>
          <w:p w14:paraId="2D56290A">
            <w:pPr>
              <w:pStyle w:val="4"/>
              <w:jc w:val="both"/>
            </w:pPr>
            <w:r>
              <w:rPr>
                <w:rFonts w:ascii="仿宋_GB2312" w:hAnsi="仿宋_GB2312" w:eastAsia="仿宋_GB2312" w:cs="仿宋_GB2312"/>
                <w:sz w:val="21"/>
              </w:rPr>
              <w:t>5.发票分析需包含开票分析和收票分析。开票分析包括开票区域流向、销售产品统计、开票金额数量统计、开票行为异常分析、票面内容异常分析等；收票分析包括收票区域统计、采购商品统计，对应风险点给出风险等级、异常时间及原因，并给出处理建议和相关对应政策等。</w:t>
            </w:r>
          </w:p>
          <w:p w14:paraId="16912483">
            <w:pPr>
              <w:pStyle w:val="4"/>
              <w:jc w:val="both"/>
            </w:pPr>
            <w:r>
              <w:rPr>
                <w:rFonts w:ascii="仿宋_GB2312" w:hAnsi="仿宋_GB2312" w:eastAsia="仿宋_GB2312" w:cs="仿宋_GB2312"/>
                <w:sz w:val="21"/>
              </w:rPr>
              <w:t>6.单个客户上下游专项分析包括前十大客户、前十大供应商、客户风险分析、供应商风险分析，涉及风险点给出处理建议及对应政策法规等。</w:t>
            </w:r>
          </w:p>
          <w:p w14:paraId="44E617DC">
            <w:pPr>
              <w:pStyle w:val="4"/>
              <w:jc w:val="both"/>
            </w:pPr>
            <w:r>
              <w:rPr>
                <w:rFonts w:ascii="仿宋_GB2312" w:hAnsi="仿宋_GB2312" w:eastAsia="仿宋_GB2312" w:cs="仿宋_GB2312"/>
                <w:sz w:val="21"/>
              </w:rPr>
              <w:t>7.税务合规评价包括增值税风险监控、企业所得税风险监控、个人所得税风险监控等。</w:t>
            </w:r>
          </w:p>
          <w:p w14:paraId="29C46C51">
            <w:pPr>
              <w:pStyle w:val="4"/>
              <w:jc w:val="both"/>
            </w:pPr>
            <w:r>
              <w:rPr>
                <w:rFonts w:ascii="仿宋_GB2312" w:hAnsi="仿宋_GB2312" w:eastAsia="仿宋_GB2312" w:cs="仿宋_GB2312"/>
                <w:sz w:val="21"/>
              </w:rPr>
              <w:t>（四）涉税服务备案登记模块</w:t>
            </w:r>
          </w:p>
          <w:p w14:paraId="6B0C5A7F">
            <w:pPr>
              <w:pStyle w:val="4"/>
              <w:jc w:val="both"/>
            </w:pPr>
            <w:r>
              <w:rPr>
                <w:rFonts w:ascii="仿宋_GB2312" w:hAnsi="仿宋_GB2312" w:eastAsia="仿宋_GB2312" w:cs="仿宋_GB2312"/>
                <w:sz w:val="21"/>
              </w:rPr>
              <w:t>▲1.涉税服务备案登记模块需至少包括5大备案登记信息：出口退（免）税备案、代理机构管理、涉税市场主体身份信息变更、跨区域涉税事项反馈、居民企业跨年度企业所得税事项信息报告。</w:t>
            </w:r>
          </w:p>
          <w:p w14:paraId="6405D000">
            <w:pPr>
              <w:pStyle w:val="4"/>
              <w:jc w:val="both"/>
            </w:pPr>
            <w:r>
              <w:rPr>
                <w:rFonts w:ascii="仿宋_GB2312" w:hAnsi="仿宋_GB2312" w:eastAsia="仿宋_GB2312" w:cs="仿宋_GB2312"/>
                <w:sz w:val="21"/>
              </w:rPr>
              <w:t>2.出口退（免）税备案系统包括首次备案和修改备案（变更、撤回备案）两大主要业务登记办理模式；同时支持新增办税人员信息及国际船舶运输经营许可证等资料的上传；修改备案可以对上述信息进行修改变更或撤回相关备案登记。</w:t>
            </w:r>
          </w:p>
          <w:p w14:paraId="5E65E8AC">
            <w:pPr>
              <w:pStyle w:val="4"/>
              <w:jc w:val="both"/>
            </w:pPr>
            <w:r>
              <w:rPr>
                <w:rFonts w:ascii="仿宋_GB2312" w:hAnsi="仿宋_GB2312" w:eastAsia="仿宋_GB2312" w:cs="仿宋_GB2312"/>
                <w:sz w:val="21"/>
              </w:rPr>
              <w:t>3.代理机构管理可以进行涉税专业服务机构管理和税务师事务所管理。</w:t>
            </w:r>
          </w:p>
          <w:p w14:paraId="56A2774A">
            <w:pPr>
              <w:pStyle w:val="4"/>
              <w:jc w:val="both"/>
            </w:pPr>
            <w:r>
              <w:rPr>
                <w:rFonts w:ascii="仿宋_GB2312" w:hAnsi="仿宋_GB2312" w:eastAsia="仿宋_GB2312" w:cs="仿宋_GB2312"/>
                <w:sz w:val="21"/>
              </w:rPr>
              <w:t>4.涉税市场主体身份信息变更系统支持市监登记户-个体工商户、非市监户-个体工商户、市监登记户-单位、非市监户-单位四个不同性质的市场主体进行身份信息变更，变更的内容包括核算方式、国标行业、财务负责人等企业关键信息。</w:t>
            </w:r>
          </w:p>
          <w:p w14:paraId="504013A8">
            <w:pPr>
              <w:pStyle w:val="4"/>
              <w:jc w:val="both"/>
            </w:pPr>
            <w:r>
              <w:rPr>
                <w:rFonts w:ascii="仿宋_GB2312" w:hAnsi="仿宋_GB2312" w:eastAsia="仿宋_GB2312" w:cs="仿宋_GB2312"/>
                <w:sz w:val="21"/>
              </w:rPr>
              <w:t>5.跨区域涉税事项反馈系统反馈的内容包括跨区域经营企业基本信息及跨区域经营活动。</w:t>
            </w:r>
          </w:p>
          <w:p w14:paraId="48FEECE7">
            <w:pPr>
              <w:pStyle w:val="4"/>
              <w:jc w:val="both"/>
            </w:pPr>
            <w:r>
              <w:rPr>
                <w:rFonts w:ascii="仿宋_GB2312" w:hAnsi="仿宋_GB2312" w:eastAsia="仿宋_GB2312" w:cs="仿宋_GB2312"/>
                <w:sz w:val="21"/>
              </w:rPr>
              <w:t>6居民企业跨年度企业所得税事项信息报告可以完成报表的信息填写、资料上传，信息提交等；完成信息报告后，系统可以进行已报告信息的查看、更正、作废等。</w:t>
            </w:r>
          </w:p>
          <w:p w14:paraId="4F0C6D8C">
            <w:pPr>
              <w:pStyle w:val="4"/>
              <w:jc w:val="both"/>
            </w:pPr>
            <w:r>
              <w:rPr>
                <w:rFonts w:ascii="仿宋_GB2312" w:hAnsi="仿宋_GB2312" w:eastAsia="仿宋_GB2312" w:cs="仿宋_GB2312"/>
                <w:sz w:val="21"/>
              </w:rPr>
              <w:t>（五）平台服务</w:t>
            </w:r>
          </w:p>
          <w:p w14:paraId="003E498D">
            <w:pPr>
              <w:pStyle w:val="4"/>
              <w:jc w:val="both"/>
            </w:pPr>
            <w:r>
              <w:rPr>
                <w:rFonts w:ascii="仿宋_GB2312" w:hAnsi="仿宋_GB2312" w:eastAsia="仿宋_GB2312" w:cs="仿宋_GB2312"/>
                <w:sz w:val="21"/>
              </w:rPr>
              <w:t>▲平台需满足≥200家真实企业账务处理实时数据的业务量要求，数据来源于代理记账公司及合作企业财务共享中心的真实业务资源，涵盖企业最新的银行资料、进项发票、销项发票、费用发票、工资表等核心财务数据。行业覆盖零售业、批发业、制造业、建筑装饰、软件和信息技术服务业、餐饮业、商务服务业等多个领域，确保实训内容实时对标企业财务共享中心的最新业务标准与操作规范。三年内平台每月更新≥2000张真实业务票据，并同步记录更新内容、更新时间及数据来源等信息。</w:t>
            </w:r>
          </w:p>
          <w:p w14:paraId="40982E97">
            <w:pPr>
              <w:pStyle w:val="4"/>
              <w:jc w:val="both"/>
            </w:pPr>
            <w:r>
              <w:rPr>
                <w:rFonts w:ascii="仿宋_GB2312" w:hAnsi="仿宋_GB2312" w:eastAsia="仿宋_GB2312" w:cs="仿宋_GB2312"/>
                <w:sz w:val="19"/>
              </w:rPr>
              <w:t xml:space="preserve"> </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267966">
            <w:pPr>
              <w:pStyle w:val="4"/>
              <w:spacing w:before="30"/>
              <w:ind w:right="30"/>
              <w:jc w:val="center"/>
            </w:pPr>
            <w:r>
              <w:rPr>
                <w:rFonts w:ascii="仿宋_GB2312" w:hAnsi="仿宋_GB2312" w:eastAsia="仿宋_GB2312" w:cs="仿宋_GB2312"/>
                <w:sz w:val="21"/>
              </w:rPr>
              <w:t>套</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B3FC63">
            <w:pPr>
              <w:pStyle w:val="4"/>
              <w:spacing w:before="30"/>
              <w:ind w:right="30"/>
              <w:jc w:val="center"/>
            </w:pPr>
            <w:r>
              <w:rPr>
                <w:rFonts w:ascii="仿宋_GB2312" w:hAnsi="仿宋_GB2312" w:eastAsia="仿宋_GB2312" w:cs="仿宋_GB2312"/>
                <w:sz w:val="21"/>
              </w:rPr>
              <w:t>1</w:t>
            </w:r>
          </w:p>
        </w:tc>
      </w:tr>
      <w:tr w14:paraId="22018F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AE3A30">
            <w:pPr>
              <w:pStyle w:val="4"/>
              <w:jc w:val="center"/>
            </w:pPr>
            <w:r>
              <w:rPr>
                <w:rFonts w:ascii="仿宋_GB2312" w:hAnsi="仿宋_GB2312" w:eastAsia="仿宋_GB2312" w:cs="仿宋_GB2312"/>
                <w:sz w:val="21"/>
              </w:rPr>
              <w:t>2</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B69677">
            <w:pPr>
              <w:pStyle w:val="4"/>
              <w:jc w:val="center"/>
            </w:pPr>
            <w:r>
              <w:rPr>
                <w:rFonts w:ascii="仿宋_GB2312" w:hAnsi="仿宋_GB2312" w:eastAsia="仿宋_GB2312" w:cs="仿宋_GB2312"/>
                <w:sz w:val="21"/>
              </w:rPr>
              <w:t>配套要求</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2E2372">
            <w:pPr>
              <w:pStyle w:val="4"/>
              <w:jc w:val="both"/>
            </w:pPr>
            <w:r>
              <w:rPr>
                <w:rFonts w:ascii="仿宋_GB2312" w:hAnsi="仿宋_GB2312" w:eastAsia="仿宋_GB2312" w:cs="仿宋_GB2312"/>
                <w:sz w:val="21"/>
              </w:rPr>
              <w:t>1.平台操作技能培训：培训时长不少于6课时；真账业务指导能力培训：提供1人现场教学，三年内平均每年不少于160课时；教学案例开发培训：每学期产出不少于2个典型教学案例；培训考核方案。</w:t>
            </w:r>
          </w:p>
          <w:p w14:paraId="6C718ED0">
            <w:pPr>
              <w:pStyle w:val="4"/>
              <w:jc w:val="both"/>
            </w:pPr>
            <w:r>
              <w:rPr>
                <w:rFonts w:ascii="仿宋_GB2312" w:hAnsi="仿宋_GB2312" w:eastAsia="仿宋_GB2312" w:cs="仿宋_GB2312"/>
                <w:sz w:val="21"/>
              </w:rPr>
              <w:t>2.平台需配备7*24小时人工智能咨询平台，可以进行平台相关问题的搜索，系统自动给出操作指南说明；配置不同系统的操作视频，且微课视频≥30个，总时长不低于60分钟。</w:t>
            </w:r>
          </w:p>
          <w:p w14:paraId="3455EAA6">
            <w:pPr>
              <w:pStyle w:val="4"/>
              <w:jc w:val="both"/>
            </w:pPr>
            <w:r>
              <w:rPr>
                <w:rFonts w:ascii="仿宋_GB2312" w:hAnsi="仿宋_GB2312" w:eastAsia="仿宋_GB2312" w:cs="仿宋_GB2312"/>
                <w:sz w:val="21"/>
              </w:rPr>
              <w:t>★3.项目部署：采购人提供服务器，投标人须完成与本项目相关的所有设备安装调试以及本地化部署。</w:t>
            </w:r>
            <w:r>
              <w:rPr>
                <w:rFonts w:ascii="仿宋_GB2312" w:hAnsi="仿宋_GB2312" w:eastAsia="仿宋_GB2312" w:cs="仿宋_GB2312"/>
                <w:b/>
                <w:sz w:val="21"/>
              </w:rPr>
              <w:t>（提供承诺函，格式自拟）</w:t>
            </w:r>
          </w:p>
          <w:p w14:paraId="4355EC2F">
            <w:pPr>
              <w:pStyle w:val="4"/>
              <w:jc w:val="both"/>
            </w:pPr>
            <w:r>
              <w:rPr>
                <w:rFonts w:ascii="仿宋_GB2312" w:hAnsi="仿宋_GB2312" w:eastAsia="仿宋_GB2312" w:cs="仿宋_GB2312"/>
                <w:sz w:val="21"/>
              </w:rPr>
              <w:t>4.完成约90㎡的整体环境氛围标准化营造，对实训场所地面、墙面、门窗、吊顶、专业照明、强弱电及网络线路进行系统化升级改造。场地全部采用隐蔽走线工艺，实现强弱电、网络管线暗埋布设，室内整洁规范、无外露线路、无安全隐患。通过合理设置功能隔断，科学划分实训操作区域与通行空间，优化室内采光与整体视觉效果。同步配套完成实训室制度规范、专业文化、安全警示等文化上墙布置，整体环境整洁统一、氛围专业规范。改造后场地空间布局合理、功能分区清晰，完全满足各类实训设备规整摆放、师生常态化实训教学、学生实操训练及课堂教学使用需求。</w:t>
            </w:r>
          </w:p>
          <w:p w14:paraId="4AEC1A4B">
            <w:pPr>
              <w:pStyle w:val="4"/>
              <w:jc w:val="both"/>
            </w:pPr>
            <w:r>
              <w:rPr>
                <w:rFonts w:ascii="仿宋_GB2312" w:hAnsi="仿宋_GB2312" w:eastAsia="仿宋_GB2312" w:cs="仿宋_GB2312"/>
                <w:sz w:val="21"/>
              </w:rPr>
              <w:t>5.提供满足约90㎡场地的冷热环境温度控制设备：18℃-24℃（温度控制器2台，制冷量≥7000W，制热量≥8000W，额定电压：220V，额定频率：50Hz，制冷输入功率≥2000W，制热输入功率≥2100W 能效等级：1级，制冷剂名称：R32，噪音（室内/室外）≤47dB/58dB）；</w:t>
            </w:r>
          </w:p>
          <w:p w14:paraId="16909EA0">
            <w:pPr>
              <w:pStyle w:val="4"/>
              <w:jc w:val="both"/>
            </w:pPr>
            <w:r>
              <w:rPr>
                <w:rFonts w:ascii="仿宋_GB2312" w:hAnsi="仿宋_GB2312" w:eastAsia="仿宋_GB2312" w:cs="仿宋_GB2312"/>
                <w:sz w:val="21"/>
              </w:rPr>
              <w:t>6.满足50名学生和1名教师实训需要的工作台。</w:t>
            </w:r>
          </w:p>
          <w:p w14:paraId="4A984A40">
            <w:pPr>
              <w:pStyle w:val="4"/>
              <w:jc w:val="both"/>
            </w:pPr>
            <w:r>
              <w:rPr>
                <w:rFonts w:ascii="仿宋_GB2312" w:hAnsi="仿宋_GB2312" w:eastAsia="仿宋_GB2312" w:cs="仿宋_GB2312"/>
                <w:sz w:val="21"/>
              </w:rPr>
              <w:t>（1）教师桌椅1套：多媒体讲桌尺寸≥1200mm*780mm*1000mm（关闭时），桌体上部分采用圆弧设计，带网络面板、强电面板；钢木结合构造，扶手和面板采用符合环保要求的同种实木材质，实木厚度≥18mm，主体框架采用优质冷轧钢板，钢板厚度≥1.2mm；讲台桌面左侧区域设计显示器固定位，盖门采取翻转方式，角度可随意调节，键盘翻转式设计，键盘下方放置智能中控操作系统，讲桌右侧设置抽屉可放置实物展示台，承重6公斤，桌体下方带锁，采用标准机柜设计，带层板，可整齐放置主机等设备；高度集成，可装配专业鹅颈话筒、小功放以及多媒体无源音箱；工艺：脱脂、磷化、静电喷塑、溜平固化，重点部位须采用一次冲压成型技术；所有钣金部分均采用激光切割加工，所有尖角倒圆角不小于R3，保证使用者和维护者不划伤。教师椅：面料材质：全透气高弹网布，防污、耐磨、阻燃；五星脚材质：铝合金脚；椅面采用高回弹高密度海绵填充；固定扶手，可升降，可旋转。</w:t>
            </w:r>
          </w:p>
          <w:p w14:paraId="76CD46A9">
            <w:pPr>
              <w:pStyle w:val="4"/>
              <w:jc w:val="both"/>
            </w:pPr>
            <w:r>
              <w:rPr>
                <w:rFonts w:ascii="仿宋_GB2312" w:hAnsi="仿宋_GB2312" w:eastAsia="仿宋_GB2312" w:cs="仿宋_GB2312"/>
                <w:sz w:val="21"/>
              </w:rPr>
              <w:t>（2）学生电脑桌25张：电脑桌尺寸1500mm*600mm*750mm，双人位，每个工位桌面安装五孔插座及2个USB接口；后置机箱，可接前置主机开关，背面板带散热孔，完全覆盖电脑桌背面，结合实训室布局，机箱设计需方便电脑设备安装维修；桌面材料采用符合国家标准的优质环保型实木颗粒板，厚度≥25mm,经久耐用，易清洁，阻燃防水防火；钢架采用蝴蝶形，外框架采用≥50mm*15mm*1.0mm厚优质扁管，配管采用≥20mm*20mm*1.0mm厚优质方管，背板采用≥0.6mm厚优质冷轧钢板，经焊接后除油，除锈，酸洗，磷化后静电粉末喷塑，可承受200公斤重物，结构稳定，寿命长。</w:t>
            </w:r>
          </w:p>
          <w:p w14:paraId="57FCE266">
            <w:pPr>
              <w:pStyle w:val="4"/>
              <w:jc w:val="both"/>
            </w:pPr>
            <w:r>
              <w:rPr>
                <w:rFonts w:ascii="仿宋_GB2312" w:hAnsi="仿宋_GB2312" w:eastAsia="仿宋_GB2312" w:cs="仿宋_GB2312"/>
                <w:sz w:val="21"/>
              </w:rPr>
              <w:t>（3）学生椅50个：钢木方凳，凳面规格340mm*240mm,基材采用符合国家环保要求的实木颗粒板或高密度压缩板，防水防火，厚度≥18mm，四周注塑封边；凳高430mm-450mm,凳腿采用≥25mm×25mm的冷轧方形钢管，壁厚≥1.2mm（裸管），设加固横撑，采用同材质方管，壁厚≥1.0mm，满焊框架，底部配防滑脚垫。</w:t>
            </w:r>
          </w:p>
          <w:p w14:paraId="74D0F5B9">
            <w:pPr>
              <w:pStyle w:val="4"/>
              <w:jc w:val="both"/>
            </w:pPr>
            <w:r>
              <w:rPr>
                <w:rFonts w:ascii="仿宋_GB2312" w:hAnsi="仿宋_GB2312" w:eastAsia="仿宋_GB2312" w:cs="仿宋_GB2312"/>
                <w:sz w:val="19"/>
              </w:rPr>
              <w:t xml:space="preserve"> </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D2D0B5">
            <w:pPr>
              <w:pStyle w:val="4"/>
              <w:spacing w:before="30"/>
              <w:ind w:right="30"/>
              <w:jc w:val="center"/>
            </w:pPr>
            <w:r>
              <w:rPr>
                <w:rFonts w:ascii="仿宋_GB2312" w:hAnsi="仿宋_GB2312" w:eastAsia="仿宋_GB2312" w:cs="仿宋_GB2312"/>
                <w:sz w:val="21"/>
              </w:rPr>
              <w:t>套</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3A8FBF">
            <w:pPr>
              <w:pStyle w:val="4"/>
              <w:spacing w:before="30"/>
              <w:ind w:right="30"/>
              <w:jc w:val="center"/>
            </w:pPr>
            <w:r>
              <w:rPr>
                <w:rFonts w:ascii="仿宋_GB2312" w:hAnsi="仿宋_GB2312" w:eastAsia="仿宋_GB2312" w:cs="仿宋_GB2312"/>
                <w:sz w:val="21"/>
              </w:rPr>
              <w:t>1</w:t>
            </w:r>
          </w:p>
        </w:tc>
      </w:tr>
    </w:tbl>
    <w:p w14:paraId="58DBA9F6">
      <w:pPr>
        <w:pStyle w:val="4"/>
      </w:pPr>
      <w:r>
        <w:rPr>
          <w:rFonts w:ascii="仿宋_GB2312" w:hAnsi="仿宋_GB2312" w:eastAsia="仿宋_GB2312" w:cs="仿宋_GB2312"/>
          <w:b/>
          <w:sz w:val="22"/>
        </w:rPr>
        <w:t>其他要求：</w:t>
      </w:r>
      <w:r>
        <w:br w:type="textWrapping"/>
      </w:r>
      <w:r>
        <w:rPr>
          <w:rFonts w:ascii="仿宋_GB2312" w:hAnsi="仿宋_GB2312" w:eastAsia="仿宋_GB2312" w:cs="仿宋_GB2312"/>
          <w:b/>
          <w:sz w:val="22"/>
        </w:rPr>
        <w:t>1、售后：</w:t>
      </w:r>
    </w:p>
    <w:p w14:paraId="0AA9164D">
      <w:pPr>
        <w:pStyle w:val="4"/>
      </w:pPr>
      <w:r>
        <w:rPr>
          <w:rFonts w:ascii="仿宋_GB2312" w:hAnsi="仿宋_GB2312" w:eastAsia="仿宋_GB2312" w:cs="仿宋_GB2312"/>
          <w:sz w:val="22"/>
        </w:rPr>
        <w:t>①响应时效。投标人应提供明确的售后响应时间承诺。一般要求：接到报修通知后8小时内响应，24小时内解决问题并完成维修或更换。</w:t>
      </w:r>
    </w:p>
    <w:p w14:paraId="26FA0E6C">
      <w:pPr>
        <w:pStyle w:val="4"/>
      </w:pPr>
      <w:r>
        <w:rPr>
          <w:rFonts w:ascii="仿宋_GB2312" w:hAnsi="仿宋_GB2312" w:eastAsia="仿宋_GB2312" w:cs="仿宋_GB2312"/>
          <w:sz w:val="22"/>
        </w:rPr>
        <w:t>②备件保障。若设备故障在约定时间内无法修复，投标人应提供性能完好的备用设备供采购人使用，确保学校教学科研工作不受影响。备用设备的规格配置及性能不得低于原设备要求。</w:t>
      </w:r>
    </w:p>
    <w:p w14:paraId="72637D5E">
      <w:pPr>
        <w:pStyle w:val="4"/>
      </w:pPr>
      <w:r>
        <w:rPr>
          <w:rFonts w:ascii="仿宋_GB2312" w:hAnsi="仿宋_GB2312" w:eastAsia="仿宋_GB2312" w:cs="仿宋_GB2312"/>
          <w:sz w:val="22"/>
        </w:rPr>
        <w:t>③服务团队。投标人应配有专业维修工程师，并指派专人负责与采购人联系售后服务事宜。投标人应提供售后服务联系负责人、联系电话、地址等信息。</w:t>
      </w:r>
    </w:p>
    <w:p w14:paraId="4CB8E03E">
      <w:pPr>
        <w:pStyle w:val="4"/>
      </w:pPr>
      <w:r>
        <w:rPr>
          <w:rFonts w:ascii="仿宋_GB2312" w:hAnsi="仿宋_GB2312" w:eastAsia="仿宋_GB2312" w:cs="仿宋_GB2312"/>
          <w:sz w:val="22"/>
        </w:rPr>
        <w:t>④定期巡检。质保期内投标人应定期上门巡检，一般每季度不少于1次或每年不少于2次，并出具设备运行报告。</w:t>
      </w:r>
    </w:p>
    <w:p w14:paraId="03F0572C">
      <w:pPr>
        <w:pStyle w:val="4"/>
      </w:pPr>
      <w:r>
        <w:rPr>
          <w:rFonts w:ascii="仿宋_GB2312" w:hAnsi="仿宋_GB2312" w:eastAsia="仿宋_GB2312" w:cs="仿宋_GB2312"/>
          <w:b/>
          <w:sz w:val="22"/>
        </w:rPr>
        <w:t>2、软件升级要求：</w:t>
      </w:r>
    </w:p>
    <w:p w14:paraId="09875C9E">
      <w:pPr>
        <w:pStyle w:val="4"/>
      </w:pPr>
      <w:r>
        <w:rPr>
          <w:rFonts w:ascii="仿宋_GB2312" w:hAnsi="仿宋_GB2312" w:eastAsia="仿宋_GB2312" w:cs="仿宋_GB2312"/>
          <w:sz w:val="22"/>
        </w:rPr>
        <w:t>①质保期内升级。质保期内，投标人应提供软件版本升级、功能模块拓展与维护等服务。软件升级后，投标人应主动对采购设备进行升级。升级费用包含在投标报价中。</w:t>
      </w:r>
    </w:p>
    <w:p w14:paraId="400BA017">
      <w:pPr>
        <w:pStyle w:val="4"/>
      </w:pPr>
      <w:r>
        <w:rPr>
          <w:rFonts w:ascii="仿宋_GB2312" w:hAnsi="仿宋_GB2312" w:eastAsia="仿宋_GB2312" w:cs="仿宋_GB2312"/>
          <w:sz w:val="22"/>
        </w:rPr>
        <w:t>②长期保障。涉及软件产品的，投标人对系统终身负责升级。质保期满后，如拟投产品软件在约定年限内有升级，仍应提供软件升级及技术支持服务。升级费用包含在投标报价中。</w:t>
      </w:r>
    </w:p>
    <w:p w14:paraId="620A59E5">
      <w:pPr>
        <w:pStyle w:val="4"/>
      </w:pPr>
      <w:r>
        <w:rPr>
          <w:rFonts w:ascii="仿宋_GB2312" w:hAnsi="仿宋_GB2312" w:eastAsia="仿宋_GB2312" w:cs="仿宋_GB2312"/>
          <w:b/>
          <w:sz w:val="22"/>
        </w:rPr>
        <w:t>3、培训要求：</w:t>
      </w:r>
    </w:p>
    <w:p w14:paraId="0624272C">
      <w:pPr>
        <w:pStyle w:val="4"/>
      </w:pPr>
      <w:r>
        <w:rPr>
          <w:rFonts w:ascii="仿宋_GB2312" w:hAnsi="仿宋_GB2312" w:eastAsia="仿宋_GB2312" w:cs="仿宋_GB2312"/>
          <w:sz w:val="22"/>
        </w:rPr>
        <w:t>①培训内容与标准。投标人应对采购人相关人员进行免费现场培训或集中培训，培训内容包括设备操作使用、注意事项、相关理论知识、结构介绍、日常维护等。培训应达到采购人相关人员能够独立操作、熟练使用、维护和管理设备或软件的标准。</w:t>
      </w:r>
    </w:p>
    <w:p w14:paraId="56D7BFAF">
      <w:pPr>
        <w:pStyle w:val="4"/>
      </w:pPr>
      <w:r>
        <w:rPr>
          <w:rFonts w:ascii="仿宋_GB2312" w:hAnsi="仿宋_GB2312" w:eastAsia="仿宋_GB2312" w:cs="仿宋_GB2312"/>
          <w:sz w:val="22"/>
        </w:rPr>
        <w:t>②培训安排。投标人应在设备安装调试完成后及时安排培训。具体培训时间、地点及人员数量由采购人决定。培训名额不限，培训期间发生的相关费用均由投标人负责。</w:t>
      </w:r>
    </w:p>
    <w:p w14:paraId="298E5F6A">
      <w:pPr>
        <w:pStyle w:val="4"/>
      </w:pPr>
      <w:r>
        <w:rPr>
          <w:rFonts w:ascii="仿宋_GB2312" w:hAnsi="仿宋_GB2312" w:eastAsia="仿宋_GB2312" w:cs="仿宋_GB2312"/>
          <w:sz w:val="22"/>
        </w:rPr>
        <w:t>③培训资料。投标人应为所有被培训人员提供培训用文字资料和讲义等相关材料。每台设备均应提供一套完整的中文技术资料，包括操作手册、使用说明、维修保养操作手册、安装手册、产品合格证等。</w:t>
      </w:r>
    </w:p>
    <w:p w14:paraId="0C7C5921">
      <w:pPr>
        <w:jc w:val="both"/>
        <w:rPr>
          <w:rFonts w:hint="eastAsia"/>
          <w:sz w:val="32"/>
          <w:szCs w:val="40"/>
          <w:lang w:val="en-US" w:eastAsia="zh-CN"/>
        </w:rPr>
      </w:pPr>
      <w:r>
        <w:rPr>
          <w:rFonts w:ascii="仿宋_GB2312" w:hAnsi="仿宋_GB2312" w:eastAsia="仿宋_GB2312" w:cs="仿宋_GB2312"/>
          <w:sz w:val="22"/>
        </w:rPr>
        <w:t>④持续培训。质保期内，投标人应根据采购人需求提供再培训或每年不少于两次的现场技术培训。在采购人使用期间视需求可提供再培训。</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2E6F24"/>
    <w:rsid w:val="4B2E6F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2026-08-17T09:36:00Z</dcterms:created>
  <dc:creator>1</dc:creator>
  <cp:lastModifiedBy>1</cp:lastModifiedBy>
  <dcterms:modified xsi:type="dcterms:W3CDTF">2026-08-17T09:36:53Z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51BB9DDA45F9468B96E3A386999F349E_11</vt:lpwstr>
  </property>
  <property fmtid="{D5CDD505-2E9C-101B-9397-08002B2CF9AE}" pid="4" name="KSOTemplateDocerSaveRecord">
    <vt:lpwstr>eyJoZGlkIjoiMjlhZjA4NTUyNDk2ZDYxMWMxYjMxMmFhYzYwMzk1YTciLCJ1c2VySWQiOiIxMDE0MTg1NzcyIn0=</vt:lpwstr>
  </property>
</Properties>
</file>