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版本号：0617-2624FZ149920260630001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传统文化教育课程资源研发项目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0617-2624FZ1499</w:t>
      </w:r>
      <w:r>
        <w:br/>
      </w:r>
      <w:r>
        <w:br/>
      </w:r>
      <w:r>
        <w:br/>
      </w:r>
    </w:p>
    <w:p>
      <w:pPr>
        <w:pStyle w:val="null3"/>
        <w:jc w:val="center"/>
        <w:outlineLvl w:val="2"/>
      </w:pPr>
      <w:r>
        <w:rPr>
          <w:rFonts w:ascii="仿宋_GB2312" w:hAnsi="仿宋_GB2312" w:cs="仿宋_GB2312" w:eastAsia="仿宋_GB2312"/>
          <w:sz w:val="28"/>
          <w:b/>
        </w:rPr>
        <w:t>西安碑林博物馆</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西安碑林博物馆</w:t>
      </w:r>
      <w:r>
        <w:rPr>
          <w:rFonts w:ascii="仿宋_GB2312" w:hAnsi="仿宋_GB2312" w:cs="仿宋_GB2312" w:eastAsia="仿宋_GB2312"/>
        </w:rPr>
        <w:t>委托，拟对</w:t>
      </w:r>
      <w:r>
        <w:rPr>
          <w:rFonts w:ascii="仿宋_GB2312" w:hAnsi="仿宋_GB2312" w:cs="仿宋_GB2312" w:eastAsia="仿宋_GB2312"/>
        </w:rPr>
        <w:t>传统文化教育课程资源研发项目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0617-2624FZ1499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传统文化教育课程资源研发项目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是西安碑林博物馆履行公共文化教育使命、创新教育服务模式、提升优秀传统文化传播效能的专项工作。项目依托博物馆丰富文物资源与深厚文化内涵，开发涵盖教育读本、互动教具、数字视频课程的标准化课程资源包，转化为契合广大社会公众特别是青少年认知规律与兴趣特点的系列化教育产品，搭建资源丰富、运行高效的博物馆教育服务系统，实现教育内容线上线下双轨运营，全力满足全龄段观众文化体验需求与青少年研学教育需求，传承弘扬中华优秀传统文化，增强公众文化自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采购包1（传统文化教育课程资源研发项目）：属于专门面向中小企业采购。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1、授权委托书/法定代表人身份证明：提供法定代表人授权书(附法定代表人、被授权人身份证复印件)或提供法定代表人身份证明及身份证复印件（法定代表人直接参加磋商)。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西安碑林博物馆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陕西省西安市碑林区三学街15号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029-87217725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任晓洁、杨东峰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采购包1：497,800.00元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以成交金额为基数，由成交人按照国家计委颁发的《招标代理服务收费管理暂行办法》（计价格〔2002〕1980号）的标准向采购代理机构一次付清采购代理服务费，不足5000.00元的按5000.00元计取。开户名称：西北（陕西）国际招标有限公司；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西安碑林博物馆</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西安碑林博物馆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西安碑林博物馆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以采购合同约定为准。1.乙方需严格按照合同约定时限，保质保量完成读本研发、视频课程制作、教具开发等全部项目内容。 2.乙方需提供完善的售后技术支持等配套服务。 3.项目验收严格按照国家相关规定、采购需求及合同约定执行，若教育读本、视频课程、教学教具等产品质量不达标，或乙方无法履行售后服务承诺，采购方有权要求乙方限期整改，或按照合同约定追究相应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联系电话：029-89651862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是西安碑林博物馆履行公共文化教育使命、创新教育服务模式、提升优秀传统文化传播效能的专项工作。项目依托博物馆丰富文物资源与深厚文化内涵，开发涵盖教育读本、互动教具、数字视频课程的标准化课程资源包，转化为契合广大社会公众特别是青少年认知规律与兴趣特点的系列化教育产品，搭建资源丰富、运行高效的博物馆教育服务系统，实现教育内容线上线下双轨运营，全力满足全龄段观众文化体验需求与青少年研学教育需求，传承弘扬中华优秀传统文化，增强公众文化自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497,800.00</w:t>
      </w:r>
    </w:p>
    <w:p>
      <w:pPr>
        <w:pStyle w:val="null3"/>
      </w:pPr>
      <w:r>
        <w:rPr>
          <w:rFonts w:ascii="仿宋_GB2312" w:hAnsi="仿宋_GB2312" w:cs="仿宋_GB2312" w:eastAsia="仿宋_GB2312"/>
        </w:rPr>
        <w:t>采购包最高限价（元）: 497,800.00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传统文化教育课程资源研发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497,800.00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标的名称：传统文化教育课程资源研发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服务期限：合同签订后180天内完成课程资源包开发，合同签订后1年内完成教育读本研发、出版、印刷，全部内容制作完毕起1年内进行线上线下双轨运营。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服务范围及对象：项目服务覆盖入馆全龄段文化体验观众，核心服务对象为青少年研学团体，同步面向各类文化社会团体提供配套传统文化教育服务。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采购服务内容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教育读本研发：完成教育读本资料整理、内容校对、版式设计、印刷出品全流程工作，打造主题正向、深度融合中华优秀传统文化与碑林文化特色的教育读本。</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课程资源包开发：设计研发专业互动教具，策划、拍摄、制作标准化数字视频课程，形成完整的博物馆传统文化教育课程资源包。</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服务落地保障：推动教育内容线上线下双轨运营，全面提升西安碑林博物馆公共文化服务覆盖面与教育影响力。</w:t>
            </w:r>
          </w:p>
          <w:p>
            <w:pPr>
              <w:pStyle w:val="null3"/>
            </w:pPr>
            <w:r>
              <w:rPr>
                <w:rFonts w:ascii="仿宋_GB2312" w:hAnsi="仿宋_GB2312" w:cs="仿宋_GB2312" w:eastAsia="仿宋_GB2312"/>
                <w:sz w:val="21"/>
              </w:rPr>
              <w:t>4.</w:t>
            </w:r>
            <w:r>
              <w:rPr>
                <w:rFonts w:ascii="仿宋_GB2312" w:hAnsi="仿宋_GB2312" w:cs="仿宋_GB2312" w:eastAsia="仿宋_GB2312"/>
                <w:sz w:val="21"/>
              </w:rPr>
              <w:t>成交供应商需确保本次制作的相关视频作品在中省新闻媒体平台发布播出，并完成课程资源线上线下投放、试用优化及配套教育落地保障工作，供应商应具有视频制作及网络文化传播的相关工作经验和资格证书。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服务资质、技术及验收要求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（一）服务团队及资质要求</w:t>
            </w:r>
          </w:p>
          <w:p>
            <w:pPr>
              <w:pStyle w:val="null3"/>
              <w:jc w:val="both"/>
            </w:pPr>
            <w:r>
              <w:rPr>
                <w:rFonts w:ascii="仿宋_GB2312" w:hAnsi="仿宋_GB2312" w:cs="仿宋_GB2312" w:eastAsia="仿宋_GB2312"/>
                <w:sz w:val="21"/>
              </w:rPr>
              <w:t>供应商需配备对碑林文化有专业认知、具备碑林相关教育内容研发实操经验，且持有相关资质、行业经验丰富的采编人员；需配置全套专业拍摄设备、专业视频拍摄及后期剪辑制作团队；同时具备成熟的教学教具研发设计经验，能够保障项目全流程高质量推进。</w:t>
            </w:r>
          </w:p>
          <w:p>
            <w:pPr>
              <w:pStyle w:val="null3"/>
              <w:jc w:val="both"/>
            </w:pPr>
            <w:r>
              <w:rPr>
                <w:rFonts w:ascii="仿宋_GB2312" w:hAnsi="仿宋_GB2312" w:cs="仿宋_GB2312" w:eastAsia="仿宋_GB2312"/>
                <w:sz w:val="21"/>
              </w:rPr>
              <w:t>（二）技术及质量标准</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碑林传统文化教育课程配套教育图书出版：设计新颖、图文并茂、印刷精良，内容导向正向，贴合</w:t>
            </w:r>
            <w:r>
              <w:rPr>
                <w:rFonts w:ascii="仿宋_GB2312" w:hAnsi="仿宋_GB2312" w:cs="仿宋_GB2312" w:eastAsia="仿宋_GB2312"/>
                <w:sz w:val="21"/>
              </w:rPr>
              <w:t>广大社会公众</w:t>
            </w:r>
            <w:r>
              <w:rPr>
                <w:rFonts w:ascii="仿宋_GB2312" w:hAnsi="仿宋_GB2312" w:cs="仿宋_GB2312" w:eastAsia="仿宋_GB2312"/>
                <w:sz w:val="21"/>
              </w:rPr>
              <w:t>阅读与学习需求</w:t>
            </w:r>
            <w:r>
              <w:rPr>
                <w:rFonts w:ascii="仿宋_GB2312" w:hAnsi="仿宋_GB2312" w:cs="仿宋_GB2312" w:eastAsia="仿宋_GB2312"/>
                <w:sz w:val="21"/>
              </w:rPr>
              <w:t>。完成资料整理撰写、编审校对、图版设计及成品印制及配套外链内容制作，出版并印刷2000册，形成兼具知识性、教育性与专业性的传统文化教育读本，图书内容结合碑林文物，突出文化主题，用于馆内课程教学、研学活动及教学推广，进一步提升碑林传统文化教育课程的系统化建设水平与公共传播能力。</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碑林传统文化课程配套视频及数字化：内容主线清晰、文物解析精准到位，多角度呈现博物馆藏品，视频画质清晰、字幕准确无误、画面色调稳重合规。策划拍摄制作数字教学视频，视频流畅、表演设计合理，内容遵循课程主题；视频输出为常规视频格式（如：</w:t>
            </w:r>
            <w:r>
              <w:rPr>
                <w:rFonts w:ascii="仿宋_GB2312" w:hAnsi="仿宋_GB2312" w:cs="仿宋_GB2312" w:eastAsia="仿宋_GB2312"/>
                <w:sz w:val="21"/>
              </w:rPr>
              <w:t>MP4</w:t>
            </w:r>
            <w:r>
              <w:rPr>
                <w:rFonts w:ascii="仿宋_GB2312" w:hAnsi="仿宋_GB2312" w:cs="仿宋_GB2312" w:eastAsia="仿宋_GB2312"/>
                <w:sz w:val="21"/>
              </w:rPr>
              <w:t>、</w:t>
            </w:r>
            <w:r>
              <w:rPr>
                <w:rFonts w:ascii="仿宋_GB2312" w:hAnsi="仿宋_GB2312" w:cs="仿宋_GB2312" w:eastAsia="仿宋_GB2312"/>
                <w:sz w:val="21"/>
              </w:rPr>
              <w:t>AVI</w:t>
            </w:r>
            <w:r>
              <w:rPr>
                <w:rFonts w:ascii="仿宋_GB2312" w:hAnsi="仿宋_GB2312" w:cs="仿宋_GB2312" w:eastAsia="仿宋_GB2312"/>
                <w:sz w:val="21"/>
              </w:rPr>
              <w:t>），视频帧数不低于</w:t>
            </w:r>
            <w:r>
              <w:rPr>
                <w:rFonts w:ascii="仿宋_GB2312" w:hAnsi="仿宋_GB2312" w:cs="仿宋_GB2312" w:eastAsia="仿宋_GB2312"/>
                <w:sz w:val="21"/>
              </w:rPr>
              <w:t>25</w:t>
            </w:r>
            <w:r>
              <w:rPr>
                <w:rFonts w:ascii="仿宋_GB2312" w:hAnsi="仿宋_GB2312" w:cs="仿宋_GB2312" w:eastAsia="仿宋_GB2312"/>
                <w:sz w:val="21"/>
              </w:rPr>
              <w:t>帧</w:t>
            </w:r>
            <w:r>
              <w:rPr>
                <w:rFonts w:ascii="仿宋_GB2312" w:hAnsi="仿宋_GB2312" w:cs="仿宋_GB2312" w:eastAsia="仿宋_GB2312"/>
                <w:sz w:val="21"/>
              </w:rPr>
              <w:t>/</w:t>
            </w:r>
            <w:r>
              <w:rPr>
                <w:rFonts w:ascii="仿宋_GB2312" w:hAnsi="仿宋_GB2312" w:cs="仿宋_GB2312" w:eastAsia="仿宋_GB2312"/>
                <w:sz w:val="21"/>
              </w:rPr>
              <w:t>秒，总体分辨率不低于</w:t>
            </w:r>
            <w:r>
              <w:rPr>
                <w:rFonts w:ascii="仿宋_GB2312" w:hAnsi="仿宋_GB2312" w:cs="仿宋_GB2312" w:eastAsia="仿宋_GB2312"/>
                <w:sz w:val="21"/>
              </w:rPr>
              <w:t>1920*1080</w:t>
            </w:r>
            <w:r>
              <w:rPr>
                <w:rFonts w:ascii="仿宋_GB2312" w:hAnsi="仿宋_GB2312" w:cs="仿宋_GB2312" w:eastAsia="仿宋_GB2312"/>
                <w:sz w:val="21"/>
              </w:rPr>
              <w:t>。成交供应商需确保本次制作的相关视频作品在中省新闻媒体平台发布播出，并完成课程资源线上线下投放、试用优化及配套教育落地保障工作，供应商应具有视频制作及网络文化传播的相关工作经验和资格证书。</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碑林传统文化教学教具开发：产品绿色安全，完全符合国家相关质量、安全标准，设计贴合时代审美与教育需求，能够引发青少年及广大观众情感共鸣。结合碑林传统文化教育课程项目的课程体系深度、教学实施需求及数字文博公共教育定位，配套课程设计研发安全合规的互动教学教具，形成系列完整、内容丰富的可直接使用的标准化课程资源包。应兼具教育性与趣味性，通过实物教具或手工材料的形式辅助教学。</w:t>
            </w:r>
          </w:p>
          <w:p>
            <w:pPr>
              <w:pStyle w:val="null3"/>
              <w:jc w:val="both"/>
            </w:pPr>
            <w:r>
              <w:rPr>
                <w:rFonts w:ascii="仿宋_GB2312" w:hAnsi="仿宋_GB2312" w:cs="仿宋_GB2312" w:eastAsia="仿宋_GB2312"/>
                <w:sz w:val="21"/>
              </w:rPr>
              <w:t>（三）验收及售后服务要求</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供应商需严格按照合同约定时限，保质保量完成读本研发、视频课程制作、教具开发等全部项目内容。</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供应商需提供完善的售后技术支持等配套服务。</w:t>
            </w:r>
          </w:p>
          <w:p>
            <w:pPr>
              <w:pStyle w:val="null3"/>
            </w:pPr>
            <w:r>
              <w:rPr>
                <w:rFonts w:ascii="仿宋_GB2312" w:hAnsi="仿宋_GB2312" w:cs="仿宋_GB2312" w:eastAsia="仿宋_GB2312"/>
                <w:sz w:val="21"/>
              </w:rPr>
              <w:t xml:space="preserve">3. </w:t>
            </w:r>
            <w:r>
              <w:rPr>
                <w:rFonts w:ascii="仿宋_GB2312" w:hAnsi="仿宋_GB2312" w:cs="仿宋_GB2312" w:eastAsia="仿宋_GB2312"/>
                <w:sz w:val="21"/>
              </w:rPr>
              <w:t>项目验收严格按照国家相关规定、采购需求及合同约定执行，若教育读本、视频课程、教学教具等产品质量不达标，或供应商无法履行售后服务承诺，采购方有权要求供应商限期整改，或按照合同约定追究相应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合同签订后180天内完成课程资源包开发，合同签订后1年内完成教育读本研发、出版、印刷，全部内容制作完毕起1年内进行线上线下双轨运营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西安碑林博物馆指定地点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以采购合同约定为准。1.乙方需严格按照合同约定时限，保质保量完成读本研发、视频课程制作、教具开发等全部项目内容。 2.乙方需提供完善的售后技术支持等配套服务。 3.项目验收严格按照国家相关规定、采购需求及合同约定执行，若教育读本、视频课程、教学教具等产品质量不达标，或乙方无法履行售后服务承诺，采购方有权要求乙方限期整改，或按照合同约定追究相应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合同生效之日起30天内，达到付款条件起30个工作日内，支付合同总金额的90.0%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进度款，自项目验收完成之日起，达到付款条件起30个工作日内，支付合同总金额的10.0%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以采购合同约定为准。违约责任： １、因乙方原因，未能按规定时间完成有关工作的，每延误一天，甲方可在支付合同余款中扣除合同价款千分之一。 2、乙方交付的成果经验收不合格，应于7日内无条件修改，费用由乙方自行承担，在甲方要求整改后再次验收不合格的，甲方有权解除合同、要求乙方返还甲方已支付的合同款项，并有权要求乙方按合同总额%支付违约金。 3、若甲方发现乙方派出的人员不符合合同要求，乙方应在3天之内更换，否则甲方有权终止合同，并保留追究乙方责任及要求赔偿损失的权利。 4、乙方或其工作人员违反本合同约定的保密义务，甲方有权要求乙方按合同总额%支付违约金；造成不良影响或对甲方造成损失的，甲方有权要求乙方消除影响，承担赔偿责任，并有权解除合同。 5、因乙方提供的服务成果受到侵权指控或者引发法律纠纷，影响甲方使用服务成果或者导致合同目的不能实现的，甲方有权要求乙方按合同总额%支付违约金，并有权解除合同。 6.甲方未按合同约定支付服务费的，每逾期1日，按应付未付金额的0.1%向乙方支付违约金。 争议解决：因本合同的磋商、签订及履行等发生的与本合同有关的一切争议和纠纷，双方均应按有关法律规定及时协商处理，协商不成，可向向西安仲裁委员会提请仲裁。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依法缴纳税收的良好记录。提供缴费所属日期为投标截止时间前12个月内任一月份（磋商截止时间当月不计入）的缴费凭据或税务机关出具的完税证明或（在法规范围内不需提供的应出具书面说明或证明文件）；/或具有依法缴纳税收的诚信声明；以上二种形式的资料提供任何一种即可。3.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4.具有履行合同所必需的设备和专业技术能力。提供声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资格证明资料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监狱企业及残疾人企业视为小、微企业）。仅限符合《政府采购促进中小企业发展暂行办法》（财库〔2020〕46号）条件的中小企业参与，供应商应填写中小企业声明函并对真实性负责；若供应商为残疾人福利性单位的，提供《残疾人福利性单位声明函》；若供应商为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提供法定代表人授权书(附法定代表人、被授权人身份证复印件)或提供法定代表人身份证明及身份证复印件（法定代表人直接参加磋商)。</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2）磋商响应文件构成是否完整，即是否按磋商文件要求提供了完整的磋商响应文件； 3）磋商文件要求提供的其他内容（如有）。</w:t>
            </w:r>
          </w:p>
        </w:tc>
        <w:tc>
          <w:tcPr>
            <w:tcW w:type="dxa" w:w="1661"/>
          </w:tcPr>
          <w:p>
            <w:pPr>
              <w:pStyle w:val="null3"/>
            </w:pPr>
            <w:r>
              <w:rPr>
                <w:rFonts w:ascii="仿宋_GB2312" w:hAnsi="仿宋_GB2312" w:cs="仿宋_GB2312" w:eastAsia="仿宋_GB2312"/>
              </w:rPr>
              <w:t>资格证明资料 响应文件封面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资格证明资料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3.响应文件内容是否符合国家法律法规，没有重大偏离； 4.对磋商文件中规定的要求是否做出了实质性响应。</w:t>
            </w:r>
          </w:p>
        </w:tc>
        <w:tc>
          <w:tcPr>
            <w:tcW w:type="dxa" w:w="1661"/>
          </w:tcPr>
          <w:p>
            <w:pPr>
              <w:pStyle w:val="null3"/>
            </w:pPr>
            <w:r>
              <w:rPr>
                <w:rFonts w:ascii="仿宋_GB2312" w:hAnsi="仿宋_GB2312" w:cs="仿宋_GB2312" w:eastAsia="仿宋_GB2312"/>
              </w:rPr>
              <w:t>资格证明资料 响应文件封面 中小企业声明函 残疾人福利性单位声明函 商务应答表 服务方案 服务内容及服务要求应答表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碑林传统文化教学教具开发服务方案</w:t>
            </w:r>
          </w:p>
        </w:tc>
        <w:tc>
          <w:tcPr>
            <w:tcW w:type="dxa" w:w="2492"/>
          </w:tcPr>
          <w:p>
            <w:pPr>
              <w:pStyle w:val="null3"/>
            </w:pPr>
            <w:r>
              <w:rPr>
                <w:rFonts w:ascii="仿宋_GB2312" w:hAnsi="仿宋_GB2312" w:cs="仿宋_GB2312" w:eastAsia="仿宋_GB2312"/>
              </w:rPr>
              <w:t>针对本项目提供碑林传统文化教学教具开发方案，方案内容包括：①教具设计理念；②教具设计方案；③教具制作方案；④教具供货方案。 以上内容每具备一项得2分，最高得8分，每项中有一处缺陷扣0.1-1.5分，每项2分扣完为止。 备注：缺陷是指内容不合理、虽有内容但不完善、内容表述前后矛盾、与项目需求不匹配及其他不利于项目实施的等任意一种情形。未提供此项内容的得0分。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碑林传统文化教育课程配套教育图书出版服务方案</w:t>
            </w:r>
          </w:p>
        </w:tc>
        <w:tc>
          <w:tcPr>
            <w:tcW w:type="dxa" w:w="2492"/>
          </w:tcPr>
          <w:p>
            <w:pPr>
              <w:pStyle w:val="null3"/>
            </w:pPr>
            <w:r>
              <w:rPr>
                <w:rFonts w:ascii="仿宋_GB2312" w:hAnsi="仿宋_GB2312" w:cs="仿宋_GB2312" w:eastAsia="仿宋_GB2312"/>
              </w:rPr>
              <w:t>针对本项目提供碑林传统文化教育课程配套教育图书出版方案，方案内容包括：①审核、校对、设计方案；②出版印刷方案；③配套外链内容方案；④供货方案。 以上内容每具备一项得2分，最高得8分，每项中有一处缺陷扣0.1-1.5分，每项2分扣完为止。 备注：缺陷是指内容不合理、虽有内容但不完善、内容表述前后矛盾、与项目需求不匹配及其他不利于项目实施的等任意一种情形。未提供此项内容的得0分。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碑林传统文化课程配套视频及数字化服务方案</w:t>
            </w:r>
          </w:p>
        </w:tc>
        <w:tc>
          <w:tcPr>
            <w:tcW w:type="dxa" w:w="2492"/>
          </w:tcPr>
          <w:p>
            <w:pPr>
              <w:pStyle w:val="null3"/>
            </w:pPr>
            <w:r>
              <w:rPr>
                <w:rFonts w:ascii="仿宋_GB2312" w:hAnsi="仿宋_GB2312" w:cs="仿宋_GB2312" w:eastAsia="仿宋_GB2312"/>
              </w:rPr>
              <w:t>针对本项目提供碑林传统文化课程配套视频及数字化方案，供应商应具有视频制作及网络文化传播的相关工作经验和资格，方案内容包括：①制作思路及创意；②拍摄方案；③后期制作方案；④推广方案。 以上内容每具备一项得2分，最高得8分，每项中有一处缺陷扣0.1-1.5分，每项2分扣完为止。 备注：缺陷是指内容不合理、虽有内容但不完善、内容表述前后矛盾、与项目需求不匹配及其他不利于项目实施的等任意一种情形。未提供此项内容的得0分。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拟投入本项目的作业设备</w:t>
            </w:r>
          </w:p>
        </w:tc>
        <w:tc>
          <w:tcPr>
            <w:tcW w:type="dxa" w:w="2492"/>
          </w:tcPr>
          <w:p>
            <w:pPr>
              <w:pStyle w:val="null3"/>
            </w:pPr>
            <w:r>
              <w:rPr>
                <w:rFonts w:ascii="仿宋_GB2312" w:hAnsi="仿宋_GB2312" w:cs="仿宋_GB2312" w:eastAsia="仿宋_GB2312"/>
              </w:rPr>
              <w:t>提供拟投入本项目碑林传统文化课程配套视频拍摄、视频剪辑、后期制作中拟采用的设备清单，评审标准：①拟投入设备性能应完全满足项目需要、运行正常、数量充足，技术先进、性能良好；②提供设备购买、租赁的合法证明材料（包括但不限于购置发票、租赁协议等）。 以上内容每具备一项得2分，最高得4分，每项中有一处缺陷扣0.1-1.5分，每项2分扣完为止。 备注：缺陷是指内容不合理、虽有内容但不完善、内容表述前后矛盾、与项目需求不匹配及其他不利于项目实施的等任意一种情形。未提供此项内容的得0分。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针对项目内容提供进度保障措施，包括但不限于①进度计划安排；②进度保障措施。 以上内容每具备一项得2分，最高得4分，每项中有一处缺陷扣0.1-1.5分，每项2分扣完为止。 备注：缺陷是指内容不合理、虽有内容但不完善、内容表述前后矛盾、与项目需求不匹配及其他不利于项目实施的等任意一种情形。未提供此项内容的得0分。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针对项目内容提供质量保障措施，包括但不限于①内容制作质量控制措施；②服务质量承诺。 以上内容每具备一项得2分，最高得4分，每项中有一处缺陷扣0.1-1.5分，每项2分扣完为止。 备注：缺陷是指内容不合理、虽有内容但不完善、内容表述前后矛盾、与项目需求不匹配及其他不利于项目实施的等任意一种情形。未提供此项内容的得0分。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针对本项目采购需求中的人员要求提供团队人员配备方案，包括但不限于①项目负责人；②团队组织架构及工作分工。 以上内容每具备一项得2分，最高得4分，每项中有一处缺陷扣0.1-1.5分，每项2分扣完为止。 备注：缺陷是指内容不合理、虽有内容但不完善、内容表述前后矛盾、与项目需求不匹配及其他不利于项目实施的等任意一种情形。未提供此项内容的得0分。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服务内容及要求</w:t>
            </w:r>
          </w:p>
        </w:tc>
        <w:tc>
          <w:tcPr>
            <w:tcW w:type="dxa" w:w="2492"/>
          </w:tcPr>
          <w:p>
            <w:pPr>
              <w:pStyle w:val="null3"/>
            </w:pPr>
            <w:r>
              <w:rPr>
                <w:rFonts w:ascii="仿宋_GB2312" w:hAnsi="仿宋_GB2312" w:cs="仿宋_GB2312" w:eastAsia="仿宋_GB2312"/>
              </w:rPr>
              <w:t>满足第三章3.2.2服务要求的服务内容及要求，得18分，每有1项未标注“▲”或“★”指标负偏离或不满足扣1分，每有1项标注“▲”指标负偏离扣2分，18分扣完为止。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企业出版实力</w:t>
            </w:r>
          </w:p>
        </w:tc>
        <w:tc>
          <w:tcPr>
            <w:tcW w:type="dxa" w:w="2492"/>
          </w:tcPr>
          <w:p>
            <w:pPr>
              <w:pStyle w:val="null3"/>
            </w:pPr>
            <w:r>
              <w:rPr>
                <w:rFonts w:ascii="仿宋_GB2312" w:hAnsi="仿宋_GB2312" w:cs="仿宋_GB2312" w:eastAsia="仿宋_GB2312"/>
              </w:rPr>
              <w:t>供应商应具有合作出版经验，提供相关证明材料（包括但不限于合同复印件（或扫描件）、图书样例等，每提供一份得4分，满分12分。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须提供自2023年6月1日至今类似项目业绩，以供应商提供的合同或中标（成交）通知书复印件（或扫描件）为准（日期以合同签订时间或中标（成交）通知书时间为准），每提供一份得3分，满分15分；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满足采购文件要求且最终响应报价最低的报价为评审基准价，其价格分为满分。其他供应商的价格分统一按照下列公式计算：响应报价得分=(评审基准价÷评审价)×20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