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35738">
      <w:pPr>
        <w:ind w:right="25"/>
        <w:jc w:val="center"/>
        <w:rPr>
          <w:rFonts w:hint="eastAsia" w:ascii="宋体"/>
          <w:b/>
          <w:color w:val="auto"/>
          <w:sz w:val="84"/>
          <w:highlight w:val="none"/>
        </w:rPr>
      </w:pPr>
    </w:p>
    <w:p w14:paraId="3F4804B2">
      <w:pPr>
        <w:ind w:right="25"/>
        <w:jc w:val="center"/>
        <w:rPr>
          <w:rFonts w:hint="eastAsia" w:ascii="宋体" w:hAnsi="宋体"/>
          <w:b/>
          <w:color w:val="auto"/>
          <w:sz w:val="36"/>
          <w:szCs w:val="36"/>
          <w:highlight w:val="none"/>
          <w:lang w:eastAsia="zh-CN"/>
        </w:rPr>
      </w:pPr>
      <w:r>
        <w:rPr>
          <w:rFonts w:hint="eastAsia" w:ascii="宋体" w:hAnsi="宋体"/>
          <w:b/>
          <w:color w:val="auto"/>
          <w:sz w:val="36"/>
          <w:szCs w:val="36"/>
          <w:highlight w:val="none"/>
          <w:lang w:eastAsia="zh-CN"/>
        </w:rPr>
        <w:t>西安碑林博物馆传统文化教育课程资源研发项目</w:t>
      </w:r>
    </w:p>
    <w:p w14:paraId="5A828E21">
      <w:pPr>
        <w:ind w:right="25"/>
        <w:jc w:val="center"/>
        <w:rPr>
          <w:rFonts w:hint="eastAsia" w:ascii="宋体" w:hAnsi="宋体"/>
          <w:b/>
          <w:color w:val="auto"/>
          <w:sz w:val="36"/>
          <w:szCs w:val="36"/>
          <w:highlight w:val="none"/>
          <w:lang w:eastAsia="zh-CN"/>
        </w:rPr>
      </w:pPr>
    </w:p>
    <w:p w14:paraId="46C5DAC7">
      <w:pPr>
        <w:ind w:right="25"/>
        <w:jc w:val="center"/>
        <w:rPr>
          <w:rFonts w:hint="eastAsia" w:ascii="宋体"/>
          <w:b/>
          <w:color w:val="auto"/>
          <w:sz w:val="84"/>
          <w:highlight w:val="none"/>
        </w:rPr>
      </w:pPr>
      <w:bookmarkStart w:id="0" w:name="_GoBack"/>
      <w:bookmarkEnd w:id="0"/>
    </w:p>
    <w:p w14:paraId="4708A8B3">
      <w:pPr>
        <w:ind w:right="25"/>
        <w:jc w:val="center"/>
        <w:rPr>
          <w:rFonts w:hint="eastAsia" w:ascii="宋体"/>
          <w:b/>
          <w:color w:val="auto"/>
          <w:sz w:val="84"/>
          <w:highlight w:val="none"/>
        </w:rPr>
      </w:pPr>
    </w:p>
    <w:p w14:paraId="2E8CBA5F">
      <w:pPr>
        <w:ind w:right="25"/>
        <w:jc w:val="center"/>
        <w:rPr>
          <w:rFonts w:ascii="宋体"/>
          <w:b/>
          <w:color w:val="auto"/>
          <w:sz w:val="84"/>
          <w:highlight w:val="none"/>
        </w:rPr>
      </w:pPr>
      <w:r>
        <w:rPr>
          <w:rFonts w:hint="eastAsia" w:ascii="宋体"/>
          <w:b/>
          <w:color w:val="auto"/>
          <w:sz w:val="84"/>
          <w:highlight w:val="none"/>
          <w:lang w:eastAsia="zh-CN"/>
        </w:rPr>
        <w:t>服</w:t>
      </w:r>
      <w:r>
        <w:rPr>
          <w:rFonts w:hint="eastAsia" w:ascii="宋体"/>
          <w:b/>
          <w:color w:val="auto"/>
          <w:sz w:val="84"/>
          <w:highlight w:val="none"/>
          <w:lang w:val="en-US" w:eastAsia="zh-CN"/>
        </w:rPr>
        <w:t xml:space="preserve"> </w:t>
      </w:r>
      <w:r>
        <w:rPr>
          <w:rFonts w:hint="eastAsia" w:ascii="宋体"/>
          <w:b/>
          <w:color w:val="auto"/>
          <w:sz w:val="84"/>
          <w:highlight w:val="none"/>
          <w:lang w:eastAsia="zh-CN"/>
        </w:rPr>
        <w:t>务</w:t>
      </w:r>
      <w:r>
        <w:rPr>
          <w:rFonts w:hint="eastAsia" w:ascii="宋体"/>
          <w:b/>
          <w:color w:val="auto"/>
          <w:sz w:val="84"/>
          <w:highlight w:val="none"/>
        </w:rPr>
        <w:t xml:space="preserve"> 合 同</w:t>
      </w:r>
    </w:p>
    <w:p w14:paraId="56EC953C">
      <w:pPr>
        <w:ind w:left="1260" w:right="25"/>
        <w:rPr>
          <w:rFonts w:ascii="宋体"/>
          <w:color w:val="auto"/>
          <w:sz w:val="28"/>
          <w:highlight w:val="none"/>
        </w:rPr>
      </w:pPr>
    </w:p>
    <w:p w14:paraId="0E8D0775">
      <w:pPr>
        <w:ind w:left="1260" w:right="25"/>
        <w:rPr>
          <w:rFonts w:ascii="宋体"/>
          <w:color w:val="auto"/>
          <w:sz w:val="28"/>
          <w:highlight w:val="none"/>
        </w:rPr>
      </w:pPr>
    </w:p>
    <w:p w14:paraId="6AF4DF71">
      <w:pPr>
        <w:ind w:left="1260" w:right="25"/>
        <w:rPr>
          <w:rFonts w:ascii="宋体"/>
          <w:color w:val="auto"/>
          <w:sz w:val="28"/>
          <w:highlight w:val="none"/>
        </w:rPr>
      </w:pPr>
    </w:p>
    <w:p w14:paraId="04FF3994">
      <w:pPr>
        <w:ind w:left="1260" w:right="25"/>
        <w:rPr>
          <w:rFonts w:ascii="宋体"/>
          <w:color w:val="auto"/>
          <w:sz w:val="28"/>
          <w:highlight w:val="none"/>
        </w:rPr>
      </w:pPr>
    </w:p>
    <w:p w14:paraId="3C7184EC">
      <w:pPr>
        <w:ind w:left="1260" w:right="25"/>
        <w:rPr>
          <w:rFonts w:ascii="宋体"/>
          <w:color w:val="auto"/>
          <w:sz w:val="28"/>
          <w:highlight w:val="none"/>
        </w:rPr>
      </w:pPr>
    </w:p>
    <w:p w14:paraId="57DA352B">
      <w:pPr>
        <w:ind w:left="1260" w:right="25"/>
        <w:rPr>
          <w:rFonts w:ascii="宋体"/>
          <w:color w:val="auto"/>
          <w:sz w:val="28"/>
          <w:highlight w:val="none"/>
        </w:rPr>
      </w:pPr>
    </w:p>
    <w:p w14:paraId="105DF8E0">
      <w:pPr>
        <w:ind w:left="1915" w:leftChars="912" w:right="25" w:firstLine="0" w:firstLineChars="0"/>
        <w:jc w:val="left"/>
        <w:rPr>
          <w:rFonts w:hint="eastAsia" w:ascii="宋体"/>
          <w:b/>
          <w:color w:val="auto"/>
          <w:w w:val="90"/>
          <w:sz w:val="32"/>
          <w:szCs w:val="32"/>
          <w:highlight w:val="none"/>
        </w:rPr>
      </w:pPr>
      <w:r>
        <w:rPr>
          <w:rFonts w:hint="eastAsia" w:ascii="宋体"/>
          <w:b/>
          <w:color w:val="auto"/>
          <w:w w:val="90"/>
          <w:sz w:val="32"/>
          <w:szCs w:val="32"/>
          <w:highlight w:val="none"/>
        </w:rPr>
        <w:t>委托方：西安碑林博物馆(甲方）</w:t>
      </w:r>
    </w:p>
    <w:p w14:paraId="41768307">
      <w:pPr>
        <w:ind w:left="638" w:leftChars="304" w:right="25" w:firstLine="1285" w:firstLineChars="400"/>
        <w:jc w:val="left"/>
        <w:rPr>
          <w:rFonts w:ascii="宋体" w:hAnsi="宋体"/>
          <w:b/>
          <w:color w:val="auto"/>
          <w:sz w:val="32"/>
          <w:szCs w:val="32"/>
          <w:highlight w:val="none"/>
        </w:rPr>
      </w:pPr>
      <w:r>
        <w:rPr>
          <w:rFonts w:hint="eastAsia" w:ascii="宋体" w:hAnsi="宋体"/>
          <w:b/>
          <w:color w:val="auto"/>
          <w:sz w:val="32"/>
          <w:szCs w:val="32"/>
          <w:highlight w:val="none"/>
        </w:rPr>
        <w:t>承揽方：</w:t>
      </w:r>
      <w:r>
        <w:rPr>
          <w:rFonts w:hint="eastAsia" w:ascii="宋体" w:hAnsi="宋体"/>
          <w:b/>
          <w:color w:val="auto"/>
          <w:sz w:val="32"/>
          <w:szCs w:val="32"/>
          <w:highlight w:val="none"/>
          <w:u w:val="single"/>
        </w:rPr>
        <w:t xml:space="preserve">      </w:t>
      </w:r>
      <w:r>
        <w:rPr>
          <w:rFonts w:hint="eastAsia" w:ascii="宋体" w:hAnsi="宋体"/>
          <w:b/>
          <w:color w:val="auto"/>
          <w:sz w:val="32"/>
          <w:szCs w:val="32"/>
          <w:highlight w:val="none"/>
          <w:u w:val="single"/>
          <w:lang w:val="en-US" w:eastAsia="zh-CN"/>
        </w:rPr>
        <w:t xml:space="preserve">  </w:t>
      </w:r>
      <w:r>
        <w:rPr>
          <w:rFonts w:hint="eastAsia" w:ascii="宋体" w:hAnsi="宋体"/>
          <w:b/>
          <w:color w:val="auto"/>
          <w:sz w:val="32"/>
          <w:szCs w:val="32"/>
          <w:highlight w:val="none"/>
          <w:u w:val="single"/>
        </w:rPr>
        <w:t xml:space="preserve">  </w:t>
      </w:r>
      <w:r>
        <w:rPr>
          <w:rFonts w:hint="eastAsia" w:ascii="宋体" w:hAnsi="宋体"/>
          <w:b/>
          <w:color w:val="auto"/>
          <w:sz w:val="32"/>
          <w:szCs w:val="32"/>
          <w:highlight w:val="none"/>
          <w:u w:val="single"/>
          <w:lang w:val="en-US" w:eastAsia="zh-CN"/>
        </w:rPr>
        <w:t xml:space="preserve"> </w:t>
      </w:r>
      <w:r>
        <w:rPr>
          <w:rFonts w:hint="eastAsia" w:ascii="宋体" w:hAnsi="宋体"/>
          <w:b/>
          <w:color w:val="auto"/>
          <w:sz w:val="32"/>
          <w:szCs w:val="32"/>
          <w:highlight w:val="none"/>
          <w:u w:val="single"/>
        </w:rPr>
        <w:t xml:space="preserve"> </w:t>
      </w:r>
      <w:r>
        <w:rPr>
          <w:rFonts w:hint="eastAsia" w:ascii="宋体" w:hAnsi="宋体"/>
          <w:b/>
          <w:color w:val="auto"/>
          <w:sz w:val="32"/>
          <w:szCs w:val="32"/>
          <w:highlight w:val="none"/>
        </w:rPr>
        <w:t>(乙方)</w:t>
      </w:r>
    </w:p>
    <w:p w14:paraId="7131B328">
      <w:pPr>
        <w:tabs>
          <w:tab w:val="left" w:pos="7920"/>
        </w:tabs>
        <w:ind w:right="25"/>
        <w:rPr>
          <w:rFonts w:hint="eastAsia" w:ascii="宋体" w:hAnsi="宋体"/>
          <w:b/>
          <w:color w:val="auto"/>
          <w:sz w:val="28"/>
          <w:szCs w:val="28"/>
          <w:highlight w:val="none"/>
        </w:rPr>
        <w:sectPr>
          <w:footerReference r:id="rId4" w:type="first"/>
          <w:footerReference r:id="rId3" w:type="default"/>
          <w:pgSz w:w="11907" w:h="16840"/>
          <w:pgMar w:top="1418" w:right="1134" w:bottom="1418" w:left="1588" w:header="851" w:footer="992" w:gutter="0"/>
          <w:pgNumType w:fmt="decimal" w:start="1"/>
          <w:cols w:space="720" w:num="1"/>
          <w:titlePg/>
          <w:docGrid w:type="lines" w:linePitch="312" w:charSpace="0"/>
        </w:sectPr>
      </w:pPr>
    </w:p>
    <w:p w14:paraId="5FBE8D68">
      <w:pPr>
        <w:tabs>
          <w:tab w:val="left" w:pos="7920"/>
        </w:tabs>
        <w:spacing w:line="360" w:lineRule="auto"/>
        <w:ind w:left="843" w:right="25" w:hanging="843" w:hangingChars="4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委托方：西安碑林博物馆（以下简称甲方）</w:t>
      </w:r>
    </w:p>
    <w:p w14:paraId="50220370">
      <w:pPr>
        <w:tabs>
          <w:tab w:val="left" w:pos="7920"/>
        </w:tabs>
        <w:spacing w:line="360" w:lineRule="auto"/>
        <w:ind w:right="25"/>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承揽方：</w:t>
      </w:r>
      <w:r>
        <w:rPr>
          <w:rFonts w:hint="eastAsia" w:ascii="宋体" w:hAnsi="宋体" w:eastAsia="宋体" w:cs="宋体"/>
          <w:b/>
          <w:color w:val="auto"/>
          <w:sz w:val="21"/>
          <w:szCs w:val="21"/>
          <w:highlight w:val="none"/>
          <w:u w:val="single"/>
        </w:rPr>
        <w:t xml:space="preserve">            </w:t>
      </w:r>
      <w:r>
        <w:rPr>
          <w:rFonts w:hint="eastAsia" w:ascii="宋体" w:hAnsi="宋体" w:cs="宋体"/>
          <w:b/>
          <w:color w:val="auto"/>
          <w:sz w:val="21"/>
          <w:szCs w:val="21"/>
          <w:highlight w:val="none"/>
          <w:u w:val="single"/>
          <w:lang w:val="en-US" w:eastAsia="zh-CN"/>
        </w:rPr>
        <w:t xml:space="preserve">  </w:t>
      </w:r>
      <w:r>
        <w:rPr>
          <w:rFonts w:hint="eastAsia" w:ascii="宋体" w:hAnsi="宋体" w:eastAsia="宋体" w:cs="宋体"/>
          <w:b/>
          <w:color w:val="auto"/>
          <w:sz w:val="21"/>
          <w:szCs w:val="21"/>
          <w:highlight w:val="none"/>
          <w:u w:val="single"/>
        </w:rPr>
        <w:t xml:space="preserve">  </w:t>
      </w:r>
      <w:r>
        <w:rPr>
          <w:rFonts w:hint="eastAsia" w:ascii="宋体" w:hAnsi="宋体" w:eastAsia="宋体" w:cs="宋体"/>
          <w:b/>
          <w:color w:val="auto"/>
          <w:sz w:val="21"/>
          <w:szCs w:val="21"/>
          <w:highlight w:val="none"/>
        </w:rPr>
        <w:t>（以下简称乙方）</w:t>
      </w:r>
    </w:p>
    <w:p w14:paraId="562767F8">
      <w:pPr>
        <w:pStyle w:val="3"/>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根据《中华人民共和国民法典》和有关法律法规，经甲、乙双方协商一致签订本合同。</w:t>
      </w:r>
    </w:p>
    <w:p w14:paraId="29048249">
      <w:pPr>
        <w:spacing w:line="360" w:lineRule="auto"/>
        <w:ind w:firstLine="422" w:firstLineChars="20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eastAsia="zh-CN"/>
        </w:rPr>
        <w:t>第一条</w:t>
      </w:r>
      <w:r>
        <w:rPr>
          <w:rFonts w:hint="eastAsia" w:ascii="宋体" w:hAnsi="宋体" w:eastAsia="宋体" w:cs="宋体"/>
          <w:b/>
          <w:color w:val="auto"/>
          <w:sz w:val="21"/>
          <w:szCs w:val="21"/>
          <w:highlight w:val="none"/>
          <w:lang w:val="en-US" w:eastAsia="zh-CN"/>
        </w:rPr>
        <w:t xml:space="preserve"> 项目概况</w:t>
      </w:r>
    </w:p>
    <w:p w14:paraId="2B20110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是西安碑林博物馆履行公共文化教育使命、创新教育服务模式、提升优秀传统文化传播效能的专项工作。项目依托博物馆丰富文物资源与深厚文化内涵，开发涵盖教育读本、互动教具、数字视频课程的标准化课程资源包，转化为契合</w:t>
      </w:r>
      <w:r>
        <w:rPr>
          <w:rFonts w:hint="eastAsia" w:ascii="宋体" w:hAnsi="宋体" w:eastAsia="宋体" w:cs="宋体"/>
          <w:color w:val="auto"/>
          <w:sz w:val="21"/>
          <w:szCs w:val="21"/>
          <w:highlight w:val="none"/>
          <w:lang w:eastAsia="zh-CN"/>
        </w:rPr>
        <w:t>广大社会公众特别是</w:t>
      </w:r>
      <w:r>
        <w:rPr>
          <w:rFonts w:hint="eastAsia" w:ascii="宋体" w:hAnsi="宋体" w:eastAsia="宋体" w:cs="宋体"/>
          <w:color w:val="auto"/>
          <w:sz w:val="21"/>
          <w:szCs w:val="21"/>
          <w:highlight w:val="none"/>
        </w:rPr>
        <w:t>青少年认知规律与兴趣特点的系列化教育产品，搭建资源丰富、运行高效的</w:t>
      </w:r>
      <w:r>
        <w:rPr>
          <w:rFonts w:hint="eastAsia" w:ascii="宋体" w:hAnsi="宋体" w:eastAsia="宋体" w:cs="宋体"/>
          <w:color w:val="auto"/>
          <w:sz w:val="21"/>
          <w:szCs w:val="21"/>
          <w:highlight w:val="none"/>
          <w:lang w:eastAsia="zh-CN"/>
        </w:rPr>
        <w:t>博物馆</w:t>
      </w:r>
      <w:r>
        <w:rPr>
          <w:rFonts w:hint="eastAsia" w:ascii="宋体" w:hAnsi="宋体" w:eastAsia="宋体" w:cs="宋体"/>
          <w:color w:val="auto"/>
          <w:sz w:val="21"/>
          <w:szCs w:val="21"/>
          <w:highlight w:val="none"/>
        </w:rPr>
        <w:t>教育服务系统，实现教育内容线上线下双轨运营，全力满足全龄段观众文化体验需求与青少年研学教育需求，传承弘扬中华优秀传统文化，增强公众文化自信。</w:t>
      </w:r>
    </w:p>
    <w:p w14:paraId="4D0651D6">
      <w:pPr>
        <w:spacing w:line="360" w:lineRule="auto"/>
        <w:ind w:right="25" w:firstLine="422" w:firstLineChars="200"/>
        <w:outlineLvl w:val="9"/>
        <w:rPr>
          <w:rFonts w:hint="eastAsia" w:ascii="宋体" w:hAnsi="宋体" w:eastAsia="宋体" w:cs="宋体"/>
          <w:color w:val="auto"/>
          <w:sz w:val="21"/>
          <w:szCs w:val="21"/>
          <w:highlight w:val="none"/>
          <w:lang w:eastAsia="zh-CN"/>
        </w:rPr>
      </w:pPr>
      <w:r>
        <w:rPr>
          <w:rFonts w:hint="eastAsia" w:ascii="宋体" w:hAnsi="宋体" w:eastAsia="宋体" w:cs="宋体"/>
          <w:b/>
          <w:color w:val="auto"/>
          <w:sz w:val="21"/>
          <w:szCs w:val="21"/>
          <w:highlight w:val="none"/>
        </w:rPr>
        <w:t xml:space="preserve">第二条 </w:t>
      </w:r>
      <w:r>
        <w:rPr>
          <w:rFonts w:hint="eastAsia" w:ascii="宋体" w:hAnsi="宋体" w:eastAsia="宋体" w:cs="宋体"/>
          <w:b/>
          <w:color w:val="auto"/>
          <w:sz w:val="21"/>
          <w:szCs w:val="21"/>
          <w:highlight w:val="none"/>
          <w:lang w:eastAsia="zh-CN"/>
        </w:rPr>
        <w:t>采购内容</w:t>
      </w:r>
    </w:p>
    <w:p w14:paraId="1EDBBE77">
      <w:pPr>
        <w:snapToGrid w:val="0"/>
        <w:spacing w:line="360" w:lineRule="auto"/>
        <w:ind w:firstLine="422" w:firstLineChars="200"/>
        <w:rPr>
          <w:rFonts w:hint="eastAsia" w:ascii="宋体" w:hAnsi="宋体" w:eastAsia="宋体" w:cs="Times New Roman"/>
          <w:b/>
          <w:bCs/>
          <w:color w:val="auto"/>
          <w:position w:val="0"/>
          <w:sz w:val="21"/>
          <w:szCs w:val="21"/>
          <w:highlight w:val="none"/>
        </w:rPr>
      </w:pPr>
      <w:r>
        <w:rPr>
          <w:rFonts w:hint="eastAsia" w:ascii="宋体" w:hAnsi="宋体"/>
          <w:b/>
          <w:bCs/>
          <w:color w:val="auto"/>
          <w:position w:val="0"/>
          <w:sz w:val="21"/>
          <w:szCs w:val="21"/>
          <w:highlight w:val="none"/>
        </w:rPr>
        <w:t>（</w:t>
      </w:r>
      <w:r>
        <w:rPr>
          <w:rFonts w:hint="eastAsia" w:ascii="宋体" w:hAnsi="宋体"/>
          <w:b/>
          <w:bCs/>
          <w:color w:val="auto"/>
          <w:position w:val="0"/>
          <w:sz w:val="21"/>
          <w:szCs w:val="21"/>
          <w:highlight w:val="none"/>
          <w:lang w:eastAsia="zh-CN"/>
        </w:rPr>
        <w:t>一</w:t>
      </w:r>
      <w:r>
        <w:rPr>
          <w:rFonts w:hint="eastAsia" w:ascii="宋体" w:hAnsi="宋体"/>
          <w:b/>
          <w:bCs/>
          <w:color w:val="auto"/>
          <w:position w:val="0"/>
          <w:sz w:val="21"/>
          <w:szCs w:val="21"/>
          <w:highlight w:val="none"/>
        </w:rPr>
        <w:t>）服务内容</w:t>
      </w:r>
    </w:p>
    <w:p w14:paraId="5CCD3743">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color w:val="auto"/>
          <w:position w:val="0"/>
          <w:sz w:val="21"/>
          <w:szCs w:val="21"/>
          <w:highlight w:val="none"/>
        </w:rPr>
        <w:t>1.教育读本研发：</w:t>
      </w:r>
      <w:r>
        <w:rPr>
          <w:rFonts w:hint="eastAsia" w:ascii="宋体" w:hAnsi="宋体" w:eastAsia="宋体" w:cs="宋体"/>
          <w:color w:val="auto"/>
          <w:sz w:val="21"/>
          <w:szCs w:val="21"/>
          <w:highlight w:val="none"/>
        </w:rPr>
        <w:t>完成教育读本资料整理、内容校对、版式设计、印刷出品全流程工作，打造主题正向、深度融合中华优秀传统文化与碑林文化特色的教育读本。</w:t>
      </w:r>
    </w:p>
    <w:p w14:paraId="6F7BEFAD">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2.课程资源包开发：设计研发专业互动教具，策划、拍摄、制作标准化数字视频课程，形成完整的博物馆传统文化教育课程资源包。</w:t>
      </w:r>
    </w:p>
    <w:p w14:paraId="1E9F4EE2">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3.服务落地保障：推动教育内容线上线下双轨运营，全面提升西安碑林博物馆公共文化服务覆盖面与教育影响力。</w:t>
      </w:r>
    </w:p>
    <w:p w14:paraId="036EE6C6">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4.</w:t>
      </w:r>
      <w:r>
        <w:rPr>
          <w:rFonts w:hint="eastAsia" w:ascii="宋体" w:hAnsi="宋体"/>
          <w:color w:val="auto"/>
          <w:position w:val="0"/>
          <w:sz w:val="21"/>
          <w:szCs w:val="21"/>
          <w:highlight w:val="none"/>
          <w:lang w:eastAsia="zh-CN"/>
        </w:rPr>
        <w:t>乙方</w:t>
      </w:r>
      <w:r>
        <w:rPr>
          <w:rFonts w:hint="eastAsia" w:ascii="宋体" w:hAnsi="宋体"/>
          <w:color w:val="auto"/>
          <w:position w:val="0"/>
          <w:sz w:val="21"/>
          <w:szCs w:val="21"/>
          <w:highlight w:val="none"/>
        </w:rPr>
        <w:t>需确保本次制作的相关视频作品在中省新闻媒体平台发布播出，并完成课程资源线上线下投放、试用优化及配套教育落地保障工作，</w:t>
      </w:r>
      <w:r>
        <w:rPr>
          <w:rFonts w:hint="eastAsia" w:ascii="宋体" w:hAnsi="宋体"/>
          <w:color w:val="auto"/>
          <w:position w:val="0"/>
          <w:sz w:val="21"/>
          <w:szCs w:val="21"/>
          <w:highlight w:val="none"/>
          <w:lang w:eastAsia="zh-CN"/>
        </w:rPr>
        <w:t>乙方</w:t>
      </w:r>
      <w:r>
        <w:rPr>
          <w:rFonts w:hint="eastAsia" w:ascii="宋体" w:hAnsi="宋体"/>
          <w:color w:val="auto"/>
          <w:position w:val="0"/>
          <w:sz w:val="21"/>
          <w:szCs w:val="21"/>
          <w:highlight w:val="none"/>
        </w:rPr>
        <w:t>应具有视频制作及网络文化传播的相关工作经验和资格证书。</w:t>
      </w:r>
    </w:p>
    <w:p w14:paraId="65B58B09">
      <w:pPr>
        <w:snapToGrid w:val="0"/>
        <w:spacing w:line="360" w:lineRule="auto"/>
        <w:ind w:firstLine="422" w:firstLineChars="200"/>
        <w:rPr>
          <w:rFonts w:hint="eastAsia" w:ascii="宋体" w:hAnsi="宋体"/>
          <w:b/>
          <w:bCs/>
          <w:color w:val="auto"/>
          <w:position w:val="0"/>
          <w:sz w:val="21"/>
          <w:szCs w:val="21"/>
          <w:highlight w:val="none"/>
        </w:rPr>
      </w:pPr>
      <w:r>
        <w:rPr>
          <w:rFonts w:hint="eastAsia" w:ascii="宋体" w:hAnsi="宋体"/>
          <w:b/>
          <w:bCs/>
          <w:color w:val="auto"/>
          <w:position w:val="0"/>
          <w:sz w:val="21"/>
          <w:szCs w:val="21"/>
          <w:highlight w:val="none"/>
        </w:rPr>
        <w:t>（二）服务要求</w:t>
      </w:r>
    </w:p>
    <w:p w14:paraId="1A0909B7">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1.服务</w:t>
      </w:r>
      <w:r>
        <w:rPr>
          <w:rFonts w:hint="eastAsia" w:ascii="宋体" w:hAnsi="宋体"/>
          <w:color w:val="auto"/>
          <w:position w:val="0"/>
          <w:sz w:val="21"/>
          <w:szCs w:val="21"/>
          <w:highlight w:val="none"/>
          <w:lang w:eastAsia="zh-CN"/>
        </w:rPr>
        <w:t>期限</w:t>
      </w:r>
      <w:r>
        <w:rPr>
          <w:rFonts w:hint="eastAsia" w:ascii="宋体" w:hAnsi="宋体"/>
          <w:color w:val="auto"/>
          <w:position w:val="0"/>
          <w:sz w:val="21"/>
          <w:szCs w:val="21"/>
          <w:highlight w:val="none"/>
        </w:rPr>
        <w:t>：</w:t>
      </w:r>
      <w:r>
        <w:rPr>
          <w:rFonts w:hint="eastAsia" w:ascii="宋体" w:hAnsi="宋体"/>
          <w:color w:val="auto"/>
          <w:position w:val="0"/>
          <w:sz w:val="21"/>
          <w:szCs w:val="21"/>
          <w:highlight w:val="none"/>
          <w:u w:val="single"/>
          <w:lang w:val="en-US" w:eastAsia="zh-CN"/>
        </w:rPr>
        <w:t xml:space="preserve">            </w:t>
      </w:r>
      <w:r>
        <w:rPr>
          <w:rFonts w:hint="eastAsia" w:ascii="宋体" w:hAnsi="宋体"/>
          <w:color w:val="auto"/>
          <w:position w:val="0"/>
          <w:sz w:val="21"/>
          <w:szCs w:val="21"/>
          <w:highlight w:val="none"/>
        </w:rPr>
        <w:t>。</w:t>
      </w:r>
    </w:p>
    <w:p w14:paraId="5560E8BE">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lang w:val="en-US" w:eastAsia="zh-CN"/>
        </w:rPr>
        <w:t>2.</w:t>
      </w:r>
      <w:r>
        <w:rPr>
          <w:rFonts w:hint="eastAsia" w:ascii="宋体" w:hAnsi="宋体"/>
          <w:color w:val="auto"/>
          <w:position w:val="0"/>
          <w:sz w:val="21"/>
          <w:szCs w:val="21"/>
          <w:highlight w:val="none"/>
        </w:rPr>
        <w:t>服务团队及资质要求</w:t>
      </w:r>
    </w:p>
    <w:p w14:paraId="5674BA88">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lang w:eastAsia="zh-CN"/>
        </w:rPr>
        <w:t>乙方</w:t>
      </w:r>
      <w:r>
        <w:rPr>
          <w:rFonts w:hint="eastAsia" w:ascii="宋体" w:hAnsi="宋体"/>
          <w:color w:val="auto"/>
          <w:position w:val="0"/>
          <w:sz w:val="21"/>
          <w:szCs w:val="21"/>
          <w:highlight w:val="none"/>
        </w:rPr>
        <w:t>需配备对碑林文化有专业认知、具备碑林相关教育内容研发实操经验，且持有相关资质、行业经验丰富的采编人员；需配置全套专业拍摄设备、专业视频拍摄及后期剪辑制作团队；同时具备成熟的教学教具研发设计经验，能够保障项目全流程高质量推进。</w:t>
      </w:r>
    </w:p>
    <w:p w14:paraId="1BD9E51E">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lang w:val="en-US" w:eastAsia="zh-CN"/>
        </w:rPr>
        <w:t>3.</w:t>
      </w:r>
      <w:r>
        <w:rPr>
          <w:rFonts w:hint="eastAsia" w:ascii="宋体" w:hAnsi="宋体"/>
          <w:color w:val="auto"/>
          <w:position w:val="0"/>
          <w:sz w:val="21"/>
          <w:szCs w:val="21"/>
          <w:highlight w:val="none"/>
        </w:rPr>
        <w:t>技术及质量标准</w:t>
      </w:r>
    </w:p>
    <w:p w14:paraId="3A2D03B8">
      <w:pPr>
        <w:snapToGrid w:val="0"/>
        <w:spacing w:line="360" w:lineRule="auto"/>
        <w:ind w:firstLine="420" w:firstLineChars="200"/>
        <w:rPr>
          <w:rFonts w:hint="eastAsia" w:ascii="宋体" w:hAnsi="宋体" w:cs="宋体"/>
          <w:b/>
          <w:bCs/>
          <w:color w:val="auto"/>
          <w:sz w:val="21"/>
          <w:szCs w:val="21"/>
          <w:highlight w:val="none"/>
          <w:u w:val="single"/>
          <w:lang w:eastAsia="zh-CN"/>
        </w:rPr>
      </w:pPr>
      <w:r>
        <w:rPr>
          <w:rFonts w:hint="eastAsia" w:ascii="宋体" w:hAnsi="宋体"/>
          <w:color w:val="auto"/>
          <w:position w:val="0"/>
          <w:sz w:val="21"/>
          <w:szCs w:val="21"/>
          <w:highlight w:val="none"/>
          <w:lang w:val="en-US" w:eastAsia="zh-CN"/>
        </w:rPr>
        <w:t>3.1</w:t>
      </w:r>
      <w:r>
        <w:rPr>
          <w:rFonts w:hint="eastAsia" w:ascii="宋体" w:hAnsi="宋体"/>
          <w:color w:val="auto"/>
          <w:position w:val="0"/>
          <w:sz w:val="21"/>
          <w:szCs w:val="21"/>
          <w:highlight w:val="none"/>
        </w:rPr>
        <w:t>碑林传统文化教育课程配套教育图书出版：设计新颖、图文并茂、印刷精良，内容导向正向，</w:t>
      </w:r>
      <w:r>
        <w:rPr>
          <w:rFonts w:hint="eastAsia" w:ascii="宋体" w:hAnsi="宋体"/>
          <w:color w:val="auto"/>
          <w:position w:val="0"/>
          <w:sz w:val="21"/>
          <w:szCs w:val="21"/>
          <w:highlight w:val="none"/>
          <w:lang w:eastAsia="zh-CN"/>
        </w:rPr>
        <w:t>贴合广大社会公众</w:t>
      </w:r>
      <w:r>
        <w:rPr>
          <w:rFonts w:hint="eastAsia" w:ascii="宋体" w:hAnsi="宋体"/>
          <w:color w:val="auto"/>
          <w:position w:val="0"/>
          <w:sz w:val="21"/>
          <w:szCs w:val="21"/>
          <w:highlight w:val="none"/>
        </w:rPr>
        <w:t>阅读与学习需求。完成资料整理撰写、编审校对、图版设计及成品印制及配套外链内容制作，出版并印刷2000册，形成兼具知识性、教育性与</w:t>
      </w:r>
      <w:r>
        <w:rPr>
          <w:rFonts w:hint="eastAsia" w:ascii="宋体" w:hAnsi="宋体"/>
          <w:color w:val="auto"/>
          <w:position w:val="0"/>
          <w:sz w:val="21"/>
          <w:szCs w:val="21"/>
          <w:highlight w:val="none"/>
          <w:lang w:eastAsia="zh-CN"/>
        </w:rPr>
        <w:t>专业性的</w:t>
      </w:r>
      <w:r>
        <w:rPr>
          <w:rFonts w:hint="eastAsia" w:ascii="宋体" w:hAnsi="宋体"/>
          <w:color w:val="auto"/>
          <w:position w:val="0"/>
          <w:sz w:val="21"/>
          <w:szCs w:val="21"/>
          <w:highlight w:val="none"/>
        </w:rPr>
        <w:t>传统文化教育读本，图书内容结合碑林文物，突出文化主题，用于馆内课程教学、研学活动</w:t>
      </w:r>
      <w:r>
        <w:rPr>
          <w:rFonts w:hint="eastAsia" w:ascii="宋体" w:hAnsi="宋体"/>
          <w:color w:val="auto"/>
          <w:position w:val="0"/>
          <w:sz w:val="21"/>
          <w:szCs w:val="21"/>
          <w:highlight w:val="none"/>
          <w:lang w:eastAsia="zh-CN"/>
        </w:rPr>
        <w:t>及教学推广，进一步提升碑林传统文化教育课程的系统化建设水平与公共传播能力。</w:t>
      </w:r>
    </w:p>
    <w:p w14:paraId="3706479A">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lang w:val="en-US" w:eastAsia="zh-CN"/>
        </w:rPr>
        <w:t>3.2</w:t>
      </w:r>
      <w:r>
        <w:rPr>
          <w:rFonts w:hint="eastAsia" w:ascii="宋体" w:hAnsi="宋体"/>
          <w:color w:val="auto"/>
          <w:position w:val="0"/>
          <w:sz w:val="21"/>
          <w:szCs w:val="21"/>
          <w:highlight w:val="none"/>
        </w:rPr>
        <w:t>碑林传统文化课程配套视频及数字化：内容主线清晰、文物解析精准到位，多角度呈现博物馆藏品，视频画质清晰、字幕准确无误、画面色调稳重合规。策划拍摄制作数字教学视频，视频流畅、表演设计合理，内容遵循课程主题；视频输出为常规视频格式（如：MP4、AVI），视频帧数不低于25帧/秒，总体分辨率不低于1920*1080。</w:t>
      </w:r>
      <w:r>
        <w:rPr>
          <w:rFonts w:hint="eastAsia" w:ascii="宋体" w:hAnsi="宋体"/>
          <w:color w:val="auto"/>
          <w:position w:val="0"/>
          <w:sz w:val="21"/>
          <w:szCs w:val="21"/>
          <w:highlight w:val="none"/>
          <w:lang w:eastAsia="zh-CN"/>
        </w:rPr>
        <w:t>乙方</w:t>
      </w:r>
      <w:r>
        <w:rPr>
          <w:rFonts w:hint="eastAsia" w:ascii="宋体" w:hAnsi="宋体"/>
          <w:color w:val="auto"/>
          <w:position w:val="0"/>
          <w:sz w:val="21"/>
          <w:szCs w:val="21"/>
          <w:highlight w:val="none"/>
        </w:rPr>
        <w:t>需确保本次制作的相关视频作品在中省新闻媒体平台发布播出，并完成课程资源线上线下投放、试用优化及配套教育落地保障工作，</w:t>
      </w:r>
      <w:r>
        <w:rPr>
          <w:rFonts w:hint="eastAsia" w:ascii="宋体" w:hAnsi="宋体"/>
          <w:color w:val="auto"/>
          <w:position w:val="0"/>
          <w:sz w:val="21"/>
          <w:szCs w:val="21"/>
          <w:highlight w:val="none"/>
          <w:lang w:eastAsia="zh-CN"/>
        </w:rPr>
        <w:t>乙方</w:t>
      </w:r>
      <w:r>
        <w:rPr>
          <w:rFonts w:hint="eastAsia" w:ascii="宋体" w:hAnsi="宋体"/>
          <w:color w:val="auto"/>
          <w:position w:val="0"/>
          <w:sz w:val="21"/>
          <w:szCs w:val="21"/>
          <w:highlight w:val="none"/>
        </w:rPr>
        <w:t>应具有视频制作及网络文化传播的相关工作经验和资格证书。</w:t>
      </w:r>
    </w:p>
    <w:p w14:paraId="221CA3A9">
      <w:pPr>
        <w:snapToGrid w:val="0"/>
        <w:spacing w:line="360" w:lineRule="auto"/>
        <w:ind w:firstLine="420" w:firstLineChars="200"/>
        <w:rPr>
          <w:rFonts w:hint="eastAsia" w:ascii="宋体" w:hAnsi="宋体"/>
          <w:color w:val="auto"/>
          <w:position w:val="0"/>
          <w:sz w:val="21"/>
          <w:szCs w:val="21"/>
          <w:highlight w:val="none"/>
        </w:rPr>
      </w:pPr>
      <w:r>
        <w:rPr>
          <w:rFonts w:hint="eastAsia" w:ascii="宋体" w:hAnsi="宋体"/>
          <w:color w:val="auto"/>
          <w:position w:val="0"/>
          <w:sz w:val="21"/>
          <w:szCs w:val="21"/>
          <w:highlight w:val="none"/>
        </w:rPr>
        <w:t>3.</w:t>
      </w:r>
      <w:r>
        <w:rPr>
          <w:rFonts w:hint="eastAsia" w:ascii="宋体" w:hAnsi="宋体"/>
          <w:color w:val="auto"/>
          <w:position w:val="0"/>
          <w:sz w:val="21"/>
          <w:szCs w:val="21"/>
          <w:highlight w:val="none"/>
          <w:lang w:val="en-US" w:eastAsia="zh-CN"/>
        </w:rPr>
        <w:t>3</w:t>
      </w:r>
      <w:r>
        <w:rPr>
          <w:rFonts w:hint="eastAsia" w:ascii="宋体" w:hAnsi="宋体"/>
          <w:color w:val="auto"/>
          <w:position w:val="0"/>
          <w:sz w:val="21"/>
          <w:szCs w:val="21"/>
          <w:highlight w:val="none"/>
        </w:rPr>
        <w:t>碑林传统文化教学教具开发：产品绿色安全，完全符合国家相关质量、安全标准，设计贴合时代审美与教育需求，能够引发青少年及广大观众情感共鸣。结合碑林传统文化教育课程项目的课程体系深度、教学实施需求及数字文博公共教育定位，配套课程设计研发安全合规的互动教学教具，形成系列完整、内容丰富的可直接使用的标准化课程资源包。应兼具教育性与趣味性，通过实物教具或手工材料的形式辅助教学。</w:t>
      </w:r>
    </w:p>
    <w:p w14:paraId="55B398F3">
      <w:pPr>
        <w:snapToGrid w:val="0"/>
        <w:spacing w:line="360" w:lineRule="auto"/>
        <w:ind w:firstLine="422" w:firstLineChars="200"/>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三</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服务费</w:t>
      </w:r>
    </w:p>
    <w:p w14:paraId="25543828">
      <w:pPr>
        <w:tabs>
          <w:tab w:val="left" w:pos="0"/>
        </w:tabs>
        <w:spacing w:line="360" w:lineRule="auto"/>
        <w:ind w:right="25" w:firstLine="420" w:firstLineChars="200"/>
        <w:jc w:val="left"/>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sz w:val="21"/>
          <w:szCs w:val="21"/>
          <w:highlight w:val="none"/>
        </w:rPr>
        <w:t>服务费：本合同为固定总价合同。总价款：</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），税率：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rPr>
        <w:t>%</w:t>
      </w:r>
      <w:r>
        <w:rPr>
          <w:rFonts w:hint="eastAsia" w:ascii="宋体" w:hAnsi="宋体" w:cs="宋体"/>
          <w:color w:val="auto"/>
          <w:sz w:val="21"/>
          <w:szCs w:val="21"/>
          <w:highlight w:val="none"/>
          <w:u w:val="none"/>
          <w:lang w:eastAsia="zh-CN"/>
        </w:rPr>
        <w:t>。</w:t>
      </w:r>
    </w:p>
    <w:p w14:paraId="3C248149">
      <w:pPr>
        <w:tabs>
          <w:tab w:val="left" w:pos="540"/>
          <w:tab w:val="left" w:pos="720"/>
        </w:tabs>
        <w:spacing w:line="360" w:lineRule="auto"/>
        <w:ind w:right="25" w:firstLine="53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服务费</w:t>
      </w:r>
      <w:r>
        <w:rPr>
          <w:rFonts w:hint="eastAsia" w:ascii="宋体" w:hAnsi="宋体" w:eastAsia="宋体" w:cs="宋体"/>
          <w:b/>
          <w:color w:val="auto"/>
          <w:sz w:val="21"/>
          <w:szCs w:val="21"/>
          <w:highlight w:val="none"/>
        </w:rPr>
        <w:t>的支付</w:t>
      </w:r>
    </w:p>
    <w:p w14:paraId="1E2B8D84">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自本合同生效之日起30天内，支付合同总价的</w:t>
      </w:r>
      <w:r>
        <w:rPr>
          <w:rFonts w:hint="eastAsia" w:ascii="宋体" w:hAnsi="宋体" w:eastAsia="宋体" w:cs="宋体"/>
          <w:color w:val="auto"/>
          <w:sz w:val="21"/>
          <w:szCs w:val="21"/>
          <w:highlight w:val="none"/>
          <w:lang w:val="en-US" w:eastAsia="zh-CN"/>
        </w:rPr>
        <w:t>90</w:t>
      </w:r>
      <w:r>
        <w:rPr>
          <w:rFonts w:hint="eastAsia" w:ascii="宋体" w:hAnsi="宋体" w:eastAsia="宋体" w:cs="宋体"/>
          <w:color w:val="auto"/>
          <w:sz w:val="21"/>
          <w:szCs w:val="21"/>
          <w:highlight w:val="none"/>
        </w:rPr>
        <w:t>%作为预付款。</w:t>
      </w:r>
    </w:p>
    <w:p w14:paraId="1AF9F143">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自项目验收完成之日起30天内，支付合同总价的10%。</w:t>
      </w:r>
    </w:p>
    <w:p w14:paraId="509F6AA3">
      <w:pPr>
        <w:tabs>
          <w:tab w:val="left" w:pos="2160"/>
        </w:tabs>
        <w:spacing w:line="360" w:lineRule="auto"/>
        <w:ind w:firstLine="420" w:firstLineChars="20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3.支付方式：电汇。</w:t>
      </w:r>
    </w:p>
    <w:p w14:paraId="6DAD4640">
      <w:pPr>
        <w:tabs>
          <w:tab w:val="left" w:pos="540"/>
          <w:tab w:val="left" w:pos="720"/>
        </w:tabs>
        <w:spacing w:line="360" w:lineRule="auto"/>
        <w:ind w:right="25" w:firstLine="538"/>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五</w:t>
      </w:r>
      <w:r>
        <w:rPr>
          <w:rFonts w:hint="eastAsia" w:ascii="宋体" w:hAnsi="宋体" w:eastAsia="宋体" w:cs="宋体"/>
          <w:b/>
          <w:color w:val="auto"/>
          <w:sz w:val="21"/>
          <w:szCs w:val="21"/>
          <w:highlight w:val="none"/>
        </w:rPr>
        <w:t>条 服务标准</w:t>
      </w:r>
      <w:r>
        <w:rPr>
          <w:rFonts w:hint="eastAsia" w:ascii="宋体" w:hAnsi="宋体" w:eastAsia="宋体" w:cs="宋体"/>
          <w:b/>
          <w:color w:val="auto"/>
          <w:sz w:val="21"/>
          <w:szCs w:val="21"/>
          <w:highlight w:val="none"/>
          <w:lang w:eastAsia="zh-CN"/>
        </w:rPr>
        <w:t>及服务质量保证</w:t>
      </w:r>
    </w:p>
    <w:p w14:paraId="078771B5">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乙方为甲方交付的服务应符合招标(采购)文件所述的内容，如果没有提及适用标准，则应符合相应的国家标准。这些标准必须是有关机构发布的最新版本的标准。</w:t>
      </w:r>
    </w:p>
    <w:p w14:paraId="05F618AD">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乙方应保证所提供的服务，符合合同规定的技术要求。如不符时，乙方应负全责并尽快处理解决，由此造成的损失和相关费用由乙方负责，甲方保留终止合同及索赔的权利。</w:t>
      </w:r>
    </w:p>
    <w:p w14:paraId="37CB8BC6">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乙方应保证通过执行合同中全部方案后，可以取得本合同规定的结果，达到本合同规定的预期目标。对任何情况下出现问题的，应尽快提出解决方案。</w:t>
      </w:r>
    </w:p>
    <w:p w14:paraId="1A404370">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如果乙方提供的服务和解决方案不符合甲方要求，或在规定的时间内没有弥补缺陷，甲方有权采取一切必要的补救措施，由此产生的费用全部由乙方负责。</w:t>
      </w:r>
    </w:p>
    <w:p w14:paraId="59226E0C">
      <w:pPr>
        <w:tabs>
          <w:tab w:val="left" w:pos="540"/>
          <w:tab w:val="left" w:pos="720"/>
        </w:tabs>
        <w:spacing w:line="360" w:lineRule="auto"/>
        <w:ind w:right="25" w:firstLine="538"/>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六</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eastAsia="zh-CN"/>
        </w:rPr>
        <w:t>验收</w:t>
      </w:r>
    </w:p>
    <w:p w14:paraId="06109DE7">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olor w:val="auto"/>
          <w:position w:val="0"/>
          <w:sz w:val="21"/>
          <w:szCs w:val="21"/>
          <w:highlight w:val="none"/>
          <w:lang w:eastAsia="zh-CN"/>
        </w:rPr>
        <w:t>乙方</w:t>
      </w:r>
      <w:r>
        <w:rPr>
          <w:rFonts w:hint="eastAsia" w:ascii="宋体" w:hAnsi="宋体" w:eastAsia="宋体" w:cs="宋体"/>
          <w:color w:val="auto"/>
          <w:sz w:val="21"/>
          <w:szCs w:val="21"/>
          <w:highlight w:val="none"/>
        </w:rPr>
        <w:t>需严格按照合同约定时限，保质保量完成读本研发、视频课程制作、教具开发等全部项目内容。</w:t>
      </w:r>
    </w:p>
    <w:p w14:paraId="3740806C">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olor w:val="auto"/>
          <w:position w:val="0"/>
          <w:sz w:val="21"/>
          <w:szCs w:val="21"/>
          <w:highlight w:val="none"/>
          <w:lang w:eastAsia="zh-CN"/>
        </w:rPr>
        <w:t>乙方</w:t>
      </w:r>
      <w:r>
        <w:rPr>
          <w:rFonts w:hint="eastAsia" w:ascii="宋体" w:hAnsi="宋体" w:eastAsia="宋体" w:cs="宋体"/>
          <w:color w:val="auto"/>
          <w:sz w:val="21"/>
          <w:szCs w:val="21"/>
          <w:highlight w:val="none"/>
        </w:rPr>
        <w:t>需提供完善的售后技术支持等配套服务。</w:t>
      </w:r>
    </w:p>
    <w:p w14:paraId="0E89968E">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3.项目验收严格按照国家相关规定、采购需求及合同约定执行，若教育读本、视频课程、教学教具等产品质量不达标，或</w:t>
      </w:r>
      <w:r>
        <w:rPr>
          <w:rFonts w:hint="eastAsia" w:ascii="宋体" w:hAnsi="宋体"/>
          <w:color w:val="auto"/>
          <w:position w:val="0"/>
          <w:sz w:val="21"/>
          <w:szCs w:val="21"/>
          <w:highlight w:val="none"/>
          <w:lang w:eastAsia="zh-CN"/>
        </w:rPr>
        <w:t>乙方</w:t>
      </w:r>
      <w:r>
        <w:rPr>
          <w:rFonts w:hint="eastAsia" w:ascii="宋体" w:hAnsi="宋体" w:eastAsia="宋体" w:cs="宋体"/>
          <w:color w:val="auto"/>
          <w:sz w:val="21"/>
          <w:szCs w:val="21"/>
          <w:highlight w:val="none"/>
        </w:rPr>
        <w:t>无法履行售后服务承诺，采购方有权要求</w:t>
      </w:r>
      <w:r>
        <w:rPr>
          <w:rFonts w:hint="eastAsia" w:ascii="宋体" w:hAnsi="宋体"/>
          <w:color w:val="auto"/>
          <w:position w:val="0"/>
          <w:sz w:val="21"/>
          <w:szCs w:val="21"/>
          <w:highlight w:val="none"/>
          <w:lang w:eastAsia="zh-CN"/>
        </w:rPr>
        <w:t>乙方</w:t>
      </w:r>
      <w:r>
        <w:rPr>
          <w:rFonts w:hint="eastAsia" w:ascii="宋体" w:hAnsi="宋体" w:eastAsia="宋体" w:cs="宋体"/>
          <w:color w:val="auto"/>
          <w:sz w:val="21"/>
          <w:szCs w:val="21"/>
          <w:highlight w:val="none"/>
        </w:rPr>
        <w:t>限期整改，或按照合同约定追究相应责任。</w:t>
      </w:r>
    </w:p>
    <w:p w14:paraId="0871B088">
      <w:pPr>
        <w:tabs>
          <w:tab w:val="left" w:pos="540"/>
          <w:tab w:val="left" w:pos="720"/>
        </w:tabs>
        <w:spacing w:line="360" w:lineRule="auto"/>
        <w:ind w:right="25" w:firstLine="528"/>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第七条 甲方的权利</w:t>
      </w:r>
      <w:r>
        <w:rPr>
          <w:rFonts w:hint="eastAsia" w:ascii="宋体" w:hAnsi="宋体" w:eastAsia="宋体" w:cs="宋体"/>
          <w:b/>
          <w:color w:val="auto"/>
          <w:sz w:val="21"/>
          <w:szCs w:val="21"/>
          <w:highlight w:val="none"/>
          <w:lang w:eastAsia="zh-CN"/>
        </w:rPr>
        <w:t>及义务</w:t>
      </w:r>
    </w:p>
    <w:p w14:paraId="0972B735">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有权向乙方询问工作进展情况及相关的内容。</w:t>
      </w:r>
    </w:p>
    <w:p w14:paraId="6B4B0CB9">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有权阐述对具体问题的意见和建议。</w:t>
      </w:r>
    </w:p>
    <w:p w14:paraId="287836E6">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当甲方认定乙方人员不按合同履行其职责，或与第三人串通给甲方造成经济损失的，甲方有权要求更换人员，直至终止合同并要求乙方承担相应的赔偿责任。</w:t>
      </w:r>
    </w:p>
    <w:p w14:paraId="7CF23963">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应当履行本合同约定的义务，如有违反则应当承担违约责任，赔偿给乙方造成的损失。</w:t>
      </w:r>
    </w:p>
    <w:p w14:paraId="3A779456">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甲方向乙方提出赔偿要求不能成立时，则应补偿由于该赔偿或其他要求所导致乙方的各种费用的支出。</w:t>
      </w:r>
    </w:p>
    <w:p w14:paraId="44A8C793">
      <w:pPr>
        <w:tabs>
          <w:tab w:val="left" w:pos="540"/>
          <w:tab w:val="left" w:pos="720"/>
        </w:tabs>
        <w:spacing w:line="360" w:lineRule="auto"/>
        <w:ind w:right="25" w:firstLine="528"/>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第八条 乙方的权利</w:t>
      </w:r>
      <w:r>
        <w:rPr>
          <w:rFonts w:hint="eastAsia" w:ascii="宋体" w:hAnsi="宋体" w:eastAsia="宋体" w:cs="宋体"/>
          <w:b/>
          <w:color w:val="auto"/>
          <w:sz w:val="21"/>
          <w:szCs w:val="21"/>
          <w:highlight w:val="none"/>
          <w:lang w:eastAsia="zh-CN"/>
        </w:rPr>
        <w:t>及义务</w:t>
      </w:r>
    </w:p>
    <w:p w14:paraId="04305E2C">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乙方在本项目服务过程中，如甲方提供的资料不明确时可向甲方提出书面报告。</w:t>
      </w:r>
    </w:p>
    <w:p w14:paraId="4C1E8F59">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乙方的责任期即本合同有效期。如因非乙方的责任造成进度的推迟或延误而超过约定的日期，双方应进一步约定相应延长合同有效期。</w:t>
      </w:r>
    </w:p>
    <w:p w14:paraId="3C151CFD">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乙方的责任期内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应当履行本合同中约定的义务，因乙方的单方过失造成的经济损失，应当向甲方进行赔偿。</w:t>
      </w:r>
    </w:p>
    <w:p w14:paraId="7B6E9EA8">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乙方对甲方或第三方所提出的问题不能及时核对或答复，导致合同不能全部或部分履行，乙方应承担责任。</w:t>
      </w:r>
    </w:p>
    <w:p w14:paraId="72973EA3">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乙方向甲方提出赔偿要求不能成立时，则应补偿由于该赔偿或其他要求所导致甲方的各种费用的支出。</w:t>
      </w:r>
    </w:p>
    <w:p w14:paraId="496C6A20">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由甲方收集的、开发的、整理的、复制的、研究的和准备的与本合同有关的所有资料在提供给乙方时，均被视为保密的，不得泄露给除甲方或其指定的代表之外的任何人、企业或公司，不管本合同因何种原因终止，本条款一直约束乙方。</w:t>
      </w:r>
    </w:p>
    <w:p w14:paraId="24986F9C">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乙方在履行合同过程中所获得或接触到的任何内部数据资料，未经甲方同意，不得向第三方透露。</w:t>
      </w:r>
    </w:p>
    <w:p w14:paraId="4830F708">
      <w:pPr>
        <w:tabs>
          <w:tab w:val="left" w:pos="2160"/>
        </w:tabs>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乙方实施项目的一切程序都应符合国家安全、保密的有关规定和标准。</w:t>
      </w:r>
    </w:p>
    <w:p w14:paraId="043F82E3">
      <w:pPr>
        <w:tabs>
          <w:tab w:val="left" w:pos="540"/>
          <w:tab w:val="left" w:pos="720"/>
        </w:tabs>
        <w:spacing w:line="360" w:lineRule="auto"/>
        <w:ind w:right="25" w:firstLine="528"/>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九</w:t>
      </w:r>
      <w:r>
        <w:rPr>
          <w:rFonts w:hint="eastAsia" w:ascii="宋体" w:hAnsi="宋体" w:eastAsia="宋体" w:cs="宋体"/>
          <w:b/>
          <w:color w:val="auto"/>
          <w:sz w:val="21"/>
          <w:szCs w:val="21"/>
          <w:highlight w:val="none"/>
        </w:rPr>
        <w:t>条 违约责任</w:t>
      </w:r>
    </w:p>
    <w:p w14:paraId="74DBD06B">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１、因乙方原因，未能按规定时间完成有关工作的，每延误一天，甲方可在支付合同余款中扣除合同价款千分之一。</w:t>
      </w:r>
    </w:p>
    <w:p w14:paraId="114BD68D">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2、乙方交付的成果经验收不合格，应于7日内无条件修改，费用由乙方自行承担，在甲方要求整改后再次验收不合格的，甲方有权解除合同、要求乙方返还甲方已支付的合同款项，并有权要求乙方按合同总额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%支付违约金。</w:t>
      </w:r>
    </w:p>
    <w:p w14:paraId="6E39CB89">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3、若甲方发现乙方派出的人员不符合合同要求，乙方应在3天之内更换，否则甲方有权终止合同，并保留追究乙方责任及要求赔偿损失的权利。</w:t>
      </w:r>
    </w:p>
    <w:p w14:paraId="5FD51B90">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4、乙方或其工作人员违反本合同约定的保密义务，甲方有权要求乙方按合同总额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%支付违约金；造成不良影响或对甲方造成损失的，甲方有权要求乙方消除影响，承担赔偿责任，并有权解除合同。</w:t>
      </w:r>
    </w:p>
    <w:p w14:paraId="7A78F07C">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5、因乙方提供的服务成果受到侵权指控或者引发法律纠纷，影响甲方使用服务成果或者导致合同目的不能实现的，甲方有权要求乙方按合同总额</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%支付违约金，并有权解除合同。</w:t>
      </w:r>
    </w:p>
    <w:p w14:paraId="15A68082">
      <w:pPr>
        <w:tabs>
          <w:tab w:val="left" w:pos="540"/>
          <w:tab w:val="left" w:pos="720"/>
        </w:tabs>
        <w:spacing w:line="360" w:lineRule="auto"/>
        <w:ind w:right="25" w:firstLine="538"/>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6.甲方</w:t>
      </w:r>
      <w:r>
        <w:rPr>
          <w:rFonts w:hint="eastAsia" w:ascii="宋体" w:hAnsi="宋体" w:eastAsia="宋体" w:cs="宋体"/>
          <w:color w:val="auto"/>
          <w:sz w:val="21"/>
          <w:szCs w:val="21"/>
          <w:highlight w:val="none"/>
          <w:lang w:val="en-US" w:eastAsia="zh-CN"/>
        </w:rPr>
        <w:t>未按合同约定支付</w:t>
      </w:r>
      <w:r>
        <w:rPr>
          <w:rFonts w:hint="eastAsia" w:ascii="宋体" w:hAnsi="宋体" w:cs="宋体"/>
          <w:color w:val="auto"/>
          <w:sz w:val="21"/>
          <w:szCs w:val="21"/>
          <w:highlight w:val="none"/>
          <w:lang w:val="en-US" w:eastAsia="zh-CN"/>
        </w:rPr>
        <w:t>服务费</w:t>
      </w:r>
      <w:r>
        <w:rPr>
          <w:rFonts w:hint="eastAsia" w:ascii="宋体" w:hAnsi="宋体" w:eastAsia="宋体" w:cs="宋体"/>
          <w:color w:val="auto"/>
          <w:sz w:val="21"/>
          <w:szCs w:val="21"/>
          <w:highlight w:val="none"/>
          <w:lang w:val="en-US" w:eastAsia="zh-CN"/>
        </w:rPr>
        <w:t>的，每逾期1日，按应付未付金额的0.</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%向</w:t>
      </w:r>
      <w:r>
        <w:rPr>
          <w:rFonts w:hint="eastAsia" w:ascii="宋体"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val="en-US" w:eastAsia="zh-CN"/>
        </w:rPr>
        <w:t>支付违约金。</w:t>
      </w:r>
    </w:p>
    <w:p w14:paraId="57737E93">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十</w:t>
      </w:r>
      <w:r>
        <w:rPr>
          <w:rFonts w:hint="eastAsia" w:ascii="宋体" w:hAnsi="宋体" w:eastAsia="宋体" w:cs="宋体"/>
          <w:b/>
          <w:color w:val="auto"/>
          <w:sz w:val="21"/>
          <w:szCs w:val="21"/>
          <w:highlight w:val="none"/>
        </w:rPr>
        <w:t>条 不可抗力</w:t>
      </w:r>
    </w:p>
    <w:p w14:paraId="5CB81E95">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1.如果发生不可抗力事件致使本合同一方暂时或永久不能全部或部分履行其在本合同项下的义务的，则其可以中止或终止履行本合同项下的全部或部分义务，而不视为违约。 但宣称遭受不可抗力的一方应迅速书面通知对方，并在不可抗力发生后十五(15)天内提供有权机构出具的不可抗力发生及其持续时间的正式书面证明文件。</w:t>
      </w:r>
    </w:p>
    <w:p w14:paraId="6B7A559F">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前述“不可抗力”指在本合同签署后发生的、本合同签署时不能预见的、其发生与后果是无法避免或克服的、妨碍任何一方全部或部分履约的所有事件。上述事件包括但不限于网络黑客攻击、地震、台风、水灾、火灾、战争、国际或国内运</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输中断、流行病、罢工，以及根据中国法律或一般国际商业惯例认作不可抗力的其他事件。</w:t>
      </w:r>
    </w:p>
    <w:p w14:paraId="47C9CBB2">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3.不可抗力持续超过【20】日或者累计超过【20】日的，本合同任何一方均有权单方终止本合同，但终止方应向对方发出终止本合同的书面通知，本合同自前述终止通知到达对方后本合同即告终止。</w:t>
      </w:r>
    </w:p>
    <w:p w14:paraId="16111A7C">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4.本合同按照前款约定终止后，甲方已经按照本合同约定向乙方支付的</w:t>
      </w:r>
      <w:r>
        <w:rPr>
          <w:rFonts w:hint="eastAsia" w:ascii="宋体" w:hAnsi="宋体" w:eastAsia="宋体" w:cs="宋体"/>
          <w:color w:val="auto"/>
          <w:sz w:val="21"/>
          <w:szCs w:val="21"/>
          <w:highlight w:val="none"/>
          <w:lang w:eastAsia="zh-CN"/>
        </w:rPr>
        <w:t>服务费</w:t>
      </w:r>
      <w:r>
        <w:rPr>
          <w:rFonts w:hint="eastAsia" w:ascii="宋体" w:hAnsi="宋体" w:eastAsia="宋体" w:cs="宋体"/>
          <w:color w:val="auto"/>
          <w:sz w:val="21"/>
          <w:szCs w:val="21"/>
          <w:highlight w:val="none"/>
        </w:rPr>
        <w:t>，乙方不予退还，甲方尚未向乙方支付的</w:t>
      </w:r>
      <w:r>
        <w:rPr>
          <w:rFonts w:hint="eastAsia" w:ascii="宋体" w:hAnsi="宋体" w:eastAsia="宋体" w:cs="宋体"/>
          <w:color w:val="auto"/>
          <w:sz w:val="21"/>
          <w:szCs w:val="21"/>
          <w:highlight w:val="none"/>
          <w:lang w:eastAsia="zh-CN"/>
        </w:rPr>
        <w:t>服务费</w:t>
      </w:r>
      <w:r>
        <w:rPr>
          <w:rFonts w:hint="eastAsia" w:ascii="宋体" w:hAnsi="宋体" w:eastAsia="宋体" w:cs="宋体"/>
          <w:color w:val="auto"/>
          <w:sz w:val="21"/>
          <w:szCs w:val="21"/>
          <w:highlight w:val="none"/>
        </w:rPr>
        <w:t>，乙方不再收取。</w:t>
      </w:r>
    </w:p>
    <w:p w14:paraId="28F97B29">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十一</w:t>
      </w:r>
      <w:r>
        <w:rPr>
          <w:rFonts w:hint="eastAsia" w:ascii="宋体" w:hAnsi="宋体" w:eastAsia="宋体" w:cs="宋体"/>
          <w:b/>
          <w:color w:val="auto"/>
          <w:sz w:val="21"/>
          <w:szCs w:val="21"/>
          <w:highlight w:val="none"/>
        </w:rPr>
        <w:t>条 争议解决</w:t>
      </w:r>
    </w:p>
    <w:p w14:paraId="0A14DBEC">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因本合同的磋商、签订及履行等发生的与本合同有关的一切争议和纠纷，双方均应按有关法律规定及时协商处理，协商不成，可向向西安仲裁委员会提请仲裁。</w:t>
      </w:r>
    </w:p>
    <w:p w14:paraId="5EDFEADA">
      <w:pPr>
        <w:tabs>
          <w:tab w:val="left" w:pos="540"/>
          <w:tab w:val="left" w:pos="720"/>
        </w:tabs>
        <w:spacing w:line="360" w:lineRule="auto"/>
        <w:ind w:right="25" w:firstLine="53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w:t>
      </w:r>
      <w:r>
        <w:rPr>
          <w:rFonts w:hint="eastAsia" w:ascii="宋体" w:hAnsi="宋体" w:eastAsia="宋体" w:cs="宋体"/>
          <w:b/>
          <w:color w:val="auto"/>
          <w:sz w:val="21"/>
          <w:szCs w:val="21"/>
          <w:highlight w:val="none"/>
          <w:lang w:eastAsia="zh-CN"/>
        </w:rPr>
        <w:t>十二</w:t>
      </w:r>
      <w:r>
        <w:rPr>
          <w:rFonts w:hint="eastAsia" w:ascii="宋体" w:hAnsi="宋体" w:eastAsia="宋体" w:cs="宋体"/>
          <w:b/>
          <w:color w:val="auto"/>
          <w:sz w:val="21"/>
          <w:szCs w:val="21"/>
          <w:highlight w:val="none"/>
        </w:rPr>
        <w:t>条 其他</w:t>
      </w:r>
    </w:p>
    <w:p w14:paraId="08B4FF7E">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未尽事宜，双方应本着实事求是友好协商的态度加以解决。双方协商一致的，签订补充协议，补充协议须经双方法定代表人或授权代表签字且加盖公章或合同专用章后生效，生效后的该等书面补充协议与本合同具有同等法律效力。</w:t>
      </w:r>
    </w:p>
    <w:p w14:paraId="280A27E1">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2.本合同由双方法定代表人或授权代表签字且加盖双方公章或合同专用章即生效。全部成果交接完毕和</w:t>
      </w:r>
      <w:r>
        <w:rPr>
          <w:rFonts w:hint="eastAsia" w:ascii="宋体" w:hAnsi="宋体" w:eastAsia="宋体" w:cs="宋体"/>
          <w:color w:val="auto"/>
          <w:sz w:val="21"/>
          <w:szCs w:val="21"/>
          <w:highlight w:val="none"/>
          <w:lang w:eastAsia="zh-CN"/>
        </w:rPr>
        <w:t>服务</w:t>
      </w:r>
      <w:r>
        <w:rPr>
          <w:rFonts w:hint="eastAsia" w:ascii="宋体" w:hAnsi="宋体" w:eastAsia="宋体" w:cs="宋体"/>
          <w:color w:val="auto"/>
          <w:sz w:val="21"/>
          <w:szCs w:val="21"/>
          <w:highlight w:val="none"/>
        </w:rPr>
        <w:t>费结算完成后，本合同终止。</w:t>
      </w:r>
    </w:p>
    <w:p w14:paraId="57AE01AE">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3.本合同一式伍份，甲方执叁份，乙方执贰份，每份具有同等法律效力。</w:t>
      </w:r>
    </w:p>
    <w:p w14:paraId="6E84BD7B">
      <w:pPr>
        <w:tabs>
          <w:tab w:val="left" w:pos="540"/>
          <w:tab w:val="left" w:pos="720"/>
        </w:tabs>
        <w:spacing w:line="360" w:lineRule="auto"/>
        <w:ind w:right="25" w:firstLine="53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4.本合同各方送达信息及指定付款/收款账户信息如下：</w:t>
      </w:r>
    </w:p>
    <w:tbl>
      <w:tblPr>
        <w:tblStyle w:val="6"/>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3933"/>
        <w:gridCol w:w="540"/>
        <w:gridCol w:w="4032"/>
      </w:tblGrid>
      <w:tr w14:paraId="555E5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restart"/>
            <w:noWrap w:val="0"/>
            <w:vAlign w:val="center"/>
          </w:tcPr>
          <w:p w14:paraId="6F0E0884">
            <w:pPr>
              <w:keepNext w:val="0"/>
              <w:keepLines w:val="0"/>
              <w:suppressLineNumbers w:val="0"/>
              <w:tabs>
                <w:tab w:val="left" w:pos="540"/>
                <w:tab w:val="left" w:pos="720"/>
              </w:tabs>
              <w:spacing w:before="0" w:beforeAutospacing="0" w:after="0" w:afterAutospacing="0" w:line="360" w:lineRule="auto"/>
              <w:ind w:left="0" w:right="2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委托方</w:t>
            </w:r>
          </w:p>
        </w:tc>
        <w:tc>
          <w:tcPr>
            <w:tcW w:w="3933" w:type="dxa"/>
            <w:noWrap w:val="0"/>
            <w:vAlign w:val="center"/>
          </w:tcPr>
          <w:p w14:paraId="655F1682">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联系地址：</w:t>
            </w:r>
          </w:p>
        </w:tc>
        <w:tc>
          <w:tcPr>
            <w:tcW w:w="540" w:type="dxa"/>
            <w:vMerge w:val="restart"/>
            <w:noWrap w:val="0"/>
            <w:vAlign w:val="center"/>
          </w:tcPr>
          <w:p w14:paraId="518364C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承揽方</w:t>
            </w:r>
          </w:p>
        </w:tc>
        <w:tc>
          <w:tcPr>
            <w:tcW w:w="4032" w:type="dxa"/>
            <w:noWrap w:val="0"/>
            <w:vAlign w:val="center"/>
          </w:tcPr>
          <w:p w14:paraId="09E14519">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联系地址：</w:t>
            </w:r>
          </w:p>
        </w:tc>
      </w:tr>
      <w:tr w14:paraId="6B19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04A931A1">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36D32753">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540" w:type="dxa"/>
            <w:vMerge w:val="continue"/>
            <w:noWrap w:val="0"/>
            <w:vAlign w:val="center"/>
          </w:tcPr>
          <w:p w14:paraId="6290C8B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1B8BF2AB">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r>
      <w:tr w14:paraId="57C3C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33F1ADFE">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1EEE33D9">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w:t>
            </w:r>
          </w:p>
        </w:tc>
        <w:tc>
          <w:tcPr>
            <w:tcW w:w="540" w:type="dxa"/>
            <w:vMerge w:val="continue"/>
            <w:noWrap w:val="0"/>
            <w:vAlign w:val="center"/>
          </w:tcPr>
          <w:p w14:paraId="66670628">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32EE1AF9">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w:t>
            </w:r>
          </w:p>
        </w:tc>
      </w:tr>
      <w:tr w14:paraId="32BE6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4AC5213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13762A3A">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c>
          <w:tcPr>
            <w:tcW w:w="540" w:type="dxa"/>
            <w:vMerge w:val="continue"/>
            <w:noWrap w:val="0"/>
            <w:vAlign w:val="center"/>
          </w:tcPr>
          <w:p w14:paraId="45F87B7D">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0DAD0635">
            <w:pPr>
              <w:keepNext w:val="0"/>
              <w:keepLines w:val="0"/>
              <w:suppressLineNumbers w:val="0"/>
              <w:tabs>
                <w:tab w:val="left" w:pos="540"/>
                <w:tab w:val="left" w:pos="720"/>
              </w:tabs>
              <w:spacing w:before="0" w:beforeAutospacing="0" w:after="0" w:afterAutospacing="0" w:line="360" w:lineRule="auto"/>
              <w:ind w:left="1050" w:right="25" w:hanging="1050" w:hangingChars="5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p>
        </w:tc>
      </w:tr>
      <w:tr w14:paraId="5AF9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0E2D4C88">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top"/>
          </w:tcPr>
          <w:p w14:paraId="67A24D06">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c>
          <w:tcPr>
            <w:tcW w:w="540" w:type="dxa"/>
            <w:vMerge w:val="continue"/>
            <w:noWrap w:val="0"/>
            <w:vAlign w:val="center"/>
          </w:tcPr>
          <w:p w14:paraId="08BDA1F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37989633">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tc>
      </w:tr>
      <w:tr w14:paraId="6DE71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53CABC4B">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74B20442">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tc>
        <w:tc>
          <w:tcPr>
            <w:tcW w:w="540" w:type="dxa"/>
            <w:vMerge w:val="continue"/>
            <w:noWrap w:val="0"/>
            <w:vAlign w:val="center"/>
          </w:tcPr>
          <w:p w14:paraId="76576F8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2CF05B29">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银行账号：</w:t>
            </w:r>
          </w:p>
        </w:tc>
      </w:tr>
      <w:tr w14:paraId="3286C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567" w:type="dxa"/>
            <w:vMerge w:val="continue"/>
            <w:noWrap w:val="0"/>
            <w:vAlign w:val="top"/>
          </w:tcPr>
          <w:p w14:paraId="7A84CF5C">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3933" w:type="dxa"/>
            <w:noWrap w:val="0"/>
            <w:vAlign w:val="center"/>
          </w:tcPr>
          <w:p w14:paraId="29D9184A">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tc>
        <w:tc>
          <w:tcPr>
            <w:tcW w:w="540" w:type="dxa"/>
            <w:vMerge w:val="continue"/>
            <w:noWrap w:val="0"/>
            <w:vAlign w:val="center"/>
          </w:tcPr>
          <w:p w14:paraId="402C851A">
            <w:pPr>
              <w:keepNext w:val="0"/>
              <w:keepLines w:val="0"/>
              <w:suppressLineNumbers w:val="0"/>
              <w:tabs>
                <w:tab w:val="left" w:pos="540"/>
                <w:tab w:val="left" w:pos="720"/>
              </w:tabs>
              <w:spacing w:before="0" w:beforeAutospacing="0" w:after="0" w:afterAutospacing="0" w:line="360" w:lineRule="auto"/>
              <w:ind w:left="0" w:right="25"/>
              <w:rPr>
                <w:rFonts w:hint="eastAsia" w:ascii="宋体" w:hAnsi="宋体" w:eastAsia="宋体" w:cs="宋体"/>
                <w:color w:val="auto"/>
                <w:sz w:val="21"/>
                <w:szCs w:val="21"/>
                <w:highlight w:val="none"/>
              </w:rPr>
            </w:pPr>
          </w:p>
        </w:tc>
        <w:tc>
          <w:tcPr>
            <w:tcW w:w="4032" w:type="dxa"/>
            <w:noWrap w:val="0"/>
            <w:vAlign w:val="center"/>
          </w:tcPr>
          <w:p w14:paraId="72C989F5">
            <w:pPr>
              <w:keepNext w:val="0"/>
              <w:keepLines w:val="0"/>
              <w:suppressLineNumbers w:val="0"/>
              <w:tabs>
                <w:tab w:val="left" w:pos="540"/>
                <w:tab w:val="left" w:pos="720"/>
              </w:tabs>
              <w:spacing w:before="0" w:beforeAutospacing="0" w:after="0" w:afterAutospacing="0" w:line="360" w:lineRule="auto"/>
              <w:ind w:left="0" w:right="2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开户名称：</w:t>
            </w:r>
          </w:p>
        </w:tc>
      </w:tr>
    </w:tbl>
    <w:p w14:paraId="1B7E639B">
      <w:pPr>
        <w:tabs>
          <w:tab w:val="left" w:pos="540"/>
          <w:tab w:val="left" w:pos="720"/>
        </w:tabs>
        <w:spacing w:line="360" w:lineRule="auto"/>
        <w:ind w:left="-2" w:right="25" w:firstLine="53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一方将与本合同有关的通知、文件、信息等按照上述送达信息送达即视为有效送达。一方前述送达信息发生任何变化，变更方应自发生变更之日起五个工作日内以书面形式通知对方，否则视为已经有效送达；本合同任何一方上述指定付款/收款账户信息发生任何变化，变更方应自发生变更之日起五个工作日内以书面形式通知对方，否则，由此引起的付款迟延等后果由变更方自行承担。</w:t>
      </w:r>
    </w:p>
    <w:p w14:paraId="72E3C138">
      <w:pPr>
        <w:rPr>
          <w:color w:val="auto"/>
          <w:highlight w:val="none"/>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panose1 w:val="02000000000000000000"/>
    <w:charset w:val="86"/>
    <w:family w:val="auto"/>
    <w:pitch w:val="default"/>
    <w:sig w:usb0="A00002BF" w:usb1="38CF7CFA" w:usb2="00082016" w:usb3="00000000" w:csb0="00040001" w:csb1="00000000"/>
  </w:font>
  <w:font w:name="DejaVu Sans">
    <w:altName w:val="Times New Roman"/>
    <w:panose1 w:val="02020603050405020304"/>
    <w:charset w:val="00"/>
    <w:family w:val="roman"/>
    <w:pitch w:val="default"/>
    <w:sig w:usb0="00000000" w:usb1="00000000" w:usb2="00000008"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46727">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F8DC47">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2F8DC47">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EA20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AC213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AC213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27E39">
    <w:pPr>
      <w:pStyle w:val="2"/>
      <w:spacing w:line="225" w:lineRule="auto"/>
      <w:rPr>
        <w:sz w:val="13"/>
        <w:szCs w:val="13"/>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76996"/>
    <w:rsid w:val="1DB21974"/>
    <w:rsid w:val="224B4901"/>
    <w:rsid w:val="22540F79"/>
    <w:rsid w:val="230A44AB"/>
    <w:rsid w:val="41DD3FC8"/>
    <w:rsid w:val="4D2E27CC"/>
    <w:rsid w:val="4DC9517F"/>
    <w:rsid w:val="53882740"/>
    <w:rsid w:val="53B91215"/>
    <w:rsid w:val="58471E4A"/>
    <w:rsid w:val="5A6C1F07"/>
    <w:rsid w:val="5C597204"/>
    <w:rsid w:val="600311E2"/>
    <w:rsid w:val="677E45A2"/>
    <w:rsid w:val="6D3C342D"/>
    <w:rsid w:val="741916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2"/>
      <w:szCs w:val="22"/>
      <w:lang w:val="en-US" w:eastAsia="en-US" w:bidi="ar-SA"/>
    </w:rPr>
  </w:style>
  <w:style w:type="paragraph" w:styleId="3">
    <w:name w:val="Body Text Indent"/>
    <w:basedOn w:val="1"/>
    <w:qFormat/>
    <w:uiPriority w:val="99"/>
    <w:pPr>
      <w:spacing w:line="360" w:lineRule="auto"/>
      <w:ind w:firstLine="570"/>
    </w:pPr>
  </w:style>
  <w:style w:type="paragraph" w:styleId="4">
    <w:name w:val="Plain Text"/>
    <w:basedOn w:val="1"/>
    <w:qFormat/>
    <w:uiPriority w:val="0"/>
    <w:rPr>
      <w:rFonts w:ascii="方正书宋_GBK" w:hAnsi="DejaVu Sans"/>
    </w:rPr>
  </w:style>
  <w:style w:type="paragraph" w:styleId="5">
    <w:name w:val="footer"/>
    <w:basedOn w:val="1"/>
    <w:qFormat/>
    <w:uiPriority w:val="0"/>
    <w:pPr>
      <w:pBdr>
        <w:top w:val="single" w:color="auto" w:sz="4" w:space="1"/>
      </w:pBdr>
      <w:tabs>
        <w:tab w:val="center" w:pos="4153"/>
        <w:tab w:val="right" w:pos="8306"/>
      </w:tabs>
      <w:snapToGrid w:val="0"/>
      <w:jc w:val="left"/>
    </w:pPr>
    <w:rPr>
      <w:position w:val="0"/>
      <w:sz w:val="18"/>
      <w:szCs w:val="18"/>
    </w:rPr>
  </w:style>
  <w:style w:type="character" w:styleId="8">
    <w:name w:val="page number"/>
    <w:basedOn w:val="7"/>
    <w:qFormat/>
    <w:uiPriority w:val="0"/>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3962</Words>
  <Characters>4032</Characters>
  <Lines>0</Lines>
  <Paragraphs>0</Paragraphs>
  <TotalTime>0</TotalTime>
  <ScaleCrop>false</ScaleCrop>
  <LinksUpToDate>false</LinksUpToDate>
  <CharactersWithSpaces>4133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2026-06-30T06:36:10Z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ED852B73971D4EB0B2B9AAA2EDED15F0_13</vt:lpwstr>
  </property>
  <property fmtid="{D5CDD505-2E9C-101B-9397-08002B2CF9AE}" pid="4" name="KSOTemplateDocerSaveRecord">
    <vt:lpwstr>eyJoZGlkIjoiY2U0M2E2ZjcwYzFiMjk5NDE5ZDJmY2FlMmRmOWFkY2EiLCJ1c2VySWQiOiI0NTM5NzY3MDQifQ==</vt:lpwstr>
  </property>
</Properties>
</file>