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版本号：ZX2026-03-34.1B220260630001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电离辐射检定校准专用设备采购(三次)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ZX2026-03-34.1B2</w:t>
      </w:r>
      <w:r>
        <w:br/>
      </w:r>
      <w:r>
        <w:br/>
      </w:r>
      <w:r>
        <w:br/>
      </w:r>
    </w:p>
    <w:p>
      <w:pPr>
        <w:pStyle w:val="null3"/>
        <w:jc w:val="center"/>
        <w:outlineLvl w:val="2"/>
      </w:pPr>
      <w:r>
        <w:rPr>
          <w:rFonts w:ascii="仿宋_GB2312" w:hAnsi="仿宋_GB2312" w:cs="仿宋_GB2312" w:eastAsia="仿宋_GB2312"/>
          <w:sz w:val="28"/>
          <w:b/>
        </w:rPr>
        <w:t>西安计量技术研究院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西安计量技术研究院</w:t>
      </w:r>
      <w:r>
        <w:rPr>
          <w:rFonts w:ascii="仿宋_GB2312" w:hAnsi="仿宋_GB2312" w:cs="仿宋_GB2312" w:eastAsia="仿宋_GB2312"/>
        </w:rPr>
        <w:t>委托，拟对</w:t>
      </w:r>
      <w:r>
        <w:rPr>
          <w:rFonts w:ascii="仿宋_GB2312" w:hAnsi="仿宋_GB2312" w:cs="仿宋_GB2312" w:eastAsia="仿宋_GB2312"/>
        </w:rPr>
        <w:t>电离辐射检定校准专用设备采购(三次)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ZX2026-03-34.1B2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电离辐射检定校准专用设备采购(三次)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电离辐射检定校准专用设备采购，具体详见谈判文件第三章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采购包1（电离辐射检定校准专用设备采购）：属于专门面向中小企业采购。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1、法定代表人授权委托书：法定代表人参加谈判的，须提供法定代表人身份证复印件；法定代表人授权本单位他人参加谈判的，须提供法定代表人授权委托书。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西安计量技术研究院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029-88482113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代理服务费收费标准：①参照国家计委计价格[2002]1980号及发改办价格[2003]857号通知规定，由成交供应商支付代理服务费。②服务费不足6000按6000元收取。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西安计量技术研究院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西安计量技术研究院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西安计量技术研究院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按照谈判文件、响应文件及合同文本约定执行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我院计量器具的检定校准能力，依规执行计量检定规程要求，升级计量标准建设，契合西安市量值传递溯源及经济高质量发展需求，强化对西安及周边区域的计量服务效能，切实发挥良好社会效益。电离辐射检定校准专用设备，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电离辐射检定校准专用设备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标的名称：电离辐射检定校准专用设备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依据的技术规范</w:t>
            </w:r>
            <w:r>
              <w:rPr>
                <w:rFonts w:ascii="仿宋_GB2312" w:hAnsi="仿宋_GB2312" w:cs="仿宋_GB2312" w:eastAsia="仿宋_GB2312"/>
                <w:sz w:val="21"/>
              </w:rPr>
              <w:t>：</w:t>
            </w:r>
            <w:r>
              <w:rPr>
                <w:rFonts w:ascii="仿宋_GB2312" w:hAnsi="仿宋_GB2312" w:cs="仿宋_GB2312" w:eastAsia="仿宋_GB2312"/>
                <w:sz w:val="21"/>
              </w:rPr>
              <w:t>JJG 478-20</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α</w:t>
            </w:r>
            <w:r>
              <w:rPr>
                <w:rFonts w:ascii="仿宋_GB2312" w:hAnsi="仿宋_GB2312" w:cs="仿宋_GB2312" w:eastAsia="仿宋_GB2312"/>
                <w:sz w:val="21"/>
              </w:rPr>
              <w:t>、</w:t>
            </w:r>
            <w:r>
              <w:rPr>
                <w:rFonts w:ascii="仿宋_GB2312" w:hAnsi="仿宋_GB2312" w:cs="仿宋_GB2312" w:eastAsia="仿宋_GB2312"/>
                <w:sz w:val="21"/>
              </w:rPr>
              <w:t>β</w:t>
            </w:r>
            <w:r>
              <w:rPr>
                <w:rFonts w:ascii="仿宋_GB2312" w:hAnsi="仿宋_GB2312" w:cs="仿宋_GB2312" w:eastAsia="仿宋_GB2312"/>
                <w:sz w:val="21"/>
              </w:rPr>
              <w:t>表面污染仪</w:t>
            </w:r>
            <w:r>
              <w:rPr>
                <w:rFonts w:ascii="仿宋_GB2312" w:hAnsi="仿宋_GB2312" w:cs="仿宋_GB2312" w:eastAsia="仿宋_GB2312"/>
                <w:sz w:val="21"/>
              </w:rPr>
              <w:t>》</w:t>
            </w:r>
            <w:r>
              <w:rPr>
                <w:rFonts w:ascii="仿宋_GB2312" w:hAnsi="仿宋_GB2312" w:cs="仿宋_GB2312" w:eastAsia="仿宋_GB2312"/>
                <w:sz w:val="21"/>
              </w:rPr>
              <w:t>检定规程</w:t>
            </w:r>
            <w:r>
              <w:rPr>
                <w:rFonts w:ascii="仿宋_GB2312" w:hAnsi="仿宋_GB2312" w:cs="仿宋_GB2312" w:eastAsia="仿宋_GB2312"/>
                <w:sz w:val="21"/>
              </w:rPr>
              <w:t>（所列规范标准如有更新，以最新规范标准执行）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α</w:t>
            </w:r>
            <w:r>
              <w:rPr>
                <w:rFonts w:ascii="仿宋_GB2312" w:hAnsi="仿宋_GB2312" w:cs="仿宋_GB2312" w:eastAsia="仿宋_GB2312"/>
                <w:sz w:val="21"/>
              </w:rPr>
              <w:t>标准平面源：表面发射率范围（</w:t>
            </w:r>
            <w:r>
              <w:rPr>
                <w:rFonts w:ascii="仿宋_GB2312" w:hAnsi="仿宋_GB2312" w:cs="仿宋_GB2312" w:eastAsia="仿宋_GB2312"/>
                <w:sz w:val="21"/>
              </w:rPr>
              <w:t>10</w:t>
            </w:r>
            <w:r>
              <w:rPr>
                <w:rFonts w:ascii="仿宋_GB2312" w:hAnsi="仿宋_GB2312" w:cs="仿宋_GB2312" w:eastAsia="仿宋_GB2312"/>
                <w:sz w:val="21"/>
                <w:vertAlign w:val="superscript"/>
              </w:rPr>
              <w:t>3</w:t>
            </w:r>
            <w:r>
              <w:rPr>
                <w:rFonts w:ascii="仿宋_GB2312" w:hAnsi="仿宋_GB2312" w:cs="仿宋_GB2312" w:eastAsia="仿宋_GB2312"/>
                <w:sz w:val="21"/>
              </w:rPr>
              <w:t>~10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min·2πsr</w:t>
            </w:r>
            <w:r>
              <w:rPr>
                <w:rFonts w:ascii="仿宋_GB2312" w:hAnsi="仿宋_GB2312" w:cs="仿宋_GB2312" w:eastAsia="仿宋_GB2312"/>
                <w:sz w:val="21"/>
              </w:rPr>
              <w:t>），相对扩展不确定度不超过</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i/>
              </w:rPr>
              <w:t>k</w:t>
            </w:r>
            <w:r>
              <w:rPr>
                <w:rFonts w:ascii="仿宋_GB2312" w:hAnsi="仿宋_GB2312" w:cs="仿宋_GB2312" w:eastAsia="仿宋_GB2312"/>
                <w:sz w:val="21"/>
              </w:rPr>
              <w:t>=2</w:t>
            </w:r>
            <w:r>
              <w:rPr>
                <w:rFonts w:ascii="仿宋_GB2312" w:hAnsi="仿宋_GB2312" w:cs="仿宋_GB2312" w:eastAsia="仿宋_GB2312"/>
                <w:sz w:val="21"/>
              </w:rPr>
              <w:t>）；平面源表面发射率的不均匀性不超过</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每一系列标准源至少包括</w:t>
            </w:r>
            <w:r>
              <w:rPr>
                <w:rFonts w:ascii="仿宋_GB2312" w:hAnsi="仿宋_GB2312" w:cs="仿宋_GB2312" w:eastAsia="仿宋_GB2312"/>
                <w:sz w:val="21"/>
              </w:rPr>
              <w:t>3个相邻量级的标准源。</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参考核素：</w:t>
            </w:r>
            <w:r>
              <w:rPr>
                <w:rFonts w:ascii="仿宋_GB2312" w:hAnsi="仿宋_GB2312" w:cs="仿宋_GB2312" w:eastAsia="仿宋_GB2312"/>
                <w:sz w:val="21"/>
                <w:vertAlign w:val="superscript"/>
              </w:rPr>
              <w:t>241</w:t>
            </w:r>
            <w:r>
              <w:rPr>
                <w:rFonts w:ascii="仿宋_GB2312" w:hAnsi="仿宋_GB2312" w:cs="仿宋_GB2312" w:eastAsia="仿宋_GB2312"/>
                <w:sz w:val="21"/>
              </w:rPr>
              <w:t>Am</w:t>
            </w:r>
            <w:r>
              <w:rPr>
                <w:rFonts w:ascii="仿宋_GB2312" w:hAnsi="仿宋_GB2312" w:cs="仿宋_GB2312" w:eastAsia="仿宋_GB2312"/>
                <w:sz w:val="21"/>
              </w:rPr>
              <w:t>，</w:t>
            </w:r>
            <w:r>
              <w:rPr>
                <w:rFonts w:ascii="仿宋_GB2312" w:hAnsi="仿宋_GB2312" w:cs="仿宋_GB2312" w:eastAsia="仿宋_GB2312"/>
                <w:sz w:val="21"/>
                <w:vertAlign w:val="superscript"/>
              </w:rPr>
              <w:t>239</w:t>
            </w:r>
            <w:r>
              <w:rPr>
                <w:rFonts w:ascii="仿宋_GB2312" w:hAnsi="仿宋_GB2312" w:cs="仿宋_GB2312" w:eastAsia="仿宋_GB2312"/>
                <w:sz w:val="21"/>
              </w:rPr>
              <w:t>Pu</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β</w:t>
            </w:r>
            <w:r>
              <w:rPr>
                <w:rFonts w:ascii="仿宋_GB2312" w:hAnsi="仿宋_GB2312" w:cs="仿宋_GB2312" w:eastAsia="仿宋_GB2312"/>
                <w:sz w:val="21"/>
              </w:rPr>
              <w:t>标准平面源：表面发射率范围（</w:t>
            </w:r>
            <w:r>
              <w:rPr>
                <w:rFonts w:ascii="仿宋_GB2312" w:hAnsi="仿宋_GB2312" w:cs="仿宋_GB2312" w:eastAsia="仿宋_GB2312"/>
                <w:sz w:val="21"/>
              </w:rPr>
              <w:t>10</w:t>
            </w:r>
            <w:r>
              <w:rPr>
                <w:rFonts w:ascii="仿宋_GB2312" w:hAnsi="仿宋_GB2312" w:cs="仿宋_GB2312" w:eastAsia="仿宋_GB2312"/>
                <w:sz w:val="21"/>
                <w:vertAlign w:val="superscript"/>
              </w:rPr>
              <w:t>4</w:t>
            </w:r>
            <w:r>
              <w:rPr>
                <w:rFonts w:ascii="仿宋_GB2312" w:hAnsi="仿宋_GB2312" w:cs="仿宋_GB2312" w:eastAsia="仿宋_GB2312"/>
                <w:sz w:val="21"/>
              </w:rPr>
              <w:t>~10</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min·2πsr</w:t>
            </w:r>
            <w:r>
              <w:rPr>
                <w:rFonts w:ascii="仿宋_GB2312" w:hAnsi="仿宋_GB2312" w:cs="仿宋_GB2312" w:eastAsia="仿宋_GB2312"/>
                <w:sz w:val="21"/>
              </w:rPr>
              <w:t>），相对扩展不确定度不超过</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i/>
              </w:rPr>
              <w:t>k</w:t>
            </w:r>
            <w:r>
              <w:rPr>
                <w:rFonts w:ascii="仿宋_GB2312" w:hAnsi="仿宋_GB2312" w:cs="仿宋_GB2312" w:eastAsia="仿宋_GB2312"/>
                <w:sz w:val="21"/>
              </w:rPr>
              <w:t>=2</w:t>
            </w:r>
            <w:r>
              <w:rPr>
                <w:rFonts w:ascii="仿宋_GB2312" w:hAnsi="仿宋_GB2312" w:cs="仿宋_GB2312" w:eastAsia="仿宋_GB2312"/>
                <w:sz w:val="21"/>
              </w:rPr>
              <w:t>）；平面源表面发射率的不均匀性不超过</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每一系列标准源至少包括</w:t>
            </w:r>
            <w:r>
              <w:rPr>
                <w:rFonts w:ascii="仿宋_GB2312" w:hAnsi="仿宋_GB2312" w:cs="仿宋_GB2312" w:eastAsia="仿宋_GB2312"/>
                <w:sz w:val="21"/>
              </w:rPr>
              <w:t>3个相邻量级的标准源。</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参考核素：</w:t>
            </w:r>
            <w:r>
              <w:rPr>
                <w:rFonts w:ascii="仿宋_GB2312" w:hAnsi="仿宋_GB2312" w:cs="仿宋_GB2312" w:eastAsia="仿宋_GB2312"/>
                <w:sz w:val="21"/>
                <w:vertAlign w:val="superscript"/>
              </w:rPr>
              <w:t>204</w:t>
            </w:r>
            <w:r>
              <w:rPr>
                <w:rFonts w:ascii="仿宋_GB2312" w:hAnsi="仿宋_GB2312" w:cs="仿宋_GB2312" w:eastAsia="仿宋_GB2312"/>
                <w:sz w:val="21"/>
              </w:rPr>
              <w:t>Tl</w:t>
            </w:r>
            <w:r>
              <w:rPr>
                <w:rFonts w:ascii="仿宋_GB2312" w:hAnsi="仿宋_GB2312" w:cs="仿宋_GB2312" w:eastAsia="仿宋_GB2312"/>
                <w:sz w:val="21"/>
              </w:rPr>
              <w:t>，</w:t>
            </w:r>
            <w:r>
              <w:rPr>
                <w:rFonts w:ascii="仿宋_GB2312" w:hAnsi="仿宋_GB2312" w:cs="仿宋_GB2312" w:eastAsia="仿宋_GB2312"/>
                <w:sz w:val="21"/>
                <w:vertAlign w:val="superscript"/>
              </w:rPr>
              <w:t>36</w:t>
            </w:r>
            <w:r>
              <w:rPr>
                <w:rFonts w:ascii="仿宋_GB2312" w:hAnsi="仿宋_GB2312" w:cs="仿宋_GB2312" w:eastAsia="仿宋_GB2312"/>
                <w:sz w:val="21"/>
              </w:rPr>
              <w:t>Cl</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如果探测器用于测量最大能量小于</w:t>
            </w:r>
            <w:r>
              <w:rPr>
                <w:rFonts w:ascii="仿宋_GB2312" w:hAnsi="仿宋_GB2312" w:cs="仿宋_GB2312" w:eastAsia="仿宋_GB2312"/>
                <w:sz w:val="21"/>
              </w:rPr>
              <w:t>200 keV</w:t>
            </w:r>
            <w:r>
              <w:rPr>
                <w:rFonts w:ascii="仿宋_GB2312" w:hAnsi="仿宋_GB2312" w:cs="仿宋_GB2312" w:eastAsia="仿宋_GB2312"/>
                <w:sz w:val="21"/>
              </w:rPr>
              <w:t>的</w:t>
            </w:r>
            <w:r>
              <w:rPr>
                <w:rFonts w:ascii="仿宋_GB2312" w:hAnsi="仿宋_GB2312" w:cs="仿宋_GB2312" w:eastAsia="仿宋_GB2312"/>
                <w:sz w:val="21"/>
              </w:rPr>
              <w:t>β</w:t>
            </w:r>
            <w:r>
              <w:rPr>
                <w:rFonts w:ascii="仿宋_GB2312" w:hAnsi="仿宋_GB2312" w:cs="仿宋_GB2312" w:eastAsia="仿宋_GB2312"/>
                <w:sz w:val="21"/>
              </w:rPr>
              <w:t>粒子，参考核素为</w:t>
            </w:r>
            <w:r>
              <w:rPr>
                <w:rFonts w:ascii="仿宋_GB2312" w:hAnsi="仿宋_GB2312" w:cs="仿宋_GB2312" w:eastAsia="仿宋_GB2312"/>
                <w:sz w:val="21"/>
                <w:vertAlign w:val="superscript"/>
              </w:rPr>
              <w:t>14</w:t>
            </w:r>
            <w:r>
              <w:rPr>
                <w:rFonts w:ascii="仿宋_GB2312" w:hAnsi="仿宋_GB2312" w:cs="仿宋_GB2312" w:eastAsia="仿宋_GB2312"/>
                <w:sz w:val="21"/>
              </w:rPr>
              <w:t>C</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配套部件</w:t>
            </w:r>
          </w:p>
          <w:p>
            <w:pPr>
              <w:pStyle w:val="null3"/>
              <w:ind w:firstLine="420"/>
              <w:jc w:val="both"/>
            </w:pPr>
            <w:r>
              <w:rPr>
                <w:rFonts w:ascii="仿宋_GB2312" w:hAnsi="仿宋_GB2312" w:cs="仿宋_GB2312" w:eastAsia="仿宋_GB2312"/>
                <w:sz w:val="21"/>
              </w:rPr>
              <w:t>配备高精度放射源定位装置，至少能够满足</w:t>
            </w:r>
            <w:r>
              <w:rPr>
                <w:rFonts w:ascii="仿宋_GB2312" w:hAnsi="仿宋_GB2312" w:cs="仿宋_GB2312" w:eastAsia="仿宋_GB2312"/>
                <w:sz w:val="21"/>
              </w:rPr>
              <w:t>3枚标准平面源的存储及使用；放射源定位装置在检定时，可以实现更换平面源的自动化运行，减少人工接触放射源的时间；被检仪器定位支架：定位偏差不超过±0.5 mm（提供证明材料）；具备监控被检仪器示值功能。</w:t>
            </w:r>
          </w:p>
          <w:p>
            <w:pPr>
              <w:pStyle w:val="null3"/>
              <w:jc w:val="both"/>
            </w:pPr>
            <w:r>
              <w:rPr>
                <w:rFonts w:ascii="仿宋_GB2312" w:hAnsi="仿宋_GB2312" w:cs="仿宋_GB2312" w:eastAsia="仿宋_GB2312"/>
                <w:sz w:val="21"/>
              </w:rPr>
              <w:t>溯源要求：</w:t>
            </w:r>
          </w:p>
          <w:p>
            <w:pPr>
              <w:pStyle w:val="null3"/>
              <w:ind w:firstLine="420"/>
              <w:jc w:val="left"/>
            </w:pPr>
            <w:r>
              <w:rPr>
                <w:rFonts w:ascii="仿宋_GB2312" w:hAnsi="仿宋_GB2312" w:cs="仿宋_GB2312" w:eastAsia="仿宋_GB2312"/>
                <w:sz w:val="21"/>
              </w:rPr>
              <w:t>提供中国计量科学研究院</w:t>
            </w:r>
            <w:r>
              <w:rPr>
                <w:rFonts w:ascii="仿宋_GB2312" w:hAnsi="仿宋_GB2312" w:cs="仿宋_GB2312" w:eastAsia="仿宋_GB2312"/>
                <w:sz w:val="21"/>
              </w:rPr>
              <w:t>或中国测试技术研究院检定</w:t>
            </w:r>
            <w:r>
              <w:rPr>
                <w:rFonts w:ascii="仿宋_GB2312" w:hAnsi="仿宋_GB2312" w:cs="仿宋_GB2312" w:eastAsia="仿宋_GB2312"/>
                <w:sz w:val="21"/>
              </w:rPr>
              <w:t>/</w:t>
            </w:r>
            <w:r>
              <w:rPr>
                <w:rFonts w:ascii="仿宋_GB2312" w:hAnsi="仿宋_GB2312" w:cs="仿宋_GB2312" w:eastAsia="仿宋_GB2312"/>
                <w:sz w:val="21"/>
              </w:rPr>
              <w:t>校准证书。</w:t>
            </w:r>
          </w:p>
          <w:p>
            <w:pPr>
              <w:pStyle w:val="null3"/>
              <w:jc w:val="left"/>
            </w:pP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 xml:space="preserve">    供应商需提供豁免源的备案通过材料。</w:t>
            </w:r>
          </w:p>
          <w:p>
            <w:pPr>
              <w:pStyle w:val="null3"/>
            </w:pPr>
            <w:r>
              <w:rPr>
                <w:rFonts w:ascii="仿宋_GB2312" w:hAnsi="仿宋_GB2312" w:cs="仿宋_GB2312" w:eastAsia="仿宋_GB2312"/>
              </w:rPr>
              <w:t>上述所有技术参数须全部满足，其中▲标识项必须提供佐证材料，否则按无效文件处理。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自合同签订之日起120日历日内完成交付、安装及调试等交付工作。供应商承诺的交货期优于磋商文件要求的，按其承诺时间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西安计量技术研究院指定地点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尾款，全部设备到达采购人指定地点并验收合格后，成交供应商必须开具符合采购人要求的全额发票给采购人，通过最终验收合格后，达到付款条件起30个工作日内，支付合同总金额的60.0%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响应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（4）质保期内，若存在质量、服务问题，供应商应当按照响应文件中承诺的条款及时进行处理。 （5）若发现供应商弄虚作假，在招投标阶段故意或随意夸大所投产品技术参数、产品性能，或以国产产品冒充进口产品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②响应文件及澄清函、招标文件③国家和行业、企业制定的相应标准和规范④JJG 478-2016《α、β表面污染仪》检定规程等计量技术规范的要求（所列规范标准如有更新，以最新规范标准执行）等。⑤产品清单（注明品名、数量、规格和原产地或生产厂家，包括部件），涉及电子类所有设备须为安全可靠产品。⑥提供豁免源的备案通过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质保期：验收合格后不少于3年。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所提供的服务内容应严格按照国家最新发布的规范、标准执行，符合甲方的理念及要求，如发生质量问题由乙方承担全部责任 维保期：以成交供应商的响应文件为准。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如因供应商责任而造成延期交货，采购人可在合同未付款中直接扣除延期交货的违约金，每延期交货一天按合同总价款的1%向采购人支付违约金，该违约金由采购人在应支付货款中直接扣除，供应商对此无任何异议。 ②如整机验收不合格，且供应商在规定的整改期内仍达不到验收标准的，视为供应商延期交货，采购人可在合同未付款中直接扣除延期交货违约金，每延期一天按合同总价款的1%扣除；同时，供应商应向采购人重新更换和响应文件一致的同生产厂家、同品牌、同型号、同规格的全新产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1.本项目所有产品根据需求配置终端配套设备，费用均包含在本项目报价中。 2.本项目所有配置的系统需保证终身维护和升级。 3.供应商签订合同后，供应商须提供以下服务： ①设备安装、调试和验收：仪器到达最终用户现场并且实验室条件合格后，在接到用户通知后需安排有经验的工程技术人员到用户现场安装、调试仪器，设备安装调试需在120日内完成。 ②培训：安装验收期间，在用户所在地对用户进行仪器操作和日常维护的现场培训，包括仪器原理、使用方法和维护方法等。 ③质量保证期结束后，供应商有责任对采购人的设备提供良好的维保服务。 4.为顺利推进政府采购电子化交易平台应用工作，供应商需要在线提交所有通过电子化交易平台实施的政府采购项目的响应文件，同时，线下提交纸质版响应文件，壹套正本。若线上电子响应文件与纸质响应文件不一致的，以线上电子响应文件为准。线下递交文件时间：详见本项目招标公告提交响应文件截止时间；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法定代表人参加谈判的，须提供法定代表人身份证复印件；法定代表人授权本单位他人参加谈判的，须提供法定代表人授权委托书。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(1)谈判响应文件未按照谈判文件规定要求签署、盖章的；(2)不满足本谈判文件中“交货时间、交货地点、支付方式、支付约定、质量保修范围和保修期以及3.5其他要求中第1、2项”实质性条款要求的； (3)文件有效期不足的或无有效期的； (4)报价超过谈判文件中规定的预算金额或最高限价的；(5)法律、法规和谈判文件规定的其他无效情形。</w:t>
            </w:r>
          </w:p>
        </w:tc>
        <w:tc>
          <w:tcPr>
            <w:tcW w:type="dxa" w:w="1661"/>
          </w:tcPr>
          <w:p>
            <w:pPr>
              <w:pStyle w:val="null3"/>
            </w:pPr>
            <w:r>
              <w:rPr>
                <w:rFonts w:ascii="仿宋_GB2312" w:hAnsi="仿宋_GB2312" w:cs="仿宋_GB2312" w:eastAsia="仿宋_GB2312"/>
              </w:rPr>
              <w:t>技术方案及实施方案、组织机构、售后服务承诺.docx 本国产品说明 中小企业声明函 承诺书.docx 报价表 中国境内生产的组件成本核算基本规则 商务部分偏离表.docx 分项价格表.docx 响应文件封面 残疾人福利性单位声明函 标的清单 关于符合本国产品标准的声明函 供应商资格证明文件.docx 响应函 技术响应与偏离表.docx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一、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w:t>
              <w:br/>
              <w:t>二、供应商提交的相关说明和证明材料，应当加盖供应商（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详见附件：技术方案及实施方案、组织机构、售后服务承诺.docx</w:t>
      </w:r>
    </w:p>
    <w:p>
      <w:pPr>
        <w:pStyle w:val="null3"/>
        <w:ind w:firstLine="960"/>
      </w:pPr>
      <w:r>
        <w:rPr>
          <w:rFonts w:ascii="仿宋_GB2312" w:hAnsi="仿宋_GB2312" w:cs="仿宋_GB2312" w:eastAsia="仿宋_GB2312"/>
        </w:rPr>
        <w:t>详见附件：商务部分偏离表.docx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