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版本号：XMZB-202602320260722001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土地征收储备供应专业技术服务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XMZB-2026023</w:t>
      </w:r>
      <w:r>
        <w:br/>
      </w:r>
      <w:r>
        <w:br/>
      </w:r>
      <w:r>
        <w:br/>
      </w:r>
    </w:p>
    <w:p>
      <w:pPr>
        <w:pStyle w:val="null3"/>
        <w:jc w:val="center"/>
        <w:outlineLvl w:val="2"/>
      </w:pPr>
      <w:r>
        <w:rPr>
          <w:rFonts w:ascii="仿宋_GB2312" w:hAnsi="仿宋_GB2312" w:cs="仿宋_GB2312" w:eastAsia="仿宋_GB2312"/>
          <w:sz w:val="28"/>
          <w:b/>
        </w:rPr>
        <w:t>西安市自然资源和规划局鄠邑分局</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西安市自然资源和规划局鄠邑分局</w:t>
      </w:r>
      <w:r>
        <w:rPr>
          <w:rFonts w:ascii="仿宋_GB2312" w:hAnsi="仿宋_GB2312" w:cs="仿宋_GB2312" w:eastAsia="仿宋_GB2312"/>
        </w:rPr>
        <w:t>委托，拟对</w:t>
      </w:r>
      <w:r>
        <w:rPr>
          <w:rFonts w:ascii="仿宋_GB2312" w:hAnsi="仿宋_GB2312" w:cs="仿宋_GB2312" w:eastAsia="仿宋_GB2312"/>
        </w:rPr>
        <w:t>土地征收储备供应专业技术服务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XMZB-2026023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土地征收储备供应专业技术服务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西安市自然资源和规划局鄠邑分局土地征收储备供应专业技术服务，详见竞争性磋商文件。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3、税收缴纳证明：提供2026年至今已缴纳的1个月的纳税证明或完税证明，依法免税的单位应提供相关证明材料。供应商需在项目电子化交易系统中按要求上传相应证明文件并进行电子签章。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直接参加投标的，须出具法定代表人身份证；法定代表人授权代表参加投标的，须出具法定代表人授权书及授权代表身份证（被授权人须提供开标截止时间前近三个月内任意一个月社保缴纳证明）。</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10、是否接受联合体投标：本项目不接受联合体投标（提供非联合体声明函）。供应商需在项目电子化交易系统中按要求上传相应证明文件并进行电子签章。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3、税收缴纳证明：提供2026年至今已缴纳的1个月的纳税证明或完税证明，依法免税的单位应提供相关证明材料。供应商需在项目电子化交易系统中按要求上传相应证明文件并进行电子签章。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5、资质证书：供应商须具备城乡规划编制乙级及以上资质。供应商需在项目电子化交易系统中按要求上传相应证明文件并进行电子签章。</w:t>
      </w:r>
    </w:p>
    <w:p>
      <w:pPr>
        <w:pStyle w:val="null3"/>
      </w:pPr>
      <w:r>
        <w:rPr>
          <w:rFonts w:ascii="仿宋_GB2312" w:hAnsi="仿宋_GB2312" w:cs="仿宋_GB2312" w:eastAsia="仿宋_GB2312"/>
        </w:rPr>
        <w:t>6、项目负责人：拟派项目负责人须具备注册城乡规划师证书。供应商需在项目电子化交易系统中按要求上传相应证明文件并进行电子签章。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8、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9、授权书被授权人身份证：法定代表人直接参加投标的，须出具法定代表人身份证；法定代表人授权代表参加投标的，须出具法定代表人授权书及授权代表身份证（被授权人须提供开标截止时间前近三个月内任意一个月社保缴纳证明）。</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南环中路3号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杨博文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029-84820116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电子三路西京国际电气中心A座906室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拓工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15249226830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计价格〔2002〕1980号）和国家发展和改革委员会办公厅颁发的《关于招标代理服务收费有关问题的通知》（发改办价格〔2003〕857号）文件计取。 名 称：陕西雄迈工程项目管理有限公司 开 户 行：中国民生银行股份有限公司西安太白路支行 账 号：6323 3691 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西安市自然资源和规划局鄠邑分局</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西安市自然资源和规划局鄠邑分局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联系人：拓工</w:t>
      </w:r>
    </w:p>
    <w:p>
      <w:pPr>
        <w:pStyle w:val="null3"/>
      </w:pPr>
      <w:r>
        <w:rPr>
          <w:rFonts w:ascii="仿宋_GB2312" w:hAnsi="仿宋_GB2312" w:cs="仿宋_GB2312" w:eastAsia="仿宋_GB2312"/>
        </w:rPr>
        <w:t>联系电话：15249226830</w:t>
      </w:r>
    </w:p>
    <w:p>
      <w:pPr>
        <w:pStyle w:val="null3"/>
      </w:pPr>
      <w:r>
        <w:rPr>
          <w:rFonts w:ascii="仿宋_GB2312" w:hAnsi="仿宋_GB2312" w:cs="仿宋_GB2312" w:eastAsia="仿宋_GB2312"/>
        </w:rPr>
        <w:t>地址：电子三路西京国际电气中心A座906室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西安市自然资源和规划局鄠邑分局土地征收储备供应专业技术服务，具体详见竞争性磋商文件。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数据梳理及管理维护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规划执行及三图制作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标的名称：数据梳理及管理维护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48"/>
                <w:b/>
              </w:rPr>
              <w:t>采购内容</w:t>
            </w:r>
          </w:p>
          <w:p>
            <w:pPr>
              <w:pStyle w:val="null3"/>
              <w:ind w:firstLine="560"/>
              <w:jc w:val="both"/>
            </w:pPr>
            <w:r>
              <w:rPr>
                <w:rFonts w:ascii="仿宋_GB2312" w:hAnsi="仿宋_GB2312" w:cs="仿宋_GB2312" w:eastAsia="仿宋_GB2312"/>
                <w:sz w:val="28"/>
              </w:rPr>
              <w:t>根据《西安市土地储备条例》《关于印发规范土地征收拆迁安置储备供应工作实施办法（试行）的通知》，结合鄠邑区实际确定土地储备的任务和方向，为</w:t>
            </w:r>
            <w:r>
              <w:rPr>
                <w:rFonts w:ascii="仿宋_GB2312" w:hAnsi="仿宋_GB2312" w:cs="仿宋_GB2312" w:eastAsia="仿宋_GB2312"/>
                <w:sz w:val="28"/>
              </w:rPr>
              <w:t>2026年度征收、储备和供应计划提供技术服务。</w:t>
            </w:r>
          </w:p>
          <w:p>
            <w:pPr>
              <w:pStyle w:val="null3"/>
              <w:outlineLvl w:val="0"/>
            </w:pPr>
            <w:r>
              <w:rPr>
                <w:rFonts w:ascii="仿宋_GB2312" w:hAnsi="仿宋_GB2312" w:cs="仿宋_GB2312" w:eastAsia="仿宋_GB2312"/>
                <w:sz w:val="32"/>
                <w:b/>
              </w:rPr>
              <w:t>一</w:t>
            </w:r>
            <w:r>
              <w:rPr>
                <w:rFonts w:ascii="仿宋_GB2312" w:hAnsi="仿宋_GB2312" w:cs="仿宋_GB2312" w:eastAsia="仿宋_GB2312"/>
                <w:sz w:val="32"/>
                <w:b/>
              </w:rPr>
              <w:t>、技术要求</w:t>
            </w:r>
          </w:p>
          <w:p>
            <w:pPr>
              <w:pStyle w:val="null3"/>
              <w:outlineLvl w:val="0"/>
            </w:pPr>
            <w:r>
              <w:rPr>
                <w:rFonts w:ascii="仿宋_GB2312" w:hAnsi="仿宋_GB2312" w:cs="仿宋_GB2312" w:eastAsia="仿宋_GB2312"/>
                <w:sz w:val="32"/>
                <w:b/>
              </w:rPr>
              <w:t xml:space="preserve">    </w:t>
            </w:r>
            <w:r>
              <w:rPr>
                <w:rFonts w:ascii="仿宋_GB2312" w:hAnsi="仿宋_GB2312" w:cs="仿宋_GB2312" w:eastAsia="仿宋_GB2312"/>
                <w:sz w:val="28"/>
                <w:b/>
              </w:rPr>
              <w:t>符合《西安市土地储备条例》《关于印发规范土地征收拆迁安置储备供应工作实施办法（试行）的通知》《陕西省自然资源厅办公室关于加快完成</w:t>
            </w:r>
            <w:r>
              <w:rPr>
                <w:rFonts w:ascii="仿宋_GB2312" w:hAnsi="仿宋_GB2312" w:cs="仿宋_GB2312" w:eastAsia="仿宋_GB2312"/>
                <w:sz w:val="28"/>
                <w:b/>
              </w:rPr>
              <w:t>2026年度土地储备计划编制工作的通知》《西安市自然资源和规划局转发&lt;陕西省自然资源厅办公室关于加快完成2026年度土地储备计划编制工作的通知&gt;》要求。为2026年度征收、储备和供应计划提供技术服务数据梳理及管理维护。梳理上年度末储备土地结转情况、年度新增储备土地计划、年度储备土地供应计划、年度储备土地临时管护计划、年度土地储备资金需求总量。</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0"/>
            </w:pPr>
            <w:r>
              <w:rPr>
                <w:rFonts w:ascii="仿宋_GB2312" w:hAnsi="仿宋_GB2312" w:cs="仿宋_GB2312" w:eastAsia="仿宋_GB2312"/>
                <w:sz w:val="48"/>
                <w:b/>
              </w:rPr>
              <w:t>商务要求</w:t>
            </w:r>
          </w:p>
          <w:p>
            <w:pPr>
              <w:pStyle w:val="null3"/>
              <w:ind w:firstLine="560"/>
              <w:jc w:val="both"/>
            </w:pPr>
            <w:r>
              <w:rPr>
                <w:rFonts w:ascii="仿宋_GB2312" w:hAnsi="仿宋_GB2312" w:cs="仿宋_GB2312" w:eastAsia="仿宋_GB2312"/>
                <w:sz w:val="28"/>
              </w:rPr>
              <w:t>1、服务期：自合同签订之日起</w:t>
            </w:r>
            <w:r>
              <w:rPr>
                <w:rFonts w:ascii="仿宋_GB2312" w:hAnsi="仿宋_GB2312" w:cs="仿宋_GB2312" w:eastAsia="仿宋_GB2312"/>
                <w:sz w:val="28"/>
              </w:rPr>
              <w:t>180日</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2、服务地点：采购人指定地点</w:t>
            </w:r>
          </w:p>
          <w:p>
            <w:pPr>
              <w:pStyle w:val="null3"/>
              <w:ind w:firstLine="560"/>
              <w:jc w:val="both"/>
            </w:pPr>
            <w:r>
              <w:rPr>
                <w:rFonts w:ascii="仿宋_GB2312" w:hAnsi="仿宋_GB2312" w:cs="仿宋_GB2312" w:eastAsia="仿宋_GB2312"/>
                <w:sz w:val="28"/>
              </w:rPr>
              <w:t>3、付款方式：合同签订后，达到付款条件起30个工作日内，支付合同总金额的50%；乙方向甲方提交全部技术成果当日，达到付款条件起30</w:t>
            </w:r>
            <w:r>
              <w:rPr>
                <w:rFonts w:ascii="仿宋_GB2312" w:hAnsi="仿宋_GB2312" w:cs="仿宋_GB2312" w:eastAsia="仿宋_GB2312"/>
                <w:sz w:val="28"/>
              </w:rPr>
              <w:t>个工作</w:t>
            </w:r>
            <w:r>
              <w:rPr>
                <w:rFonts w:ascii="仿宋_GB2312" w:hAnsi="仿宋_GB2312" w:cs="仿宋_GB2312" w:eastAsia="仿宋_GB2312"/>
                <w:sz w:val="28"/>
              </w:rPr>
              <w:t>日内，支付合同总金额的50%。</w:t>
            </w:r>
          </w:p>
          <w:p>
            <w:pPr>
              <w:pStyle w:val="null3"/>
              <w:ind w:firstLine="560"/>
              <w:jc w:val="both"/>
            </w:pPr>
            <w:r>
              <w:rPr>
                <w:rFonts w:ascii="仿宋_GB2312" w:hAnsi="仿宋_GB2312" w:cs="仿宋_GB2312" w:eastAsia="仿宋_GB2312"/>
                <w:sz w:val="28"/>
              </w:rPr>
              <w:t>4、服务质量：达到国家现行的标准或国家行政部门颁布的法律法规、规章制度等。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标的名称：规划执行及三图制作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48"/>
                <w:b/>
              </w:rPr>
              <w:t>采购内容</w:t>
            </w:r>
          </w:p>
          <w:p>
            <w:pPr>
              <w:pStyle w:val="null3"/>
              <w:ind w:firstLine="560"/>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根据《西安市土地储备条例》《关于印发规范土地征收拆迁安置储备供应工作实施办法（试行）的通知》，结合鄠邑区实际确定土地储备的任务和方向，为</w:t>
            </w:r>
            <w:r>
              <w:rPr>
                <w:rFonts w:ascii="仿宋_GB2312" w:hAnsi="仿宋_GB2312" w:cs="仿宋_GB2312" w:eastAsia="仿宋_GB2312"/>
                <w:sz w:val="28"/>
              </w:rPr>
              <w:t>2026年度征收、储备和供应计划提供规划技术服务。</w:t>
            </w:r>
          </w:p>
          <w:p>
            <w:pPr>
              <w:pStyle w:val="null3"/>
              <w:ind w:firstLine="560"/>
              <w:jc w:val="both"/>
            </w:pPr>
            <w:r>
              <w:rPr>
                <w:rFonts w:ascii="仿宋_GB2312" w:hAnsi="仿宋_GB2312" w:cs="仿宋_GB2312" w:eastAsia="仿宋_GB2312"/>
                <w:sz w:val="28"/>
                <w:b/>
              </w:rPr>
              <w:t>二、服务内容</w:t>
            </w:r>
          </w:p>
          <w:p>
            <w:pPr>
              <w:pStyle w:val="null3"/>
              <w:outlineLvl w:val="0"/>
            </w:pPr>
            <w:r>
              <w:rPr>
                <w:rFonts w:ascii="仿宋_GB2312" w:hAnsi="仿宋_GB2312" w:cs="仿宋_GB2312" w:eastAsia="仿宋_GB2312"/>
                <w:sz w:val="28"/>
                <w:b/>
              </w:rPr>
              <w:t xml:space="preserve">    根据以</w:t>
            </w:r>
            <w:r>
              <w:rPr>
                <w:rFonts w:ascii="仿宋_GB2312" w:hAnsi="仿宋_GB2312" w:cs="仿宋_GB2312" w:eastAsia="仿宋_GB2312"/>
                <w:sz w:val="28"/>
                <w:b/>
              </w:rPr>
              <w:t>“供”定“储”的原则，结合区域总体布局和市场调控方向，结合各项目成片开发方案、项目规划预选址等土地征收前期工作实际，结合2026年征储供计划，整合鄠邑区单元详细规划、道路红线及用地权属，精准完成用地边界调整，坚决消除“边角地”。同步完成征储供项目现状、规划及道路红线规划许可示意图纸的绘制，最终形成科学、精准的2026年鄠邑区土地征收储备供应计划图件和数据库。</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0"/>
            </w:pPr>
            <w:r>
              <w:rPr>
                <w:rFonts w:ascii="仿宋_GB2312" w:hAnsi="仿宋_GB2312" w:cs="仿宋_GB2312" w:eastAsia="仿宋_GB2312"/>
                <w:sz w:val="48"/>
                <w:b/>
              </w:rPr>
              <w:t>商务要求</w:t>
            </w:r>
          </w:p>
          <w:p>
            <w:pPr>
              <w:pStyle w:val="null3"/>
              <w:ind w:firstLine="560"/>
              <w:jc w:val="both"/>
            </w:pPr>
            <w:r>
              <w:rPr>
                <w:rFonts w:ascii="仿宋_GB2312" w:hAnsi="仿宋_GB2312" w:cs="仿宋_GB2312" w:eastAsia="仿宋_GB2312"/>
                <w:sz w:val="28"/>
              </w:rPr>
              <w:t>1、服务期：自合同签订之日起</w:t>
            </w:r>
            <w:r>
              <w:rPr>
                <w:rFonts w:ascii="仿宋_GB2312" w:hAnsi="仿宋_GB2312" w:cs="仿宋_GB2312" w:eastAsia="仿宋_GB2312"/>
                <w:sz w:val="28"/>
              </w:rPr>
              <w:t>180日</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2、服务地点：采购人指定地点</w:t>
            </w:r>
          </w:p>
          <w:p>
            <w:pPr>
              <w:pStyle w:val="null3"/>
              <w:ind w:firstLine="560"/>
              <w:jc w:val="both"/>
            </w:pPr>
            <w:r>
              <w:rPr>
                <w:rFonts w:ascii="仿宋_GB2312" w:hAnsi="仿宋_GB2312" w:cs="仿宋_GB2312" w:eastAsia="仿宋_GB2312"/>
                <w:sz w:val="28"/>
              </w:rPr>
              <w:t>3、付款方式：合同签订后，达到付款条件起30</w:t>
            </w:r>
            <w:r>
              <w:rPr>
                <w:rFonts w:ascii="仿宋_GB2312" w:hAnsi="仿宋_GB2312" w:cs="仿宋_GB2312" w:eastAsia="仿宋_GB2312"/>
                <w:sz w:val="28"/>
              </w:rPr>
              <w:t>个工作</w:t>
            </w:r>
            <w:r>
              <w:rPr>
                <w:rFonts w:ascii="仿宋_GB2312" w:hAnsi="仿宋_GB2312" w:cs="仿宋_GB2312" w:eastAsia="仿宋_GB2312"/>
                <w:sz w:val="28"/>
              </w:rPr>
              <w:t>日内，支付合同总金额的50%；乙方向甲方提交全部技术成果当日，达到付款条件起30</w:t>
            </w:r>
            <w:r>
              <w:rPr>
                <w:rFonts w:ascii="仿宋_GB2312" w:hAnsi="仿宋_GB2312" w:cs="仿宋_GB2312" w:eastAsia="仿宋_GB2312"/>
                <w:sz w:val="28"/>
              </w:rPr>
              <w:t>个工作</w:t>
            </w:r>
            <w:r>
              <w:rPr>
                <w:rFonts w:ascii="仿宋_GB2312" w:hAnsi="仿宋_GB2312" w:cs="仿宋_GB2312" w:eastAsia="仿宋_GB2312"/>
                <w:sz w:val="28"/>
              </w:rPr>
              <w:t>日内，支付合同总金额的50%。</w:t>
            </w:r>
          </w:p>
          <w:p>
            <w:pPr>
              <w:pStyle w:val="null3"/>
              <w:ind w:firstLine="560"/>
              <w:jc w:val="both"/>
            </w:pPr>
            <w:r>
              <w:rPr>
                <w:rFonts w:ascii="仿宋_GB2312" w:hAnsi="仿宋_GB2312" w:cs="仿宋_GB2312" w:eastAsia="仿宋_GB2312"/>
                <w:sz w:val="28"/>
              </w:rPr>
              <w:t>4、服务质量：达到国家现行的标准或国家行政部门颁布的法律法规、规章制度等。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满足本次采购</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满足本次采购</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满足本次采购</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进度款，乙方向甲方提交全部技术成果当日，达到付款条件起30个工作日内，支付合同总金额的50.0%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进度款，乙方向甲方提交全部技术成果当日，达到付款条件起30个工作日内，支付合同总金额的50.0%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本合同如有未尽事宜，甲、乙双方协商解决。协商不成时，双方同意将争议提交甲方所在地的人民法院管辖。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本合同如有未尽事宜，甲、乙双方协商解决。协商不成时，双方同意将争议提交甲方所在地的人民法院管辖。</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如有分项报价，所有分项报价（与最后磋商报价比例一致）同比例下浮。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一包供应商资格证明文件.docx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一包供应商资格证明文件.docx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法定代表人直接参加投标的，须出具法定代表人身份证；法定代表人授权代表参加投标的，须出具法定代表人授权书及授权代表身份证（被授权人须提供开标截止时间前近三个月内任意一个月社保缴纳证明）。</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一包供应商资格证明文件.docx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供应商须具备城乡规划编制乙级及以上资质。供应商需在项目电子化交易系统中按要求上传相应证明文件并进行电子签章。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拟派项目负责人须具备注册城乡规划师证书。供应商需在项目电子化交易系统中按要求上传相应证明文件并进行电子签章。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法定代表人直接参加投标的，须出具法定代表人身份证；法定代表人授权代表参加投标的，须出具法定代表人授权书及授权代表身份证（被授权人须提供开标截止时间前近三个月内任意一个月社保缴纳证明）。</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二包供应商资格证明文件.docx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响应函 监狱企业的证明文件 一包供应商资格证明文件.docx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二包供应商资格证明文件.docx 供应商认为有必要补充说明的事项.docx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评审内容：①项目需求分析理解；②总体框架及目标；③实施思路及方法；④服务理念及特色。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评审内容：①应急组织机构②应急响应流程③作业过程中突发状况的应急处理方案④应急保障措施。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响应承诺</w:t>
            </w:r>
          </w:p>
        </w:tc>
        <w:tc>
          <w:tcPr>
            <w:tcW w:type="dxa" w:w="2492"/>
          </w:tcPr>
          <w:p>
            <w:pPr>
              <w:pStyle w:val="null3"/>
            </w:pPr>
            <w:r>
              <w:rPr>
                <w:rFonts w:ascii="仿宋_GB2312" w:hAnsi="仿宋_GB2312" w:cs="仿宋_GB2312" w:eastAsia="仿宋_GB2312"/>
              </w:rPr>
              <w:t>①承诺接受采购人对本项目服务的监督及管理，定期调研采购人对服务质量的满意度并加以改进，确保服务工作的优质高效，得3分。②承诺团队核心成员在合同期内须保持稳定，未经采购人同意不得擅自更换，若出现服务人员因事、病等不能工作的，及时调整其他服务人员补充，确保服务工作的正常进行，得3分。③承诺储备可调度人员，调度人员可保障临时性工作需要及突发事件处置，得3分。④承诺积极配合采购人完成征求意见、专家评审等全流程工作，确保规划成果能顺利获批。得3分。⑤承诺严格按照按采购人要求，及时参加项目协调会、街道及村民意见征询会、评审会等，并准备高质量的汇报材料得3分。评审依据：以响应文件中加盖供应商公章的承诺函为准，格式自拟，未提供承诺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①承诺对项目涉及的涉密数据承担保密责任，严格遵守保密法律法规，得3分；②承诺项目结束后及时移交并清除相关涉密数据资料，得3分。③承诺在服务期内接到采购人技术咨询后2小时内响应、24小时内派技术人员到场或线上提供解决方案，得3分。未提供不得分。本项满分共9分。评审依据：以响应文件中加盖供应商公章的承诺函为准，格式自拟，未提供承诺函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项目组成员技术能力情况</w:t>
            </w:r>
          </w:p>
        </w:tc>
        <w:tc>
          <w:tcPr>
            <w:tcW w:type="dxa" w:w="2492"/>
          </w:tcPr>
          <w:p>
            <w:pPr>
              <w:pStyle w:val="null3"/>
            </w:pPr>
            <w:r>
              <w:rPr>
                <w:rFonts w:ascii="仿宋_GB2312" w:hAnsi="仿宋_GB2312" w:cs="仿宋_GB2312" w:eastAsia="仿宋_GB2312"/>
              </w:rPr>
              <w:t>①团队内具备1名高级职称人员的得2分，每增加1人得2分，本项最高得6分； ②团队内具备2名中级职称人员的得4分，每增加1人得2分，本项最高得10分； （注：以上项目团队成员不包含项目负责人，团队成员需提供身份证、相关证书及社保缴纳证明），未提供相关内容不得分。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提供2023年7月至今类似业绩合同（以合同签订时间或中标通知书为准），每提供一份得2分，最高得10分，未提供不得分。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评审内容：①项目需求分析理解；②总体框架及目标；③实施思路及方法；④服务理念及特色。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评审内容：①应急组织机构②应急响应流程③作业过程中突发状况的应急处理方案④应急保障措施。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响应承诺</w:t>
            </w:r>
          </w:p>
        </w:tc>
        <w:tc>
          <w:tcPr>
            <w:tcW w:type="dxa" w:w="2492"/>
          </w:tcPr>
          <w:p>
            <w:pPr>
              <w:pStyle w:val="null3"/>
            </w:pPr>
            <w:r>
              <w:rPr>
                <w:rFonts w:ascii="仿宋_GB2312" w:hAnsi="仿宋_GB2312" w:cs="仿宋_GB2312" w:eastAsia="仿宋_GB2312"/>
              </w:rPr>
              <w:t>①承诺接受采购人对本项目服务的监督及管理，定期调研采购人对服务质量的满意度并加以改进，确保服务工作的优质高效，得3分。②承诺团队核心成员在合同期内须保持稳定，未经采购人同意不得擅自更换，若出现服务人员因事、病等不能工作的，及时调整其他服务人员补充，确保服务工作的正常进行，得3分。③承诺储备可调度人员，调度人员可保障临时性工作需要及突发事件处置，得3分。④承诺积极配合采购人完成征求意见、专家评审等全流程工作，确保规划成果能顺利获批。得3分。⑤承诺严格按照按采购人要求，及时参加项目协调会、街道及村民意见征询会、评审会等，并准备高质量的汇报材料得3分。评审依据：以响应文件中加盖供应商公章的承诺函为准，格式自拟，未提供承诺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①承诺对项目涉及的涉密数据承担保密责任，严格遵守保密法律法规，得3分；②承诺项目结束后及时移交并清除相关涉密数据资料，得3分。③承诺在服务期内接到采购人技术咨询后2小时内响应、24小时内派技术人员到场或线上提供解决方案，得3分。未提供不得分。本项满分共9分。评审依据：以响应文件中加盖供应商公章的承诺函为准，格式自拟，未提供承诺函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项目组成员技术能力情况</w:t>
            </w:r>
          </w:p>
        </w:tc>
        <w:tc>
          <w:tcPr>
            <w:tcW w:type="dxa" w:w="2492"/>
          </w:tcPr>
          <w:p>
            <w:pPr>
              <w:pStyle w:val="null3"/>
            </w:pPr>
            <w:r>
              <w:rPr>
                <w:rFonts w:ascii="仿宋_GB2312" w:hAnsi="仿宋_GB2312" w:cs="仿宋_GB2312" w:eastAsia="仿宋_GB2312"/>
              </w:rPr>
              <w:t>①团队内具备1名高级职称人员的得2分，每增加1人得2分，本项最高得6分； ②团队内具备2名注册城乡规划师或中级职称人员的得4分，每增加1人得2分，本项最高得10分； （注：以上项目团队成员不包含项目负责人，团队成员需提供身份证、相关资质资格证书及社保缴纳证明），未提供相关内容不得分。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提供2023年7月至今类似业绩合同（以合同签订时间或中标通知书为准），每提供一份得2分，最高得10分，未提供不得分。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详见附件：一包供应商资格证明文件.docx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详见附件：二包供应商资格证明文件.docx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