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版本号：GXCZ-A1-2657032120260727002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远程监控和控制系统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GXCZ-A1-26570321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远程监控和控制系统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GXCZ-A1-26570321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远程监控和控制系统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石油与天然气工程学科创新平台重大设备更新项目的重要部分，旨在建设一套面向油气储运过程的多相流动测试与智能控制系统，突破传统点测量方法的局限，实现管道截面全域流场的非介入式精细测试，为多相流动机理研究提供高保真实验数据；构建高精度、快响应的流量调控与远程监控能力，支撑多相混输管路在变工况条件下的流动保障与控制策略研究。为核心课程提供高水平的实验教学平台，提升学生的工程实践能力与创新思维。项目的实施将为深化多相流理论认知、推动管道输送技术升级以及培养高素质油气储运人才提供有力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1、法定代表人身份证或法定代表人授权书及授权代表身份证：法定代表人参加投标的，须提供法定代表人身份证明；法定代表人授权他人参加投标的，须提供法定代表人授权委托书。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崔震宇、肖君玲、第五鹏飞、贾天佼、杜静、刘洋、张海飞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19119906751、15637780510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银行账号：1299054558101012600016029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待合同执行完毕、验收合格后凭验收单和缴款收据，合同履约保证金予以无息退还。如遇下列情况之一者，合同履约保证金不予退还，作为对采购人的赔偿，且采购人有权解除本合同：（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成交金额差额定率累进法计算。服务费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国信国际工程咨询集团股份有限公司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联系人：崔震宇、肖君玲</w:t>
      </w:r>
    </w:p>
    <w:p>
      <w:pPr>
        <w:pStyle w:val="null3"/>
      </w:pPr>
      <w:r>
        <w:rPr>
          <w:rFonts w:ascii="仿宋_GB2312" w:hAnsi="仿宋_GB2312" w:cs="仿宋_GB2312" w:eastAsia="仿宋_GB2312"/>
        </w:rPr>
        <w:t>联系电话：19119906751</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是西安石油大学石油与天然气工程学科创新平台重大设备更新项目的重要部分，旨在建设一套面向油气储运过程的多相流动测试与智能控制系统，突破传统点测量方法的局限，实现管道截面全域流场的非介入式精细测试，为多相流动机理研究提供高保真实验数据；构建高精度、快响应的流量调控与远程监控能力，支撑多相混输管路在变工况条件下的流动保障与控制策略研究。为核心课程提供高水平的实验教学平台，提升学生的工程实践能力与创新思维。项目的实施将为深化多相流理论认知、推动管道输送技术升级以及培养高素质油气储运人才提供有力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远程监控和控制系统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标的名称：远程监控和控制系统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3"/>
              <w:gridCol w:w="220"/>
              <w:gridCol w:w="2030"/>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参数性质</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技术参数与性能指标</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系统应包含</w:t>
                  </w:r>
                  <w:r>
                    <w:rPr>
                      <w:rFonts w:ascii="仿宋_GB2312" w:hAnsi="仿宋_GB2312" w:cs="仿宋_GB2312" w:eastAsia="仿宋_GB2312"/>
                      <w:sz w:val="20"/>
                    </w:rPr>
                    <w:t>流场</w:t>
                  </w:r>
                  <w:r>
                    <w:rPr>
                      <w:rFonts w:ascii="仿宋_GB2312" w:hAnsi="仿宋_GB2312" w:cs="仿宋_GB2312" w:eastAsia="仿宋_GB2312"/>
                      <w:sz w:val="20"/>
                    </w:rPr>
                    <w:t>监测</w:t>
                  </w:r>
                  <w:r>
                    <w:rPr>
                      <w:rFonts w:ascii="仿宋_GB2312" w:hAnsi="仿宋_GB2312" w:cs="仿宋_GB2312" w:eastAsia="仿宋_GB2312"/>
                      <w:sz w:val="20"/>
                    </w:rPr>
                    <w:t>系统</w:t>
                  </w:r>
                  <w:r>
                    <w:rPr>
                      <w:rFonts w:ascii="仿宋_GB2312" w:hAnsi="仿宋_GB2312" w:cs="仿宋_GB2312" w:eastAsia="仿宋_GB2312"/>
                      <w:sz w:val="20"/>
                    </w:rPr>
                    <w:t>、</w:t>
                  </w:r>
                  <w:r>
                    <w:rPr>
                      <w:rFonts w:ascii="仿宋_GB2312" w:hAnsi="仿宋_GB2312" w:cs="仿宋_GB2312" w:eastAsia="仿宋_GB2312"/>
                      <w:sz w:val="20"/>
                    </w:rPr>
                    <w:t>实验控制系统</w:t>
                  </w:r>
                  <w:r>
                    <w:rPr>
                      <w:rFonts w:ascii="仿宋_GB2312" w:hAnsi="仿宋_GB2312" w:cs="仿宋_GB2312" w:eastAsia="仿宋_GB2312"/>
                      <w:sz w:val="20"/>
                    </w:rPr>
                    <w:t>、</w:t>
                  </w:r>
                  <w:r>
                    <w:rPr>
                      <w:rFonts w:ascii="仿宋_GB2312" w:hAnsi="仿宋_GB2312" w:cs="仿宋_GB2312" w:eastAsia="仿宋_GB2312"/>
                      <w:sz w:val="20"/>
                    </w:rPr>
                    <w:t>数据处理分析系统</w:t>
                  </w:r>
                  <w:r>
                    <w:rPr>
                      <w:rFonts w:ascii="仿宋_GB2312" w:hAnsi="仿宋_GB2312" w:cs="仿宋_GB2312" w:eastAsia="仿宋_GB2312"/>
                      <w:sz w:val="20"/>
                    </w:rPr>
                    <w:t>，</w:t>
                  </w:r>
                  <w:r>
                    <w:rPr>
                      <w:rFonts w:ascii="仿宋_GB2312" w:hAnsi="仿宋_GB2312" w:cs="仿宋_GB2312" w:eastAsia="仿宋_GB2312"/>
                      <w:sz w:val="20"/>
                    </w:rPr>
                    <w:t>以成套形式提供（机箱机柜等）。</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流场</w:t>
                  </w:r>
                  <w:r>
                    <w:rPr>
                      <w:rFonts w:ascii="仿宋_GB2312" w:hAnsi="仿宋_GB2312" w:cs="仿宋_GB2312" w:eastAsia="仿宋_GB2312"/>
                      <w:sz w:val="20"/>
                    </w:rPr>
                    <w:t>监测</w:t>
                  </w:r>
                  <w:r>
                    <w:rPr>
                      <w:rFonts w:ascii="仿宋_GB2312" w:hAnsi="仿宋_GB2312" w:cs="仿宋_GB2312" w:eastAsia="仿宋_GB2312"/>
                      <w:sz w:val="20"/>
                    </w:rPr>
                    <w:t>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包含成像模块，激光光源模块。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成像分辨率</w:t>
                  </w:r>
                  <w:r>
                    <w:rPr>
                      <w:rFonts w:ascii="仿宋_GB2312" w:hAnsi="仿宋_GB2312" w:cs="仿宋_GB2312" w:eastAsia="仿宋_GB2312"/>
                      <w:sz w:val="20"/>
                    </w:rPr>
                    <w:t>≥1280*1024，采样率≥5000fps，高清格式记录时间≥10s，内置存储≥64G。</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w:t>
                  </w:r>
                  <w:r>
                    <w:rPr>
                      <w:rFonts w:ascii="仿宋_GB2312" w:hAnsi="仿宋_GB2312" w:cs="仿宋_GB2312" w:eastAsia="仿宋_GB2312"/>
                      <w:sz w:val="20"/>
                    </w:rPr>
                    <w:t>2D2C、2D3C测量功能，支持微流体与高速流体测量，测速范围0-10m/s。</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连续激光光源波长</w:t>
                  </w:r>
                  <w:r>
                    <w:rPr>
                      <w:rFonts w:ascii="仿宋_GB2312" w:hAnsi="仿宋_GB2312" w:cs="仿宋_GB2312" w:eastAsia="仿宋_GB2312"/>
                      <w:sz w:val="20"/>
                    </w:rPr>
                    <w:t>532nm±5nm；功率≥10W，功率波动≤1%；片光厚度≤1mm；TTL调制频率≥100KHz；TTL调制最小脉冲宽度≥5us。</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具备图像增强</w:t>
                  </w:r>
                  <w:r>
                    <w:rPr>
                      <w:rFonts w:ascii="仿宋_GB2312" w:hAnsi="仿宋_GB2312" w:cs="仿宋_GB2312" w:eastAsia="仿宋_GB2312"/>
                      <w:sz w:val="20"/>
                    </w:rPr>
                    <w:t>/增益控制功能，可调节感光强度≥</w:t>
                  </w:r>
                  <w:r>
                    <w:rPr>
                      <w:rFonts w:ascii="仿宋_GB2312" w:hAnsi="仿宋_GB2312" w:cs="仿宋_GB2312" w:eastAsia="仿宋_GB2312"/>
                      <w:sz w:val="20"/>
                    </w:rPr>
                    <w:t>8倍</w:t>
                  </w:r>
                  <w:r>
                    <w:rPr>
                      <w:rFonts w:ascii="仿宋_GB2312" w:hAnsi="仿宋_GB2312" w:cs="仿宋_GB2312" w:eastAsia="仿宋_GB2312"/>
                      <w:sz w:val="20"/>
                    </w:rPr>
                    <w:t>。</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数据接口：万兆以太网，传输速率</w:t>
                  </w:r>
                  <w:r>
                    <w:rPr>
                      <w:rFonts w:ascii="仿宋_GB2312" w:hAnsi="仿宋_GB2312" w:cs="仿宋_GB2312" w:eastAsia="仿宋_GB2312"/>
                      <w:sz w:val="20"/>
                    </w:rPr>
                    <w:t>≥2.5Gbps。</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7</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配备足够质保期内正常使用的云台、三角架、光学标定、量勺、摇瓶配件</w:t>
                  </w:r>
                  <w:r>
                    <w:rPr>
                      <w:rFonts w:ascii="仿宋_GB2312" w:hAnsi="仿宋_GB2312" w:cs="仿宋_GB2312" w:eastAsia="仿宋_GB2312"/>
                      <w:sz w:val="20"/>
                    </w:rPr>
                    <w:t>1套及</w:t>
                  </w:r>
                  <w:r>
                    <w:rPr>
                      <w:rFonts w:ascii="仿宋_GB2312" w:hAnsi="仿宋_GB2312" w:cs="仿宋_GB2312" w:eastAsia="仿宋_GB2312"/>
                      <w:sz w:val="20"/>
                    </w:rPr>
                    <w:t>耗材。</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实验控制系统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具备对输入的温度、压力、流量等数值输出泵频、电磁阀、电动阀的控制信号。</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输入适应高压工况（</w:t>
                  </w:r>
                  <w:r>
                    <w:rPr>
                      <w:rFonts w:ascii="仿宋_GB2312" w:hAnsi="仿宋_GB2312" w:cs="仿宋_GB2312" w:eastAsia="仿宋_GB2312"/>
                      <w:sz w:val="20"/>
                    </w:rPr>
                    <w:t>0-10MPa），采样频率≥1kHz，数据延迟≤1ms。</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支持模拟量输入</w:t>
                  </w:r>
                  <w:r>
                    <w:rPr>
                      <w:rFonts w:ascii="仿宋_GB2312" w:hAnsi="仿宋_GB2312" w:cs="仿宋_GB2312" w:eastAsia="仿宋_GB2312"/>
                      <w:sz w:val="20"/>
                    </w:rPr>
                    <w:t>/输出，通过IO总线向右扩展分布式IO。</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≥12路DI、≥16路DO控制节点，支持Modbus TCP、Modbus RTU协议支持实时数据、历史数据、报警事件等。支持RS-485、RJ45、Type-C 接口。</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可输入标准电压，电流，电阻信号，</w:t>
                  </w:r>
                  <w:r>
                    <w:rPr>
                      <w:rFonts w:ascii="仿宋_GB2312" w:hAnsi="仿宋_GB2312" w:cs="仿宋_GB2312" w:eastAsia="仿宋_GB2312"/>
                      <w:sz w:val="20"/>
                    </w:rPr>
                    <w:t>输入模块</w:t>
                  </w:r>
                  <w:r>
                    <w:rPr>
                      <w:rFonts w:ascii="仿宋_GB2312" w:hAnsi="仿宋_GB2312" w:cs="仿宋_GB2312" w:eastAsia="仿宋_GB2312"/>
                      <w:sz w:val="20"/>
                    </w:rPr>
                    <w:t>AI/AO</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≤±0.2% FS；分辨率≥16位；可输出标准4–20mA信号。</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支持工艺流程画面绘制；具有数据存储功能</w:t>
                  </w:r>
                  <w:r>
                    <w:rPr>
                      <w:rFonts w:ascii="仿宋_GB2312" w:hAnsi="仿宋_GB2312" w:cs="仿宋_GB2312" w:eastAsia="仿宋_GB2312"/>
                      <w:sz w:val="20"/>
                    </w:rPr>
                    <w:t>（</w:t>
                  </w:r>
                  <w:r>
                    <w:rPr>
                      <w:rFonts w:ascii="仿宋_GB2312" w:hAnsi="仿宋_GB2312" w:cs="仿宋_GB2312" w:eastAsia="仿宋_GB2312"/>
                      <w:sz w:val="20"/>
                    </w:rPr>
                    <w:t>历史数据存储时间</w:t>
                  </w:r>
                  <w:r>
                    <w:rPr>
                      <w:rFonts w:ascii="仿宋_GB2312" w:hAnsi="仿宋_GB2312" w:cs="仿宋_GB2312" w:eastAsia="仿宋_GB2312"/>
                      <w:sz w:val="20"/>
                    </w:rPr>
                    <w:t>≥</w:t>
                  </w:r>
                  <w:r>
                    <w:rPr>
                      <w:rFonts w:ascii="仿宋_GB2312" w:hAnsi="仿宋_GB2312" w:cs="仿宋_GB2312" w:eastAsia="仿宋_GB2312"/>
                      <w:sz w:val="20"/>
                    </w:rPr>
                    <w:t>48h</w:t>
                  </w:r>
                  <w:r>
                    <w:rPr>
                      <w:rFonts w:ascii="仿宋_GB2312" w:hAnsi="仿宋_GB2312" w:cs="仿宋_GB2312" w:eastAsia="仿宋_GB2312"/>
                      <w:sz w:val="20"/>
                    </w:rPr>
                    <w:t>）</w:t>
                  </w:r>
                  <w:r>
                    <w:rPr>
                      <w:rFonts w:ascii="仿宋_GB2312" w:hAnsi="仿宋_GB2312" w:cs="仿宋_GB2312" w:eastAsia="仿宋_GB2312"/>
                      <w:sz w:val="20"/>
                    </w:rPr>
                    <w:t>，可查看历史数据、历史报警、历史曲线等功能。</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数据处理分析系统</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.1</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专用分析、处理、显示终端（</w:t>
                  </w:r>
                  <w:r>
                    <w:rPr>
                      <w:rFonts w:ascii="仿宋_GB2312" w:hAnsi="仿宋_GB2312" w:cs="仿宋_GB2312" w:eastAsia="仿宋_GB2312"/>
                      <w:sz w:val="20"/>
                    </w:rPr>
                    <w:t>计算能力</w:t>
                  </w:r>
                  <w:r>
                    <w:rPr>
                      <w:rFonts w:ascii="仿宋_GB2312" w:hAnsi="仿宋_GB2312" w:cs="仿宋_GB2312" w:eastAsia="仿宋_GB2312"/>
                      <w:sz w:val="20"/>
                    </w:rPr>
                    <w:t>FP32峰值</w:t>
                  </w:r>
                  <w:r>
                    <w:rPr>
                      <w:rFonts w:ascii="仿宋_GB2312" w:hAnsi="仿宋_GB2312" w:cs="仿宋_GB2312" w:eastAsia="仿宋_GB2312"/>
                      <w:sz w:val="20"/>
                    </w:rPr>
                    <w:t>≥</w:t>
                  </w:r>
                  <w:r>
                    <w:rPr>
                      <w:rFonts w:ascii="仿宋_GB2312" w:hAnsi="仿宋_GB2312" w:cs="仿宋_GB2312" w:eastAsia="仿宋_GB2312"/>
                      <w:sz w:val="20"/>
                    </w:rPr>
                    <w:t>15TFlops,计算能力FP64峰值≥2Tflops，内存</w:t>
                  </w:r>
                  <w:r>
                    <w:rPr>
                      <w:rFonts w:ascii="仿宋_GB2312" w:hAnsi="仿宋_GB2312" w:cs="仿宋_GB2312" w:eastAsia="仿宋_GB2312"/>
                      <w:sz w:val="20"/>
                    </w:rPr>
                    <w:t>≥</w:t>
                  </w:r>
                  <w:r>
                    <w:rPr>
                      <w:rFonts w:ascii="仿宋_GB2312" w:hAnsi="仿宋_GB2312" w:cs="仿宋_GB2312" w:eastAsia="仿宋_GB2312"/>
                      <w:sz w:val="20"/>
                    </w:rPr>
                    <w:t>64G</w:t>
                  </w:r>
                  <w:r>
                    <w:rPr>
                      <w:rFonts w:ascii="仿宋_GB2312" w:hAnsi="仿宋_GB2312" w:cs="仿宋_GB2312" w:eastAsia="仿宋_GB2312"/>
                      <w:sz w:val="20"/>
                    </w:rPr>
                    <w:t>，</w:t>
                  </w:r>
                  <w:r>
                    <w:rPr>
                      <w:rFonts w:ascii="仿宋_GB2312" w:hAnsi="仿宋_GB2312" w:cs="仿宋_GB2312" w:eastAsia="仿宋_GB2312"/>
                      <w:sz w:val="20"/>
                    </w:rPr>
                    <w:t>数据储存能力</w:t>
                  </w:r>
                  <w:r>
                    <w:rPr>
                      <w:rFonts w:ascii="仿宋_GB2312" w:hAnsi="仿宋_GB2312" w:cs="仿宋_GB2312" w:eastAsia="仿宋_GB2312"/>
                      <w:sz w:val="20"/>
                    </w:rPr>
                    <w:t>≥</w:t>
                  </w:r>
                  <w:r>
                    <w:rPr>
                      <w:rFonts w:ascii="仿宋_GB2312" w:hAnsi="仿宋_GB2312" w:cs="仿宋_GB2312" w:eastAsia="仿宋_GB2312"/>
                      <w:sz w:val="20"/>
                    </w:rPr>
                    <w:t>8T</w:t>
                  </w:r>
                  <w:r>
                    <w:rPr>
                      <w:rFonts w:ascii="仿宋_GB2312" w:hAnsi="仿宋_GB2312" w:cs="仿宋_GB2312" w:eastAsia="仿宋_GB2312"/>
                      <w:sz w:val="20"/>
                    </w:rPr>
                    <w:t>）。</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.2</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4重迭代，具备窗口变形功能，集成多目录大批量数据自动处理功能。</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.3</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具备多核</w:t>
                  </w:r>
                  <w:r>
                    <w:rPr>
                      <w:rFonts w:ascii="仿宋_GB2312" w:hAnsi="仿宋_GB2312" w:cs="仿宋_GB2312" w:eastAsia="仿宋_GB2312"/>
                      <w:sz w:val="20"/>
                    </w:rPr>
                    <w:t>GPU并行计算技术，支持导入</w:t>
                  </w:r>
                  <w:r>
                    <w:rPr>
                      <w:rFonts w:ascii="仿宋_GB2312" w:hAnsi="仿宋_GB2312" w:cs="仿宋_GB2312" w:eastAsia="仿宋_GB2312"/>
                      <w:sz w:val="20"/>
                    </w:rPr>
                    <w:t>≥</w:t>
                  </w:r>
                  <w:r>
                    <w:rPr>
                      <w:rFonts w:ascii="仿宋_GB2312" w:hAnsi="仿宋_GB2312" w:cs="仿宋_GB2312" w:eastAsia="仿宋_GB2312"/>
                      <w:sz w:val="20"/>
                    </w:rPr>
                    <w:t>2000万像素图像在判读区</w:t>
                  </w:r>
                  <w:r>
                    <w:rPr>
                      <w:rFonts w:ascii="仿宋_GB2312" w:hAnsi="仿宋_GB2312" w:cs="仿宋_GB2312" w:eastAsia="仿宋_GB2312"/>
                      <w:sz w:val="20"/>
                    </w:rPr>
                    <w:t>≥</w:t>
                  </w:r>
                  <w:r>
                    <w:rPr>
                      <w:rFonts w:ascii="仿宋_GB2312" w:hAnsi="仿宋_GB2312" w:cs="仿宋_GB2312" w:eastAsia="仿宋_GB2312"/>
                      <w:sz w:val="20"/>
                    </w:rPr>
                    <w:t>64*64像素、步长</w:t>
                  </w:r>
                  <w:r>
                    <w:rPr>
                      <w:rFonts w:ascii="仿宋_GB2312" w:hAnsi="仿宋_GB2312" w:cs="仿宋_GB2312" w:eastAsia="仿宋_GB2312"/>
                      <w:sz w:val="20"/>
                    </w:rPr>
                    <w:t>≥</w:t>
                  </w:r>
                  <w:r>
                    <w:rPr>
                      <w:rFonts w:ascii="仿宋_GB2312" w:hAnsi="仿宋_GB2312" w:cs="仿宋_GB2312" w:eastAsia="仿宋_GB2312"/>
                      <w:sz w:val="20"/>
                    </w:rPr>
                    <w:t>32*32像素条件下，计算时间≤1秒。</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.4</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可分析显示图像中颗粒的等效圆直径大小，空间位置坐标，颗粒截面面积、速度等参数。搜索分析显示图像中颗粒的粒径分布，包括颗粒的等效圆直径大小，空间位置坐标，颗粒截面面积等参数。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具备连续相流体与离散相颗粒同步测量的功能，具备根据不同颗粒粒径进行分相流场速度计算功能，具备分相背景灰度补偿填充功能。</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.6</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可实现小尺度的未确定的流动分析。具备单像素计算功能，计算稠密速度场。图像放大率、单个速度矢量空间分辨率。</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.7</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具备虚拟现实流场展示功能：通过</w:t>
                  </w:r>
                  <w:r>
                    <w:rPr>
                      <w:rFonts w:ascii="仿宋_GB2312" w:hAnsi="仿宋_GB2312" w:cs="仿宋_GB2312" w:eastAsia="仿宋_GB2312"/>
                      <w:sz w:val="20"/>
                    </w:rPr>
                    <w:t>VR终端对流场测量得到的流场结果和试验模型进行虚拟现实交互显示。</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.8</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可实时无线显示实验中拍摄的粒子图像，辅助手动镜头对焦。</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供应商拟投产品必须满足所有技术参数要求，提供相关证明材料。</w:t>
                  </w:r>
                </w:p>
                <w:p>
                  <w:pPr>
                    <w:pStyle w:val="null3"/>
                    <w:jc w:val="left"/>
                  </w:pPr>
                  <w:r>
                    <w:rPr>
                      <w:rFonts w:ascii="仿宋_GB2312" w:hAnsi="仿宋_GB2312" w:cs="仿宋_GB2312" w:eastAsia="仿宋_GB2312"/>
                      <w:sz w:val="20"/>
                    </w:rPr>
                    <w:t>其中，标注</w:t>
                  </w:r>
                  <w:r>
                    <w:rPr>
                      <w:rFonts w:ascii="仿宋_GB2312" w:hAnsi="仿宋_GB2312" w:cs="仿宋_GB2312" w:eastAsia="仿宋_GB2312"/>
                      <w:sz w:val="20"/>
                    </w:rPr>
                    <w:t>“★”的参数提供的证明材料包括但不限于产品规格表、产品宣传彩页、技术白皮书、制造商官方网站发布的产品信息、说明书或检测机构出具的检测报告等，至少提供以上一项证明材料予以证明其技术参数的响应性；</w:t>
                  </w:r>
                </w:p>
                <w:p>
                  <w:pPr>
                    <w:pStyle w:val="null3"/>
                    <w:jc w:val="left"/>
                  </w:pPr>
                  <w:r>
                    <w:rPr>
                      <w:rFonts w:ascii="仿宋_GB2312" w:hAnsi="仿宋_GB2312" w:cs="仿宋_GB2312" w:eastAsia="仿宋_GB2312"/>
                      <w:sz w:val="20"/>
                    </w:rPr>
                    <w:t>未标注</w:t>
                  </w:r>
                  <w:r>
                    <w:rPr>
                      <w:rFonts w:ascii="仿宋_GB2312" w:hAnsi="仿宋_GB2312" w:cs="仿宋_GB2312" w:eastAsia="仿宋_GB2312"/>
                      <w:sz w:val="20"/>
                    </w:rPr>
                    <w:t>“★”的参数提供的证明材料包括但不限于技术方案、产品规格表、产品宣传彩页、技术白皮书、制造商官方网站发布的产品信息、技术偏离表、说明书或检测机构出具的检测报告等，至少提供以上一项证明材料予以证明其技术参数的响应性。</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推送内容，具体付款方式以下列内容为准：合同签订后，供应商开具预付款等额银行保函，采购人收到银行保函正本后10个工作日内支付预付款，最多支付至90万，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供应商自行选择，但包装必须符合国家标准或行业标准，满足航空、铁路或公路运输以及货物装卸要求，保证采购人收到的是无任何损伤的货物。否则，因此造成的损失由供应商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保修期：供应商提供1年的免费保修,保修期自仪器验收签字之日起计算。保修期间维修及零件更换费用由供应商负担。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交付货物不符合其投标承诺，存在偷工减料、以次充好情形的，采购人要求更换一次后仍不符合约定的，采购人有权解除采购合同，没收履约保证金，并将有关情况上报政府采购监管部门处理。其他内容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1、培训要求：在采购人所在地对采购人进行为期1周的培训。培训内容包括仪器的技术原理、操作、数据处理、基本维护等。验收后半年内组织采购人相关人员2人参加举办的相关应用培训班。 2、报价要求：响应报价是指到达使用地点、验收合格达到正常使用条件前的所有费用，包括但不限于以下费用：货物价值、安装调试费、运杂费（含保险）、仓储保管费、技术培训费、检测费、施工费、人工费等全部相关费用。 3、谈判保证金注意事项：（1）谈判保证金缴纳截止时间：同响应文件递交截止时间一致。（2）谈判保证金须从供应商户名支付，如从个人户名或非供应商户名支付，将被拒绝，视为自动放弃响应权利（该个人是供应商的情形除外）；以保函形式交纳谈判保证金的，供应商应在响应截止时间前将保函扫描成清晰的PDF文件，发送至邮箱gx86533155@163.com（邮件命名：项目编号）。保函必须由具有开具投标保函资格的单位开具；若供应商违约，开具保函单位承担连带责任。 4、成交供应商应在中标结果发布后2日内提供与电子化交易平台上传一致的纸质响应文件2份。 5、场地基础承载要求（如涉及）：供应商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成交供应商须免费提供地面加固、承重基座制作全套施工方案并完成施工，所有施工材料、人工、检测费用全部包含在响应总价内。 6、整机就位、调平与减震安装要求：设备进场就位后，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7、质保期内供应商提供免费搬迁和安装调试1次，本次搬迁和安装调试过程中所产生的一切费用由供应商承担；本次搬迁和安装调试过程中仪器出现的一切故障和损坏由供应商免费修复。 8、售后服务效率要求：7*24即时响应（包括电话响应）；电话响应无法解决时，24小时内到达现场。修复时间48小时内；如48小时内无法修复，应提供相应解决方案。 9、售后服务标准要求：技术服务：（1）设备安装、调试和验收。（2）供应商应在合同生效后的1个月内向采购人提供详细的安装要求并提供技术咨询。（3）仪器到达采购人所在地，在接到采购人通知后一周内进行安装调试，直至通过验收。（4）维修响应时间：供应商应在24小时内对采购人的服务要求作出响应，维修服务包括电话指导和现场维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企业提供会计师事务所出具的完整的2025年度审计报告（成立时间至投标截止时间不足一年的可提供成立后任意时段的资产负债表)，或投标截止时间前6个月内（2025年12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法定代表人负责人授权委托书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90万，剩余款项待验收合格后，并出具增值税专用发票，达到付款条件起10个工作日内，支付合同总金额的100.0%。</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投标保证金缴纳凭证或电子保函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不超过项目最高限价。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标注“★”的参数为实质性要求，须提供符合要求的证明材料，未提供或虽提供但不符合的按无效文件处理。</w:t>
            </w:r>
          </w:p>
        </w:tc>
        <w:tc>
          <w:tcPr>
            <w:tcW w:type="dxa" w:w="1661"/>
          </w:tcPr>
          <w:p>
            <w:pPr>
              <w:pStyle w:val="null3"/>
            </w:pPr>
            <w:r>
              <w:rPr>
                <w:rFonts w:ascii="仿宋_GB2312" w:hAnsi="仿宋_GB2312" w:cs="仿宋_GB2312" w:eastAsia="仿宋_GB2312"/>
              </w:rPr>
              <w:t>技术偏离表 本国产品说明 供货服务方案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其他未实质响应招标文件内容或违反法律法规的行为。</w:t>
            </w:r>
          </w:p>
        </w:tc>
        <w:tc>
          <w:tcPr>
            <w:tcW w:type="dxa" w:w="1661"/>
          </w:tcPr>
          <w:p>
            <w:pPr>
              <w:pStyle w:val="null3"/>
            </w:pPr>
            <w:r>
              <w:rPr>
                <w:rFonts w:ascii="仿宋_GB2312" w:hAnsi="仿宋_GB2312" w:cs="仿宋_GB2312" w:eastAsia="仿宋_GB2312"/>
              </w:rPr>
              <w:t>法定代表人负责人授权委托书 技术偏离表 响应承诺书 本国产品说明 供货服务方案 中小企业声明函 供应商拒绝政府采购领域商业贿赂承诺书 其他资格证明材料 报价表 中国境内生产的组件成本核算基本规则 响应文件封面 残疾人福利性单位声明函 标的清单 关于符合本国产品标准的声明函 商务要求应答表 响应函 监狱企业的证明文件 投标保证金缴纳凭证或电子保函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按照最后报价由低到高的顺序推荐，最后报价相同的，按照技术指标优劣顺序推荐，最后报价且技术指标均相同的，成交候选供应商并列。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详见附件：法定代表人负责人授权委托书</w:t>
      </w:r>
    </w:p>
    <w:p>
      <w:pPr>
        <w:pStyle w:val="null3"/>
        <w:ind w:firstLine="960"/>
      </w:pPr>
      <w:r>
        <w:rPr>
          <w:rFonts w:ascii="仿宋_GB2312" w:hAnsi="仿宋_GB2312" w:cs="仿宋_GB2312" w:eastAsia="仿宋_GB2312"/>
        </w:rPr>
        <w:t>详见附件：供货服务方案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详见附件：其他资格证明材料</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详见附件：投标保证金缴纳凭证或电子保函</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