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3417B">
      <w:pPr>
        <w:ind w:firstLine="480" w:firstLineChars="15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××购置合同</w:t>
      </w:r>
    </w:p>
    <w:p w14:paraId="600A64CB">
      <w:pPr>
        <w:ind w:firstLine="360" w:firstLineChars="150"/>
        <w:jc w:val="center"/>
        <w:rPr>
          <w:rFonts w:hint="eastAsia" w:ascii="仿宋_GB2312" w:hAnsi="仿宋_GB2312" w:eastAsia="仿宋_GB2312" w:cs="仿宋_GB2312"/>
          <w:sz w:val="24"/>
        </w:rPr>
      </w:pPr>
      <w:r>
        <w:rPr>
          <w:rFonts w:hint="eastAsia" w:ascii="仿宋_GB2312" w:hAnsi="仿宋_GB2312" w:eastAsia="仿宋_GB2312" w:cs="仿宋_GB2312"/>
          <w:sz w:val="24"/>
        </w:rPr>
        <w:t>（参考模版）</w:t>
      </w:r>
    </w:p>
    <w:p w14:paraId="58C87966">
      <w:pPr>
        <w:keepNext w:val="0"/>
        <w:keepLines w:val="0"/>
        <w:pageBreakBefore w:val="0"/>
        <w:widowControl w:val="0"/>
        <w:kinsoku/>
        <w:wordWrap/>
        <w:overflowPunct/>
        <w:topLinePunct w:val="0"/>
        <w:autoSpaceDE/>
        <w:autoSpaceDN/>
        <w:bidi w:val="0"/>
        <w:adjustRightInd/>
        <w:snapToGri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根据《中华人民共和国政府采购法》、《中华人民共和国民法典》及有关法律规定，遵循平等、自愿、公平和诚实信用的原则，西安石油大学（甲方）与××××公司（乙方）就××××项目（招标编号：）经双方协商达成如下合同条款：</w:t>
      </w:r>
    </w:p>
    <w:p w14:paraId="6EA4392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一、合同内容</w:t>
      </w:r>
    </w:p>
    <w:p w14:paraId="030B6AE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1、购置清单</w:t>
      </w:r>
    </w:p>
    <w:tbl>
      <w:tblPr>
        <w:tblStyle w:val="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59317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47139CF">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货物名称</w:t>
            </w:r>
          </w:p>
        </w:tc>
        <w:tc>
          <w:tcPr>
            <w:tcW w:w="1545" w:type="dxa"/>
            <w:tcBorders>
              <w:top w:val="single" w:color="auto" w:sz="4" w:space="0"/>
              <w:left w:val="nil"/>
              <w:bottom w:val="single" w:color="auto" w:sz="4" w:space="0"/>
              <w:right w:val="single" w:color="auto" w:sz="4" w:space="0"/>
            </w:tcBorders>
            <w:vAlign w:val="center"/>
          </w:tcPr>
          <w:p w14:paraId="0E0FBCA1">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型号与规格</w:t>
            </w:r>
          </w:p>
        </w:tc>
        <w:tc>
          <w:tcPr>
            <w:tcW w:w="1440" w:type="dxa"/>
            <w:tcBorders>
              <w:top w:val="single" w:color="auto" w:sz="4" w:space="0"/>
              <w:left w:val="nil"/>
              <w:bottom w:val="single" w:color="auto" w:sz="4" w:space="0"/>
              <w:right w:val="single" w:color="auto" w:sz="4" w:space="0"/>
            </w:tcBorders>
            <w:vAlign w:val="center"/>
          </w:tcPr>
          <w:p w14:paraId="202DEE55">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生产商、产地</w:t>
            </w:r>
          </w:p>
        </w:tc>
        <w:tc>
          <w:tcPr>
            <w:tcW w:w="810" w:type="dxa"/>
            <w:tcBorders>
              <w:top w:val="single" w:color="auto" w:sz="4" w:space="0"/>
              <w:left w:val="nil"/>
              <w:bottom w:val="single" w:color="auto" w:sz="4" w:space="0"/>
              <w:right w:val="single" w:color="auto" w:sz="4" w:space="0"/>
            </w:tcBorders>
            <w:vAlign w:val="center"/>
          </w:tcPr>
          <w:p w14:paraId="4E06FB40">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数量</w:t>
            </w:r>
          </w:p>
        </w:tc>
        <w:tc>
          <w:tcPr>
            <w:tcW w:w="700" w:type="dxa"/>
            <w:tcBorders>
              <w:top w:val="single" w:color="auto" w:sz="4" w:space="0"/>
              <w:left w:val="nil"/>
              <w:bottom w:val="single" w:color="auto" w:sz="4" w:space="0"/>
              <w:right w:val="single" w:color="auto" w:sz="4" w:space="0"/>
            </w:tcBorders>
            <w:vAlign w:val="center"/>
          </w:tcPr>
          <w:p w14:paraId="309089B4">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单位</w:t>
            </w:r>
          </w:p>
        </w:tc>
        <w:tc>
          <w:tcPr>
            <w:tcW w:w="1100" w:type="dxa"/>
            <w:tcBorders>
              <w:top w:val="single" w:color="auto" w:sz="4" w:space="0"/>
              <w:left w:val="nil"/>
              <w:bottom w:val="single" w:color="auto" w:sz="4" w:space="0"/>
              <w:right w:val="single" w:color="auto" w:sz="4" w:space="0"/>
            </w:tcBorders>
            <w:vAlign w:val="center"/>
          </w:tcPr>
          <w:p w14:paraId="1D6E19BF">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单价（元）</w:t>
            </w:r>
          </w:p>
        </w:tc>
        <w:tc>
          <w:tcPr>
            <w:tcW w:w="1100" w:type="dxa"/>
            <w:tcBorders>
              <w:top w:val="single" w:color="auto" w:sz="4" w:space="0"/>
              <w:left w:val="nil"/>
              <w:bottom w:val="single" w:color="auto" w:sz="4" w:space="0"/>
              <w:right w:val="single" w:color="auto" w:sz="4" w:space="0"/>
            </w:tcBorders>
            <w:vAlign w:val="center"/>
          </w:tcPr>
          <w:p w14:paraId="635E124F">
            <w:pPr>
              <w:spacing w:line="360"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总价（元）</w:t>
            </w:r>
          </w:p>
        </w:tc>
      </w:tr>
      <w:tr w14:paraId="1FE963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2E75EF4D">
            <w:pPr>
              <w:spacing w:line="360" w:lineRule="auto"/>
              <w:rPr>
                <w:rFonts w:hint="eastAsia" w:ascii="仿宋_GB2312" w:hAnsi="仿宋_GB2312" w:eastAsia="仿宋_GB2312" w:cs="仿宋_GB2312"/>
                <w:sz w:val="20"/>
                <w:szCs w:val="20"/>
              </w:rPr>
            </w:pPr>
          </w:p>
        </w:tc>
        <w:tc>
          <w:tcPr>
            <w:tcW w:w="1545" w:type="dxa"/>
            <w:tcBorders>
              <w:top w:val="single" w:color="auto" w:sz="4" w:space="0"/>
              <w:left w:val="nil"/>
              <w:bottom w:val="single" w:color="auto" w:sz="4" w:space="0"/>
              <w:right w:val="single" w:color="auto" w:sz="4" w:space="0"/>
            </w:tcBorders>
          </w:tcPr>
          <w:p w14:paraId="141A03B7">
            <w:pPr>
              <w:spacing w:line="360" w:lineRule="auto"/>
              <w:rPr>
                <w:rFonts w:hint="eastAsia" w:ascii="仿宋_GB2312" w:hAnsi="仿宋_GB2312" w:eastAsia="仿宋_GB2312" w:cs="仿宋_GB2312"/>
                <w:sz w:val="20"/>
                <w:szCs w:val="20"/>
              </w:rPr>
            </w:pPr>
          </w:p>
        </w:tc>
        <w:tc>
          <w:tcPr>
            <w:tcW w:w="1440" w:type="dxa"/>
            <w:tcBorders>
              <w:top w:val="single" w:color="auto" w:sz="4" w:space="0"/>
              <w:left w:val="nil"/>
              <w:bottom w:val="single" w:color="auto" w:sz="4" w:space="0"/>
              <w:right w:val="single" w:color="auto" w:sz="4" w:space="0"/>
            </w:tcBorders>
          </w:tcPr>
          <w:p w14:paraId="4833A429">
            <w:pPr>
              <w:spacing w:line="360" w:lineRule="auto"/>
              <w:rPr>
                <w:rFonts w:hint="eastAsia" w:ascii="仿宋_GB2312" w:hAnsi="仿宋_GB2312" w:eastAsia="仿宋_GB2312" w:cs="仿宋_GB2312"/>
                <w:sz w:val="20"/>
                <w:szCs w:val="20"/>
              </w:rPr>
            </w:pPr>
          </w:p>
        </w:tc>
        <w:tc>
          <w:tcPr>
            <w:tcW w:w="810" w:type="dxa"/>
            <w:tcBorders>
              <w:top w:val="single" w:color="auto" w:sz="4" w:space="0"/>
              <w:left w:val="nil"/>
              <w:bottom w:val="single" w:color="auto" w:sz="4" w:space="0"/>
              <w:right w:val="single" w:color="auto" w:sz="4" w:space="0"/>
            </w:tcBorders>
          </w:tcPr>
          <w:p w14:paraId="20C53EA9">
            <w:pPr>
              <w:spacing w:line="360" w:lineRule="auto"/>
              <w:rPr>
                <w:rFonts w:hint="eastAsia" w:ascii="仿宋_GB2312" w:hAnsi="仿宋_GB2312" w:eastAsia="仿宋_GB2312" w:cs="仿宋_GB2312"/>
                <w:sz w:val="20"/>
                <w:szCs w:val="20"/>
              </w:rPr>
            </w:pPr>
          </w:p>
        </w:tc>
        <w:tc>
          <w:tcPr>
            <w:tcW w:w="700" w:type="dxa"/>
            <w:tcBorders>
              <w:top w:val="single" w:color="auto" w:sz="4" w:space="0"/>
              <w:left w:val="nil"/>
              <w:bottom w:val="single" w:color="auto" w:sz="4" w:space="0"/>
              <w:right w:val="single" w:color="auto" w:sz="4" w:space="0"/>
            </w:tcBorders>
          </w:tcPr>
          <w:p w14:paraId="6A3B7848">
            <w:pPr>
              <w:spacing w:line="360" w:lineRule="auto"/>
              <w:rPr>
                <w:rFonts w:hint="eastAsia" w:ascii="仿宋_GB2312" w:hAnsi="仿宋_GB2312" w:eastAsia="仿宋_GB2312" w:cs="仿宋_GB2312"/>
                <w:sz w:val="20"/>
                <w:szCs w:val="20"/>
              </w:rPr>
            </w:pPr>
          </w:p>
        </w:tc>
        <w:tc>
          <w:tcPr>
            <w:tcW w:w="1100" w:type="dxa"/>
            <w:tcBorders>
              <w:top w:val="single" w:color="auto" w:sz="4" w:space="0"/>
              <w:left w:val="nil"/>
              <w:bottom w:val="single" w:color="auto" w:sz="4" w:space="0"/>
              <w:right w:val="single" w:color="auto" w:sz="4" w:space="0"/>
            </w:tcBorders>
          </w:tcPr>
          <w:p w14:paraId="5FDA49BD">
            <w:pPr>
              <w:spacing w:line="360" w:lineRule="auto"/>
              <w:rPr>
                <w:rFonts w:hint="eastAsia" w:ascii="仿宋_GB2312" w:hAnsi="仿宋_GB2312" w:eastAsia="仿宋_GB2312" w:cs="仿宋_GB2312"/>
                <w:sz w:val="20"/>
                <w:szCs w:val="20"/>
              </w:rPr>
            </w:pPr>
          </w:p>
        </w:tc>
        <w:tc>
          <w:tcPr>
            <w:tcW w:w="1100" w:type="dxa"/>
            <w:tcBorders>
              <w:top w:val="single" w:color="auto" w:sz="4" w:space="0"/>
              <w:left w:val="nil"/>
              <w:bottom w:val="single" w:color="auto" w:sz="4" w:space="0"/>
              <w:right w:val="single" w:color="auto" w:sz="4" w:space="0"/>
            </w:tcBorders>
          </w:tcPr>
          <w:p w14:paraId="059D99AC">
            <w:pPr>
              <w:spacing w:line="360" w:lineRule="auto"/>
              <w:rPr>
                <w:rFonts w:hint="eastAsia" w:ascii="仿宋_GB2312" w:hAnsi="仿宋_GB2312" w:eastAsia="仿宋_GB2312" w:cs="仿宋_GB2312"/>
                <w:sz w:val="20"/>
                <w:szCs w:val="20"/>
              </w:rPr>
            </w:pPr>
          </w:p>
        </w:tc>
      </w:tr>
      <w:tr w14:paraId="07ED7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F57D3D1">
            <w:pPr>
              <w:spacing w:line="360" w:lineRule="auto"/>
              <w:rPr>
                <w:rFonts w:hint="eastAsia" w:ascii="仿宋_GB2312" w:hAnsi="仿宋_GB2312" w:eastAsia="仿宋_GB2312" w:cs="仿宋_GB2312"/>
                <w:sz w:val="20"/>
                <w:szCs w:val="20"/>
              </w:rPr>
            </w:pPr>
          </w:p>
        </w:tc>
        <w:tc>
          <w:tcPr>
            <w:tcW w:w="1545" w:type="dxa"/>
            <w:tcBorders>
              <w:top w:val="single" w:color="auto" w:sz="4" w:space="0"/>
              <w:left w:val="nil"/>
              <w:bottom w:val="single" w:color="auto" w:sz="4" w:space="0"/>
              <w:right w:val="single" w:color="auto" w:sz="4" w:space="0"/>
            </w:tcBorders>
            <w:vAlign w:val="center"/>
          </w:tcPr>
          <w:p w14:paraId="073B1999">
            <w:pPr>
              <w:spacing w:line="360" w:lineRule="auto"/>
              <w:rPr>
                <w:rFonts w:hint="eastAsia" w:ascii="仿宋_GB2312" w:hAnsi="仿宋_GB2312" w:eastAsia="仿宋_GB2312" w:cs="仿宋_GB2312"/>
                <w:sz w:val="20"/>
                <w:szCs w:val="20"/>
              </w:rPr>
            </w:pPr>
          </w:p>
        </w:tc>
        <w:tc>
          <w:tcPr>
            <w:tcW w:w="1440" w:type="dxa"/>
            <w:tcBorders>
              <w:top w:val="single" w:color="auto" w:sz="4" w:space="0"/>
              <w:left w:val="nil"/>
              <w:bottom w:val="single" w:color="auto" w:sz="4" w:space="0"/>
              <w:right w:val="single" w:color="auto" w:sz="4" w:space="0"/>
            </w:tcBorders>
            <w:vAlign w:val="center"/>
          </w:tcPr>
          <w:p w14:paraId="23F347F5">
            <w:pPr>
              <w:spacing w:line="360" w:lineRule="auto"/>
              <w:rPr>
                <w:rFonts w:hint="eastAsia" w:ascii="仿宋_GB2312" w:hAnsi="仿宋_GB2312" w:eastAsia="仿宋_GB2312" w:cs="仿宋_GB2312"/>
                <w:sz w:val="20"/>
                <w:szCs w:val="20"/>
              </w:rPr>
            </w:pPr>
          </w:p>
        </w:tc>
        <w:tc>
          <w:tcPr>
            <w:tcW w:w="810" w:type="dxa"/>
            <w:tcBorders>
              <w:top w:val="single" w:color="auto" w:sz="4" w:space="0"/>
              <w:left w:val="nil"/>
              <w:bottom w:val="single" w:color="auto" w:sz="4" w:space="0"/>
              <w:right w:val="single" w:color="auto" w:sz="4" w:space="0"/>
            </w:tcBorders>
            <w:vAlign w:val="center"/>
          </w:tcPr>
          <w:p w14:paraId="7DB173F4">
            <w:pPr>
              <w:spacing w:line="360" w:lineRule="auto"/>
              <w:rPr>
                <w:rFonts w:hint="eastAsia" w:ascii="仿宋_GB2312" w:hAnsi="仿宋_GB2312" w:eastAsia="仿宋_GB2312" w:cs="仿宋_GB2312"/>
                <w:sz w:val="20"/>
                <w:szCs w:val="20"/>
              </w:rPr>
            </w:pPr>
          </w:p>
        </w:tc>
        <w:tc>
          <w:tcPr>
            <w:tcW w:w="700" w:type="dxa"/>
            <w:tcBorders>
              <w:top w:val="single" w:color="auto" w:sz="4" w:space="0"/>
              <w:left w:val="nil"/>
              <w:bottom w:val="single" w:color="auto" w:sz="4" w:space="0"/>
              <w:right w:val="single" w:color="auto" w:sz="4" w:space="0"/>
            </w:tcBorders>
            <w:vAlign w:val="center"/>
          </w:tcPr>
          <w:p w14:paraId="2D5DE596">
            <w:pPr>
              <w:spacing w:line="360" w:lineRule="auto"/>
              <w:rPr>
                <w:rFonts w:hint="eastAsia" w:ascii="仿宋_GB2312" w:hAnsi="仿宋_GB2312" w:eastAsia="仿宋_GB2312" w:cs="仿宋_GB2312"/>
                <w:sz w:val="20"/>
                <w:szCs w:val="20"/>
              </w:rPr>
            </w:pPr>
          </w:p>
        </w:tc>
        <w:tc>
          <w:tcPr>
            <w:tcW w:w="1100" w:type="dxa"/>
            <w:tcBorders>
              <w:top w:val="single" w:color="auto" w:sz="4" w:space="0"/>
              <w:left w:val="nil"/>
              <w:bottom w:val="single" w:color="auto" w:sz="4" w:space="0"/>
              <w:right w:val="single" w:color="auto" w:sz="4" w:space="0"/>
            </w:tcBorders>
            <w:vAlign w:val="center"/>
          </w:tcPr>
          <w:p w14:paraId="1BFD80BE">
            <w:pPr>
              <w:spacing w:line="360" w:lineRule="auto"/>
              <w:rPr>
                <w:rFonts w:hint="eastAsia" w:ascii="仿宋_GB2312" w:hAnsi="仿宋_GB2312" w:eastAsia="仿宋_GB2312" w:cs="仿宋_GB2312"/>
                <w:sz w:val="20"/>
                <w:szCs w:val="20"/>
              </w:rPr>
            </w:pPr>
          </w:p>
        </w:tc>
        <w:tc>
          <w:tcPr>
            <w:tcW w:w="1100" w:type="dxa"/>
            <w:tcBorders>
              <w:top w:val="single" w:color="auto" w:sz="4" w:space="0"/>
              <w:left w:val="nil"/>
              <w:bottom w:val="single" w:color="auto" w:sz="4" w:space="0"/>
              <w:right w:val="single" w:color="auto" w:sz="4" w:space="0"/>
            </w:tcBorders>
            <w:vAlign w:val="center"/>
          </w:tcPr>
          <w:p w14:paraId="0AE3DFDB">
            <w:pPr>
              <w:spacing w:line="360" w:lineRule="auto"/>
              <w:rPr>
                <w:rFonts w:hint="eastAsia" w:ascii="仿宋_GB2312" w:hAnsi="仿宋_GB2312" w:eastAsia="仿宋_GB2312" w:cs="仿宋_GB2312"/>
                <w:sz w:val="20"/>
                <w:szCs w:val="20"/>
              </w:rPr>
            </w:pPr>
          </w:p>
        </w:tc>
      </w:tr>
      <w:tr w14:paraId="5A0B4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00944E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合计金额（大写）：</w:t>
            </w:r>
          </w:p>
        </w:tc>
        <w:tc>
          <w:tcPr>
            <w:tcW w:w="1100" w:type="dxa"/>
            <w:tcBorders>
              <w:top w:val="single" w:color="auto" w:sz="4" w:space="0"/>
              <w:left w:val="nil"/>
              <w:bottom w:val="single" w:color="auto" w:sz="4" w:space="0"/>
              <w:right w:val="single" w:color="auto" w:sz="4" w:space="0"/>
            </w:tcBorders>
            <w:vAlign w:val="center"/>
          </w:tcPr>
          <w:p w14:paraId="2AD4BADA">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合计（元）</w:t>
            </w:r>
          </w:p>
        </w:tc>
        <w:tc>
          <w:tcPr>
            <w:tcW w:w="1100" w:type="dxa"/>
            <w:tcBorders>
              <w:top w:val="single" w:color="auto" w:sz="4" w:space="0"/>
              <w:left w:val="nil"/>
              <w:bottom w:val="single" w:color="auto" w:sz="4" w:space="0"/>
              <w:right w:val="single" w:color="auto" w:sz="4" w:space="0"/>
            </w:tcBorders>
            <w:vAlign w:val="center"/>
          </w:tcPr>
          <w:p w14:paraId="16795AC9">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小写</w:t>
            </w:r>
          </w:p>
        </w:tc>
      </w:tr>
    </w:tbl>
    <w:p w14:paraId="086F269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2、合同总额：</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元，是指到达使用地点、验收合格达到正常使用条件前的所有费用，包括但不限于以下费用：货物价值、安装调试费、运杂费（含保险）、仓储保管费、技术培训费、检测费、施工费、人工费等全部相关费用。</w:t>
      </w:r>
      <w:bookmarkStart w:id="0" w:name="_GoBack"/>
      <w:bookmarkEnd w:id="0"/>
    </w:p>
    <w:p w14:paraId="5B9A1A6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3、合同总额为一次性包死价格，不受市场价格的变化和影响，在合同不发生变更时作为付款结算的依据。</w:t>
      </w:r>
    </w:p>
    <w:p w14:paraId="0015B2E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4"/>
        </w:rPr>
        <w:t>二、产品质量</w:t>
      </w:r>
    </w:p>
    <w:p w14:paraId="3D347B6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1、乙方提供的货物及配套产品，必须是合同规定厂家制造的、合格、全新、未曾使用的、且经过国家质检部门检验，并颁发了产品准销证的产品。</w:t>
      </w:r>
    </w:p>
    <w:p w14:paraId="2BDFF33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2、乙方提供的货物及配套产品必须等同于或优于合同技术指标要求，并能按国家标准或行业标准供应、检测、调试，确保产品技术指标满足使用要求。</w:t>
      </w:r>
    </w:p>
    <w:p w14:paraId="115D190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1DE9B8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4、设计技术专利、外型专利、应用软件专利等均应符合我国的有关法律及行业标准，凡因以上问题与第三方发生的任何纠纷均与甲方无关。</w:t>
      </w:r>
    </w:p>
    <w:p w14:paraId="70B4217C">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5、产品质量保证期为货物验收合格后</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年。质保期内，乙方对所供货物免费进行质保和服务。</w:t>
      </w:r>
    </w:p>
    <w:p w14:paraId="5F224FCB">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三、产品包装要求及运输方式</w:t>
      </w:r>
    </w:p>
    <w:p w14:paraId="0A229C96">
      <w:pPr>
        <w:pStyle w:val="4"/>
        <w:keepNext w:val="0"/>
        <w:keepLines w:val="0"/>
        <w:pageBreakBefore w:val="0"/>
        <w:kinsoku/>
        <w:wordWrap/>
        <w:overflowPunct/>
        <w:topLinePunct w:val="0"/>
        <w:autoSpaceDE/>
        <w:autoSpaceDN/>
        <w:bidi w:val="0"/>
        <w:adjustRightInd/>
        <w:spacing w:line="240" w:lineRule="auto"/>
        <w:ind w:firstLine="400" w:firstLineChars="200"/>
        <w:textAlignment w:val="auto"/>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0"/>
          <w:szCs w:val="20"/>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1B6771F5">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四、交货时间地点及方式</w:t>
      </w:r>
    </w:p>
    <w:p w14:paraId="720032D3">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乙方于合同签订后</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天到货并安装调试交付使用。安装地点：西安石油大学指定地点，所有产生费用乙方负责。甲方联系人：</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，乙方联系人：</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w:t>
      </w:r>
    </w:p>
    <w:p w14:paraId="014F2120">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五、设备的安装、调试及验收</w:t>
      </w:r>
    </w:p>
    <w:p w14:paraId="142FDCD3">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1、甲方和乙方应在现场安装设备前，共同确认所有设备是否符合招标要求。乙方负责安装调试，甲方提供必要的工作条件，安装调试所有费用乙方负责。</w:t>
      </w:r>
    </w:p>
    <w:p w14:paraId="569A171A">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2、甲方对乙方所交产品依照本合同和相关技术合同进行现场验收。验收不合格的，限期整改；整改仍达不到要求的，按本合同第十条第2款处理。</w:t>
      </w:r>
    </w:p>
    <w:p w14:paraId="557572F0">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六、质保期及售后服务</w:t>
      </w:r>
    </w:p>
    <w:p w14:paraId="7479254C">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1、乙方提供的设备质保期限</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年（从货物验收合格之日算起）,终身维护。质保期内乙方接到甲方反映电话后，7*24即时响应（包括电话响应）；电话响应无法解决时，24小时内到达现场。修复时间48小时内；如48小时内无法修复，应提供相应解决方案。质保期外，乙方只收取材料费。</w:t>
      </w:r>
    </w:p>
    <w:p w14:paraId="5682DDE6">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在甲方所在地对甲方进行为期1周的免费培训。培训内容包括仪器的技术原理、操作、数据处理、基本维护等。验收后半年内组织甲方相关人员2人参加举办的相关应用培训班。通过培训使用户人员了解设备工作原理，熟悉设备的安装及使用、维护方法，掌握各种设备的初始化及故障诊断、定位和排除技能。</w:t>
      </w:r>
    </w:p>
    <w:p w14:paraId="62EE5BFC">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3、设备正式运行后，定期回访用户，当系统出现重大缺陷问题而影响到甲方实际应用时需及时响应并派人到现场解决。</w:t>
      </w:r>
    </w:p>
    <w:p w14:paraId="27DC888C">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乙方售后服务及维修专线：</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w:t>
      </w:r>
    </w:p>
    <w:p w14:paraId="7AB5B515">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七、付款时间及付款方式</w:t>
      </w:r>
    </w:p>
    <w:p w14:paraId="517D7D3F">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1、履约保证金</w:t>
      </w:r>
    </w:p>
    <w:p w14:paraId="0F1732F6">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1.1金额：合同签订前，乙方须向甲方提交合同总价的</w:t>
      </w:r>
      <w:r>
        <w:rPr>
          <w:rFonts w:hint="eastAsia" w:ascii="仿宋_GB2312" w:hAnsi="仿宋_GB2312" w:eastAsia="仿宋_GB2312" w:cs="仿宋_GB2312"/>
          <w:sz w:val="20"/>
          <w:szCs w:val="20"/>
          <w:u w:val="single"/>
        </w:rPr>
        <w:t>5</w:t>
      </w:r>
      <w:r>
        <w:rPr>
          <w:rFonts w:hint="eastAsia" w:ascii="仿宋_GB2312" w:hAnsi="仿宋_GB2312" w:eastAsia="仿宋_GB2312" w:cs="仿宋_GB2312"/>
          <w:sz w:val="20"/>
          <w:szCs w:val="20"/>
        </w:rPr>
        <w:t>%作为履约保证金；</w:t>
      </w:r>
    </w:p>
    <w:p w14:paraId="68AF814A">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1.2履约保证金应使用人民币，按</w:t>
      </w:r>
      <w:r>
        <w:rPr>
          <w:rFonts w:hint="eastAsia" w:ascii="仿宋_GB2312" w:hAnsi="仿宋_GB2312" w:eastAsia="仿宋_GB2312" w:cs="仿宋_GB2312"/>
          <w:sz w:val="20"/>
          <w:szCs w:val="20"/>
          <w:u w:val="single"/>
        </w:rPr>
        <w:t>银行转账、支票/汇票/本票、保函/保险</w:t>
      </w:r>
      <w:r>
        <w:rPr>
          <w:rFonts w:hint="eastAsia" w:ascii="仿宋_GB2312" w:hAnsi="仿宋_GB2312" w:eastAsia="仿宋_GB2312" w:cs="仿宋_GB2312"/>
          <w:sz w:val="20"/>
          <w:szCs w:val="20"/>
        </w:rPr>
        <w:t>方式提交；</w:t>
      </w:r>
    </w:p>
    <w:p w14:paraId="33262D13">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1.3清退时间及条件：待合同执行完毕、服务验收合格后</w:t>
      </w:r>
      <w:r>
        <w:rPr>
          <w:rFonts w:hint="eastAsia" w:ascii="仿宋_GB2312" w:hAnsi="仿宋_GB2312" w:eastAsia="仿宋_GB2312" w:cs="仿宋_GB2312"/>
          <w:sz w:val="20"/>
          <w:szCs w:val="20"/>
          <w:lang w:eastAsia="zh-CN"/>
        </w:rPr>
        <w:t>成交供应商</w:t>
      </w:r>
      <w:r>
        <w:rPr>
          <w:rFonts w:hint="eastAsia" w:ascii="仿宋_GB2312" w:hAnsi="仿宋_GB2312" w:eastAsia="仿宋_GB2312" w:cs="仿宋_GB2312"/>
          <w:sz w:val="20"/>
          <w:szCs w:val="20"/>
        </w:rPr>
        <w:t>凭验收单和缴款收据申请，采购人将合同履约保证金予以无息退还。</w:t>
      </w:r>
    </w:p>
    <w:p w14:paraId="582C5168">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注：如遇下列情况之一者，合同履约保证金不予退还，作为对</w:t>
      </w:r>
      <w:r>
        <w:rPr>
          <w:rFonts w:hint="eastAsia" w:ascii="仿宋_GB2312" w:hAnsi="仿宋_GB2312" w:eastAsia="仿宋_GB2312" w:cs="仿宋_GB2312"/>
          <w:sz w:val="20"/>
          <w:szCs w:val="20"/>
          <w:lang w:eastAsia="zh-CN"/>
        </w:rPr>
        <w:t>采购人</w:t>
      </w:r>
      <w:r>
        <w:rPr>
          <w:rFonts w:hint="eastAsia" w:ascii="仿宋_GB2312" w:hAnsi="仿宋_GB2312" w:eastAsia="仿宋_GB2312" w:cs="仿宋_GB2312"/>
          <w:sz w:val="20"/>
          <w:szCs w:val="20"/>
        </w:rPr>
        <w:t>的赔偿：（1）合同签订后不能按合同时限要求供货或安装调试；（2）所供货物不合格、与合同不符；（3）不能按合同履约；（4）货物验收不合格。</w:t>
      </w:r>
    </w:p>
    <w:p w14:paraId="69AC4BE1">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1.4逾期退还履约保证金的违约责任：本项目履约保证金退还条件成立后，甲方应在收到乙方完整退款申请资料后30个工作日内原路无息退还。若甲方无正当理由逾期退还，每逾期一日，按逾期未退还金额万分之三向乙方支付违约金。因乙方履约存在质量缺陷、未完成售后整改、资料缺失等乙方自身原因造成退款延迟的，不视为甲方违约，不计违约金。</w:t>
      </w:r>
    </w:p>
    <w:p w14:paraId="6AC9EA4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2、</w:t>
      </w:r>
      <w:r>
        <w:rPr>
          <w:rFonts w:hint="eastAsia" w:ascii="仿宋_GB2312" w:hAnsi="仿宋_GB2312" w:eastAsia="仿宋_GB2312" w:cs="仿宋_GB2312"/>
          <w:sz w:val="20"/>
          <w:szCs w:val="20"/>
          <w:highlight w:val="none"/>
        </w:rPr>
        <w:t>合同款支付</w:t>
      </w:r>
    </w:p>
    <w:p w14:paraId="4672113E">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highlight w:val="yellow"/>
        </w:rPr>
      </w:pPr>
      <w:r>
        <w:rPr>
          <w:rFonts w:hint="eastAsia" w:ascii="仿宋_GB2312" w:hAnsi="仿宋_GB2312" w:eastAsia="仿宋_GB2312" w:cs="仿宋_GB2312"/>
          <w:sz w:val="20"/>
          <w:szCs w:val="20"/>
          <w:highlight w:val="none"/>
        </w:rPr>
        <w:t>进度款，合同签订后，供应商开具预付款等额银行保函，采购人收到银行保函正本后10个工作日内支付预付款，最多支付至90万，剩余款项待验收合格后，并出具增值税专用发票，达到付款条件起10个工作日内，支付合同总金额的100.0%。</w:t>
      </w:r>
    </w:p>
    <w:p w14:paraId="46A64141">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最终结算时，乙方须向甲方出具合同总价款的增值税专用发票。</w:t>
      </w:r>
    </w:p>
    <w:p w14:paraId="1CDE3240">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八.甲方的权利和义务</w:t>
      </w:r>
    </w:p>
    <w:p w14:paraId="3D0CB034">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8.1 签署合同后，甲方应确定项目负责人（或项目联系人），负责与本合同有关的事务。甲方有权对乙方的履约行为进行检查，并及时确认乙方提交的事项。甲方应当配合乙方完成相关项目实施工作。</w:t>
      </w:r>
    </w:p>
    <w:p w14:paraId="77E1345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8.2 甲方有权要求乙方按时提交各阶段有关安排计划，并有权定期核对乙方提供货物数量、规格、质量等内容。甲方有权督促乙方工作并要求乙方更换不符合要求的货物。</w:t>
      </w:r>
    </w:p>
    <w:p w14:paraId="3393E54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8.3 甲方有权要求乙方对缺陷部分予以修复，并按合同约定享有货物保修及其他合同约定的权利。</w:t>
      </w:r>
    </w:p>
    <w:p w14:paraId="461E3882">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8.4 甲方应当按照合同约定及时对交付的货物进行验收</w:t>
      </w:r>
      <w:r>
        <w:rPr>
          <w:rFonts w:hint="eastAsia" w:ascii="仿宋_GB2312" w:hAnsi="仿宋_GB2312" w:eastAsia="仿宋_GB2312" w:cs="仿宋_GB2312"/>
          <w:sz w:val="20"/>
          <w:szCs w:val="20"/>
          <w:lang w:eastAsia="zh-CN"/>
        </w:rPr>
        <w:t>。</w:t>
      </w:r>
    </w:p>
    <w:p w14:paraId="232B3EB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8.5 甲方应当根据合同约定及时向乙方支付合同价款，不得以内部人员变更、履行内部付款流程等为由，拒绝或迟延支付。</w:t>
      </w:r>
    </w:p>
    <w:p w14:paraId="11672AA6">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8.6 国家法律法规规定及其他应由甲方承担的其他义务和责任。</w:t>
      </w:r>
    </w:p>
    <w:p w14:paraId="0E4CE3A9">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九.乙方的权利和义务</w:t>
      </w:r>
    </w:p>
    <w:p w14:paraId="2153681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9.1 签署合同后，乙方应确定项目负责人（或项目联系人），负责与本合同有关的事务。</w:t>
      </w:r>
    </w:p>
    <w:p w14:paraId="7501B5F5">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9.2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DB47B08">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9.3乙方有权根据合同约定向甲方收取合同价款。</w:t>
      </w:r>
    </w:p>
    <w:p w14:paraId="6E8EB7E1">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9.4国家法律法规规定及其他应由乙方承担的其他义务和责任。</w:t>
      </w:r>
    </w:p>
    <w:p w14:paraId="3965823F">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十、违约责任</w:t>
      </w:r>
    </w:p>
    <w:p w14:paraId="7BB31C30">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1、合同生效后，甲乙双方应按合同规定认真履约。合同履约责任只涉及合同甲乙双方，不考虑第三方因素。</w:t>
      </w:r>
    </w:p>
    <w:p w14:paraId="6CA49B07">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2、如乙方产品质量不符合国家标准、行业内控标准或本合同技术附件要求的，甲方有权退货，乙方应退还全部货款，并承担甲方合同总价款10％的违约金及其他损失。</w:t>
      </w:r>
    </w:p>
    <w:p w14:paraId="77EC23BE">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3、在合同规定的供货期内乙方未全部交货，除应如数补齐外，还应承担合同总款的10％违约金。</w:t>
      </w:r>
    </w:p>
    <w:p w14:paraId="31844E1E">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乙方对货物不按招标文件要求，擅自更换，除恢复原招标产品外，应承担更换部分价款10%的违约金；乙方所交付货物不符合其投标承诺，存在偷工减料、以次充好情形的，甲方要求更换一次后仍不符合约定的，甲方有权解除采购合同，没收履约保证金，乙方退还预付款，并将有关情况上报政府采购监管部门处理。</w:t>
      </w:r>
    </w:p>
    <w:p w14:paraId="0F025A0D">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5、除不可抗力因素外，乙方对所供产品出现的问题推诿、拖延，24小时未作出服务响应且乙方没有按照合同规定的时间交货和提供服务，甲方可要求乙方支付违约金。违约金每日按合同总价款的5‰计收。</w:t>
      </w:r>
    </w:p>
    <w:p w14:paraId="3985A633">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6、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FF9DDA8">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十一、解决合同纠纷方式：</w:t>
      </w:r>
    </w:p>
    <w:p w14:paraId="67B33A41">
      <w:pPr>
        <w:keepNext w:val="0"/>
        <w:keepLines w:val="0"/>
        <w:pageBreakBefore w:val="0"/>
        <w:kinsoku/>
        <w:wordWrap/>
        <w:overflowPunct/>
        <w:topLinePunct w:val="0"/>
        <w:autoSpaceDE/>
        <w:autoSpaceDN/>
        <w:bidi w:val="0"/>
        <w:adjustRightInd/>
        <w:snapToGrid w:val="0"/>
        <w:spacing w:line="240" w:lineRule="auto"/>
        <w:ind w:firstLine="400" w:firstLineChars="200"/>
        <w:textAlignment w:val="auto"/>
        <w:rPr>
          <w:rFonts w:hint="eastAsia" w:ascii="仿宋_GB2312" w:hAnsi="仿宋_GB2312" w:eastAsia="仿宋_GB2312" w:cs="仿宋_GB2312"/>
          <w:szCs w:val="21"/>
        </w:rPr>
      </w:pPr>
      <w:r>
        <w:rPr>
          <w:rFonts w:hint="eastAsia" w:ascii="仿宋_GB2312" w:hAnsi="仿宋_GB2312" w:eastAsia="仿宋_GB2312" w:cs="仿宋_GB2312"/>
          <w:sz w:val="20"/>
          <w:szCs w:val="20"/>
        </w:rPr>
        <w:t>双方友好协商解决，协商未果由西安市仲裁委员会仲裁。</w:t>
      </w:r>
    </w:p>
    <w:p w14:paraId="41D56416">
      <w:pPr>
        <w:keepNext w:val="0"/>
        <w:keepLines w:val="0"/>
        <w:pageBreakBefore w:val="0"/>
        <w:kinsoku/>
        <w:wordWrap/>
        <w:overflowPunct/>
        <w:topLinePunct w:val="0"/>
        <w:autoSpaceDE/>
        <w:autoSpaceDN/>
        <w:bidi w:val="0"/>
        <w:adjustRightInd/>
        <w:spacing w:line="24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十二、其它事项</w:t>
      </w:r>
    </w:p>
    <w:p w14:paraId="39F84D00">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1、本合同一式七份，甲方五份，乙方一份，代理机构一份，经甲、乙双方签字盖章后生效，具有同等法律效力。</w:t>
      </w:r>
    </w:p>
    <w:p w14:paraId="0E4CE239">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2、合同所有附件均为本合同不可分割的组成部分，与本合同具有同等法律效力。</w:t>
      </w:r>
    </w:p>
    <w:p w14:paraId="36753DF7">
      <w:pPr>
        <w:keepNext w:val="0"/>
        <w:keepLines w:val="0"/>
        <w:pageBreakBefore w:val="0"/>
        <w:kinsoku/>
        <w:wordWrap/>
        <w:overflowPunct/>
        <w:topLinePunct w:val="0"/>
        <w:autoSpaceDE/>
        <w:autoSpaceDN/>
        <w:bidi w:val="0"/>
        <w:adjustRightInd/>
        <w:spacing w:line="240" w:lineRule="auto"/>
        <w:ind w:firstLine="300" w:firstLineChars="15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3、甲方招标文件、乙方投标文件均为本合同不可分割的组成部分，与本合同具有同等法律效力。</w:t>
      </w:r>
    </w:p>
    <w:tbl>
      <w:tblPr>
        <w:tblStyle w:val="2"/>
        <w:tblW w:w="9363" w:type="dxa"/>
        <w:jc w:val="center"/>
        <w:tblLayout w:type="fixed"/>
        <w:tblCellMar>
          <w:top w:w="0" w:type="dxa"/>
          <w:left w:w="108" w:type="dxa"/>
          <w:bottom w:w="0" w:type="dxa"/>
          <w:right w:w="108" w:type="dxa"/>
        </w:tblCellMar>
      </w:tblPr>
      <w:tblGrid>
        <w:gridCol w:w="3780"/>
        <w:gridCol w:w="3088"/>
        <w:gridCol w:w="2495"/>
      </w:tblGrid>
      <w:tr w14:paraId="2D4A5F70">
        <w:tblPrEx>
          <w:tblCellMar>
            <w:top w:w="0" w:type="dxa"/>
            <w:left w:w="108" w:type="dxa"/>
            <w:bottom w:w="0" w:type="dxa"/>
            <w:right w:w="108" w:type="dxa"/>
          </w:tblCellMar>
        </w:tblPrEx>
        <w:trPr>
          <w:jc w:val="center"/>
        </w:trPr>
        <w:tc>
          <w:tcPr>
            <w:tcW w:w="3780" w:type="dxa"/>
            <w:vAlign w:val="center"/>
          </w:tcPr>
          <w:p w14:paraId="3F5CC269">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甲方：西安石油大学（盖章）</w:t>
            </w:r>
          </w:p>
        </w:tc>
        <w:tc>
          <w:tcPr>
            <w:tcW w:w="3088" w:type="dxa"/>
            <w:vAlign w:val="center"/>
          </w:tcPr>
          <w:p w14:paraId="2B284249">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乙方：××公司（盖章）</w:t>
            </w:r>
          </w:p>
        </w:tc>
        <w:tc>
          <w:tcPr>
            <w:tcW w:w="2495" w:type="dxa"/>
            <w:vMerge w:val="restart"/>
          </w:tcPr>
          <w:p w14:paraId="1F4C717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见证方：××（盖章）</w:t>
            </w:r>
          </w:p>
        </w:tc>
      </w:tr>
      <w:tr w14:paraId="50DAAE4A">
        <w:tblPrEx>
          <w:tblCellMar>
            <w:top w:w="0" w:type="dxa"/>
            <w:left w:w="108" w:type="dxa"/>
            <w:bottom w:w="0" w:type="dxa"/>
            <w:right w:w="108" w:type="dxa"/>
          </w:tblCellMar>
        </w:tblPrEx>
        <w:trPr>
          <w:jc w:val="center"/>
        </w:trPr>
        <w:tc>
          <w:tcPr>
            <w:tcW w:w="3780" w:type="dxa"/>
            <w:vAlign w:val="center"/>
          </w:tcPr>
          <w:p w14:paraId="0E993659">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法人或委托代理人：</w:t>
            </w:r>
          </w:p>
        </w:tc>
        <w:tc>
          <w:tcPr>
            <w:tcW w:w="3088" w:type="dxa"/>
            <w:vAlign w:val="center"/>
          </w:tcPr>
          <w:p w14:paraId="0FD8E5F1">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法人或委托代理人：</w:t>
            </w:r>
          </w:p>
        </w:tc>
        <w:tc>
          <w:tcPr>
            <w:tcW w:w="2495" w:type="dxa"/>
            <w:vMerge w:val="continue"/>
            <w:vAlign w:val="center"/>
          </w:tcPr>
          <w:p w14:paraId="1DBADD91">
            <w:pPr>
              <w:spacing w:line="360" w:lineRule="auto"/>
              <w:ind w:firstLine="300" w:firstLineChars="150"/>
              <w:rPr>
                <w:rFonts w:hint="eastAsia" w:ascii="仿宋_GB2312" w:hAnsi="仿宋_GB2312" w:eastAsia="仿宋_GB2312" w:cs="仿宋_GB2312"/>
                <w:sz w:val="20"/>
                <w:szCs w:val="20"/>
              </w:rPr>
            </w:pPr>
          </w:p>
        </w:tc>
      </w:tr>
      <w:tr w14:paraId="6348CE45">
        <w:tblPrEx>
          <w:tblCellMar>
            <w:top w:w="0" w:type="dxa"/>
            <w:left w:w="108" w:type="dxa"/>
            <w:bottom w:w="0" w:type="dxa"/>
            <w:right w:w="108" w:type="dxa"/>
          </w:tblCellMar>
        </w:tblPrEx>
        <w:trPr>
          <w:jc w:val="center"/>
        </w:trPr>
        <w:tc>
          <w:tcPr>
            <w:tcW w:w="3780" w:type="dxa"/>
            <w:vAlign w:val="center"/>
          </w:tcPr>
          <w:p w14:paraId="183A23EA">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户名：西安石油大学</w:t>
            </w:r>
          </w:p>
        </w:tc>
        <w:tc>
          <w:tcPr>
            <w:tcW w:w="3088" w:type="dxa"/>
            <w:vAlign w:val="center"/>
          </w:tcPr>
          <w:p w14:paraId="0E7A27B7">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户名：</w:t>
            </w:r>
          </w:p>
        </w:tc>
        <w:tc>
          <w:tcPr>
            <w:tcW w:w="2495" w:type="dxa"/>
            <w:vMerge w:val="continue"/>
            <w:vAlign w:val="center"/>
          </w:tcPr>
          <w:p w14:paraId="41CB82F7">
            <w:pPr>
              <w:spacing w:line="360" w:lineRule="auto"/>
              <w:ind w:firstLine="300" w:firstLineChars="150"/>
              <w:rPr>
                <w:rFonts w:hint="eastAsia" w:ascii="仿宋_GB2312" w:hAnsi="仿宋_GB2312" w:eastAsia="仿宋_GB2312" w:cs="仿宋_GB2312"/>
                <w:sz w:val="20"/>
                <w:szCs w:val="20"/>
              </w:rPr>
            </w:pPr>
          </w:p>
        </w:tc>
      </w:tr>
      <w:tr w14:paraId="2EFC76FB">
        <w:tblPrEx>
          <w:tblCellMar>
            <w:top w:w="0" w:type="dxa"/>
            <w:left w:w="108" w:type="dxa"/>
            <w:bottom w:w="0" w:type="dxa"/>
            <w:right w:w="108" w:type="dxa"/>
          </w:tblCellMar>
        </w:tblPrEx>
        <w:trPr>
          <w:jc w:val="center"/>
        </w:trPr>
        <w:tc>
          <w:tcPr>
            <w:tcW w:w="3780" w:type="dxa"/>
            <w:vAlign w:val="center"/>
          </w:tcPr>
          <w:p w14:paraId="676748EB">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开户行：工行西安电子工业区支行</w:t>
            </w:r>
          </w:p>
        </w:tc>
        <w:tc>
          <w:tcPr>
            <w:tcW w:w="3088" w:type="dxa"/>
            <w:vAlign w:val="center"/>
          </w:tcPr>
          <w:p w14:paraId="49BE978C">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开户行：</w:t>
            </w:r>
          </w:p>
        </w:tc>
        <w:tc>
          <w:tcPr>
            <w:tcW w:w="2495" w:type="dxa"/>
            <w:vAlign w:val="center"/>
          </w:tcPr>
          <w:p w14:paraId="3B7F8568">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代表签字：</w:t>
            </w:r>
          </w:p>
        </w:tc>
      </w:tr>
      <w:tr w14:paraId="7D6FDA3B">
        <w:tblPrEx>
          <w:tblCellMar>
            <w:top w:w="0" w:type="dxa"/>
            <w:left w:w="108" w:type="dxa"/>
            <w:bottom w:w="0" w:type="dxa"/>
            <w:right w:w="108" w:type="dxa"/>
          </w:tblCellMar>
        </w:tblPrEx>
        <w:trPr>
          <w:jc w:val="center"/>
        </w:trPr>
        <w:tc>
          <w:tcPr>
            <w:tcW w:w="3780" w:type="dxa"/>
            <w:vAlign w:val="center"/>
          </w:tcPr>
          <w:p w14:paraId="1802CE04">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帐号：3700023209014488850</w:t>
            </w:r>
          </w:p>
        </w:tc>
        <w:tc>
          <w:tcPr>
            <w:tcW w:w="3088" w:type="dxa"/>
            <w:vAlign w:val="center"/>
          </w:tcPr>
          <w:p w14:paraId="480B36BE">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帐号：</w:t>
            </w:r>
          </w:p>
        </w:tc>
        <w:tc>
          <w:tcPr>
            <w:tcW w:w="2495" w:type="dxa"/>
            <w:vAlign w:val="center"/>
          </w:tcPr>
          <w:p w14:paraId="5F09A774">
            <w:pPr>
              <w:spacing w:line="360" w:lineRule="auto"/>
              <w:ind w:firstLine="300" w:firstLineChars="150"/>
              <w:rPr>
                <w:rFonts w:hint="eastAsia" w:ascii="仿宋_GB2312" w:hAnsi="仿宋_GB2312" w:eastAsia="仿宋_GB2312" w:cs="仿宋_GB2312"/>
                <w:sz w:val="20"/>
                <w:szCs w:val="20"/>
              </w:rPr>
            </w:pPr>
          </w:p>
        </w:tc>
      </w:tr>
      <w:tr w14:paraId="0F4C6237">
        <w:tblPrEx>
          <w:tblCellMar>
            <w:top w:w="0" w:type="dxa"/>
            <w:left w:w="108" w:type="dxa"/>
            <w:bottom w:w="0" w:type="dxa"/>
            <w:right w:w="108" w:type="dxa"/>
          </w:tblCellMar>
        </w:tblPrEx>
        <w:trPr>
          <w:jc w:val="center"/>
        </w:trPr>
        <w:tc>
          <w:tcPr>
            <w:tcW w:w="3780" w:type="dxa"/>
            <w:vAlign w:val="center"/>
          </w:tcPr>
          <w:p w14:paraId="67D15B3F">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电话：029—88382337</w:t>
            </w:r>
          </w:p>
        </w:tc>
        <w:tc>
          <w:tcPr>
            <w:tcW w:w="3088" w:type="dxa"/>
            <w:vAlign w:val="center"/>
          </w:tcPr>
          <w:p w14:paraId="70A0F9F5">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tc>
        <w:tc>
          <w:tcPr>
            <w:tcW w:w="2495" w:type="dxa"/>
            <w:vAlign w:val="center"/>
          </w:tcPr>
          <w:p w14:paraId="37EBB66A">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tc>
      </w:tr>
      <w:tr w14:paraId="34B4AC98">
        <w:tblPrEx>
          <w:tblCellMar>
            <w:top w:w="0" w:type="dxa"/>
            <w:left w:w="108" w:type="dxa"/>
            <w:bottom w:w="0" w:type="dxa"/>
            <w:right w:w="108" w:type="dxa"/>
          </w:tblCellMar>
        </w:tblPrEx>
        <w:trPr>
          <w:jc w:val="center"/>
        </w:trPr>
        <w:tc>
          <w:tcPr>
            <w:tcW w:w="3780" w:type="dxa"/>
            <w:vAlign w:val="center"/>
          </w:tcPr>
          <w:p w14:paraId="7D0FA090">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地址：西安市电子二路18号</w:t>
            </w:r>
          </w:p>
        </w:tc>
        <w:tc>
          <w:tcPr>
            <w:tcW w:w="3088" w:type="dxa"/>
            <w:vAlign w:val="center"/>
          </w:tcPr>
          <w:p w14:paraId="1BADE130">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tc>
        <w:tc>
          <w:tcPr>
            <w:tcW w:w="2495" w:type="dxa"/>
            <w:vAlign w:val="center"/>
          </w:tcPr>
          <w:p w14:paraId="2AE04C19">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tc>
      </w:tr>
      <w:tr w14:paraId="7FA5B711">
        <w:tblPrEx>
          <w:tblCellMar>
            <w:top w:w="0" w:type="dxa"/>
            <w:left w:w="108" w:type="dxa"/>
            <w:bottom w:w="0" w:type="dxa"/>
            <w:right w:w="108" w:type="dxa"/>
          </w:tblCellMar>
        </w:tblPrEx>
        <w:trPr>
          <w:jc w:val="center"/>
        </w:trPr>
        <w:tc>
          <w:tcPr>
            <w:tcW w:w="3780" w:type="dxa"/>
            <w:vAlign w:val="center"/>
          </w:tcPr>
          <w:p w14:paraId="52F99CE4">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日期:202 年月日</w:t>
            </w:r>
          </w:p>
        </w:tc>
        <w:tc>
          <w:tcPr>
            <w:tcW w:w="3088" w:type="dxa"/>
            <w:vAlign w:val="center"/>
          </w:tcPr>
          <w:p w14:paraId="27658DEF">
            <w:pPr>
              <w:spacing w:line="360" w:lineRule="auto"/>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日期:202 年月日</w:t>
            </w:r>
          </w:p>
        </w:tc>
        <w:tc>
          <w:tcPr>
            <w:tcW w:w="2495" w:type="dxa"/>
            <w:vAlign w:val="center"/>
          </w:tcPr>
          <w:p w14:paraId="6B1CB9CE">
            <w:pPr>
              <w:spacing w:line="360" w:lineRule="auto"/>
              <w:ind w:firstLine="300" w:firstLineChars="150"/>
              <w:rPr>
                <w:rFonts w:hint="eastAsia" w:ascii="仿宋_GB2312" w:hAnsi="仿宋_GB2312" w:eastAsia="仿宋_GB2312" w:cs="仿宋_GB2312"/>
                <w:sz w:val="20"/>
                <w:szCs w:val="20"/>
              </w:rPr>
            </w:pPr>
          </w:p>
        </w:tc>
      </w:tr>
    </w:tbl>
    <w:p w14:paraId="11F597A1">
      <w:pPr>
        <w:ind w:firstLine="480" w:firstLineChars="150"/>
        <w:jc w:val="center"/>
        <w:rPr>
          <w:rFonts w:hint="eastAsia" w:ascii="仿宋_GB2312" w:hAnsi="仿宋_GB2312" w:eastAsia="仿宋_GB2312" w:cs="仿宋_GB2312"/>
          <w:sz w:val="32"/>
          <w:szCs w:val="32"/>
        </w:rPr>
      </w:pPr>
    </w:p>
    <w:p w14:paraId="014D97FB">
      <w:pPr>
        <w:ind w:firstLine="480" w:firstLineChars="150"/>
        <w:jc w:val="center"/>
        <w:rPr>
          <w:rFonts w:hint="eastAsia" w:ascii="仿宋_GB2312" w:hAnsi="仿宋_GB2312" w:eastAsia="仿宋_GB2312" w:cs="仿宋_GB2312"/>
          <w:sz w:val="32"/>
          <w:szCs w:val="32"/>
        </w:rPr>
      </w:pPr>
    </w:p>
    <w:p w14:paraId="26FAD48E">
      <w:pPr>
        <w:ind w:firstLine="480" w:firstLineChars="150"/>
        <w:jc w:val="center"/>
        <w:rPr>
          <w:rFonts w:hint="eastAsia" w:ascii="仿宋_GB2312" w:hAnsi="仿宋_GB2312" w:eastAsia="仿宋_GB2312" w:cs="仿宋_GB2312"/>
          <w:sz w:val="32"/>
          <w:szCs w:val="32"/>
        </w:rPr>
      </w:pPr>
    </w:p>
    <w:p w14:paraId="00FD1097">
      <w:pPr>
        <w:ind w:firstLine="361" w:firstLineChars="150"/>
        <w:jc w:val="center"/>
        <w:rPr>
          <w:rFonts w:hint="eastAsia" w:ascii="仿宋_GB2312" w:hAnsi="仿宋_GB2312" w:eastAsia="仿宋_GB2312" w:cs="仿宋_GB2312"/>
          <w:b/>
          <w:bCs/>
          <w:sz w:val="24"/>
          <w:szCs w:val="24"/>
        </w:rPr>
      </w:pPr>
    </w:p>
    <w:p w14:paraId="6FA84846">
      <w:pPr>
        <w:ind w:firstLine="361" w:firstLineChars="150"/>
        <w:jc w:val="center"/>
        <w:rPr>
          <w:rFonts w:hint="eastAsia" w:ascii="仿宋_GB2312" w:hAnsi="仿宋_GB2312" w:eastAsia="仿宋_GB2312" w:cs="仿宋_GB2312"/>
          <w:b/>
          <w:bCs/>
          <w:sz w:val="24"/>
          <w:szCs w:val="24"/>
        </w:rPr>
      </w:pPr>
    </w:p>
    <w:p w14:paraId="71675795">
      <w:pPr>
        <w:ind w:firstLine="361" w:firstLineChars="150"/>
        <w:jc w:val="center"/>
        <w:rPr>
          <w:rFonts w:hint="eastAsia" w:ascii="仿宋_GB2312" w:hAnsi="仿宋_GB2312" w:eastAsia="仿宋_GB2312" w:cs="仿宋_GB2312"/>
          <w:sz w:val="24"/>
        </w:rPr>
      </w:pPr>
      <w:r>
        <w:rPr>
          <w:rFonts w:hint="eastAsia" w:ascii="仿宋_GB2312" w:hAnsi="仿宋_GB2312" w:eastAsia="仿宋_GB2312" w:cs="仿宋_GB2312"/>
          <w:b/>
          <w:bCs/>
          <w:sz w:val="24"/>
          <w:szCs w:val="24"/>
        </w:rPr>
        <w:t>××技术协议</w:t>
      </w:r>
    </w:p>
    <w:p w14:paraId="6FF7E25B">
      <w:pPr>
        <w:ind w:firstLine="301" w:firstLineChars="150"/>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注：若技术参数等内容较少并能在合同中准确完整的描述，则不需单独签订技术协议。</w:t>
      </w:r>
    </w:p>
    <w:p w14:paraId="20DBDA69">
      <w:pPr>
        <w:tabs>
          <w:tab w:val="left" w:pos="2880"/>
        </w:tabs>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甲方：西安石油大学</w:t>
      </w:r>
      <w:r>
        <w:rPr>
          <w:rFonts w:hint="eastAsia" w:ascii="仿宋_GB2312" w:hAnsi="仿宋_GB2312" w:eastAsia="仿宋_GB2312" w:cs="仿宋_GB2312"/>
          <w:sz w:val="20"/>
          <w:szCs w:val="20"/>
        </w:rPr>
        <w:tab/>
      </w:r>
    </w:p>
    <w:p w14:paraId="422C6B1E">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乙方：××公司</w:t>
      </w:r>
    </w:p>
    <w:p w14:paraId="1B482844">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西安石油大学（以下简称甲方）和××公司（以下简称乙方）通过谈判，就甲方××院××购置，达成以下技术协议：</w:t>
      </w:r>
    </w:p>
    <w:p w14:paraId="69C3901B">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一、设备名称、规格型号、生产厂家</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55E9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A45FACB">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序号</w:t>
            </w:r>
          </w:p>
        </w:tc>
        <w:tc>
          <w:tcPr>
            <w:tcW w:w="2270" w:type="dxa"/>
            <w:vAlign w:val="center"/>
          </w:tcPr>
          <w:p w14:paraId="0BEB70BA">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设备名称</w:t>
            </w:r>
          </w:p>
        </w:tc>
        <w:tc>
          <w:tcPr>
            <w:tcW w:w="2541" w:type="dxa"/>
            <w:vAlign w:val="center"/>
          </w:tcPr>
          <w:p w14:paraId="636F2005">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规格型号</w:t>
            </w:r>
          </w:p>
        </w:tc>
        <w:tc>
          <w:tcPr>
            <w:tcW w:w="2149" w:type="dxa"/>
            <w:vAlign w:val="center"/>
          </w:tcPr>
          <w:p w14:paraId="6C763402">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生产厂家</w:t>
            </w:r>
          </w:p>
        </w:tc>
      </w:tr>
      <w:tr w14:paraId="02B2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4B4F682">
            <w:pPr>
              <w:ind w:firstLine="300" w:firstLineChars="150"/>
              <w:rPr>
                <w:rFonts w:hint="eastAsia" w:ascii="仿宋_GB2312" w:hAnsi="仿宋_GB2312" w:eastAsia="仿宋_GB2312" w:cs="仿宋_GB2312"/>
                <w:sz w:val="20"/>
                <w:szCs w:val="20"/>
              </w:rPr>
            </w:pPr>
          </w:p>
        </w:tc>
        <w:tc>
          <w:tcPr>
            <w:tcW w:w="2270" w:type="dxa"/>
            <w:vAlign w:val="center"/>
          </w:tcPr>
          <w:p w14:paraId="625B6EC4">
            <w:pPr>
              <w:ind w:firstLine="300" w:firstLineChars="150"/>
              <w:rPr>
                <w:rFonts w:hint="eastAsia" w:ascii="仿宋_GB2312" w:hAnsi="仿宋_GB2312" w:eastAsia="仿宋_GB2312" w:cs="仿宋_GB2312"/>
                <w:sz w:val="20"/>
                <w:szCs w:val="20"/>
              </w:rPr>
            </w:pPr>
          </w:p>
        </w:tc>
        <w:tc>
          <w:tcPr>
            <w:tcW w:w="2541" w:type="dxa"/>
            <w:vAlign w:val="center"/>
          </w:tcPr>
          <w:p w14:paraId="6057291C">
            <w:pPr>
              <w:ind w:firstLine="300" w:firstLineChars="150"/>
              <w:rPr>
                <w:rFonts w:hint="eastAsia" w:ascii="仿宋_GB2312" w:hAnsi="仿宋_GB2312" w:eastAsia="仿宋_GB2312" w:cs="仿宋_GB2312"/>
                <w:sz w:val="20"/>
                <w:szCs w:val="20"/>
              </w:rPr>
            </w:pPr>
          </w:p>
        </w:tc>
        <w:tc>
          <w:tcPr>
            <w:tcW w:w="2149" w:type="dxa"/>
            <w:vAlign w:val="center"/>
          </w:tcPr>
          <w:p w14:paraId="7F54B6C1">
            <w:pPr>
              <w:ind w:firstLine="300" w:firstLineChars="150"/>
              <w:rPr>
                <w:rFonts w:hint="eastAsia" w:ascii="仿宋_GB2312" w:hAnsi="仿宋_GB2312" w:eastAsia="仿宋_GB2312" w:cs="仿宋_GB2312"/>
                <w:sz w:val="20"/>
                <w:szCs w:val="20"/>
              </w:rPr>
            </w:pPr>
          </w:p>
        </w:tc>
      </w:tr>
    </w:tbl>
    <w:p w14:paraId="190EEE4B">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二、设备配置及技术指标:</w:t>
      </w:r>
    </w:p>
    <w:p w14:paraId="2C226F6F">
      <w:pPr>
        <w:ind w:firstLine="200" w:firstLineChars="1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w:t>
      </w:r>
    </w:p>
    <w:p w14:paraId="548EBC7B">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w:t>
      </w:r>
    </w:p>
    <w:p w14:paraId="1169048C">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w:t>
      </w:r>
    </w:p>
    <w:p w14:paraId="065B19EA">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三、解决协议纠纷方式：双方友好协商解决，协商未果由西安市仲裁委员会仲裁。</w:t>
      </w:r>
    </w:p>
    <w:p w14:paraId="4EE667AD">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四、其它事项</w:t>
      </w:r>
    </w:p>
    <w:p w14:paraId="7A3753E5">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1、本协议作为设备购置合同附件与合同同时生效。</w:t>
      </w:r>
    </w:p>
    <w:p w14:paraId="728E9568">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2、本协议一式七份，甲方五份，乙方一份，代理机构一份，经甲、乙双方签字盖章后生效。</w:t>
      </w:r>
    </w:p>
    <w:p w14:paraId="2AC3F408">
      <w:pPr>
        <w:ind w:firstLine="300" w:firstLineChars="150"/>
        <w:rPr>
          <w:rFonts w:hint="eastAsia" w:ascii="仿宋_GB2312" w:hAnsi="仿宋_GB2312" w:eastAsia="仿宋_GB2312" w:cs="仿宋_GB2312"/>
          <w:sz w:val="20"/>
          <w:szCs w:val="20"/>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84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039E600">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甲方</w:t>
            </w:r>
          </w:p>
        </w:tc>
        <w:tc>
          <w:tcPr>
            <w:tcW w:w="4829" w:type="dxa"/>
            <w:tcBorders>
              <w:top w:val="nil"/>
              <w:left w:val="nil"/>
              <w:bottom w:val="nil"/>
              <w:right w:val="nil"/>
            </w:tcBorders>
            <w:vAlign w:val="center"/>
          </w:tcPr>
          <w:p w14:paraId="6F205737">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乙方</w:t>
            </w:r>
          </w:p>
        </w:tc>
      </w:tr>
      <w:tr w14:paraId="0776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411948C">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单位名称：西安石油大学XXXX（部门）</w:t>
            </w:r>
          </w:p>
        </w:tc>
        <w:tc>
          <w:tcPr>
            <w:tcW w:w="4829" w:type="dxa"/>
            <w:tcBorders>
              <w:top w:val="nil"/>
              <w:left w:val="nil"/>
              <w:bottom w:val="nil"/>
              <w:right w:val="nil"/>
            </w:tcBorders>
            <w:vAlign w:val="center"/>
          </w:tcPr>
          <w:p w14:paraId="6C61F6B7">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单位名称：××公司</w:t>
            </w:r>
          </w:p>
        </w:tc>
      </w:tr>
      <w:tr w14:paraId="2B95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76E925">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地址：西安市电子二路18号</w:t>
            </w:r>
          </w:p>
        </w:tc>
        <w:tc>
          <w:tcPr>
            <w:tcW w:w="4829" w:type="dxa"/>
            <w:tcBorders>
              <w:top w:val="nil"/>
              <w:left w:val="nil"/>
              <w:bottom w:val="nil"/>
              <w:right w:val="nil"/>
            </w:tcBorders>
            <w:vAlign w:val="center"/>
          </w:tcPr>
          <w:p w14:paraId="2E87C018">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tc>
      </w:tr>
      <w:tr w14:paraId="2355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39D5905">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代表人：</w:t>
            </w:r>
          </w:p>
        </w:tc>
        <w:tc>
          <w:tcPr>
            <w:tcW w:w="4829" w:type="dxa"/>
            <w:tcBorders>
              <w:top w:val="nil"/>
              <w:left w:val="nil"/>
              <w:bottom w:val="nil"/>
              <w:right w:val="nil"/>
            </w:tcBorders>
            <w:vAlign w:val="center"/>
          </w:tcPr>
          <w:p w14:paraId="0E4DEE8F">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代表人：</w:t>
            </w:r>
          </w:p>
        </w:tc>
      </w:tr>
      <w:tr w14:paraId="4AF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C0E05AA">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联系电话：029—88382333</w:t>
            </w:r>
          </w:p>
        </w:tc>
        <w:tc>
          <w:tcPr>
            <w:tcW w:w="4829" w:type="dxa"/>
            <w:tcBorders>
              <w:top w:val="nil"/>
              <w:left w:val="nil"/>
              <w:bottom w:val="nil"/>
              <w:right w:val="nil"/>
            </w:tcBorders>
            <w:vAlign w:val="center"/>
          </w:tcPr>
          <w:p w14:paraId="347925D1">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48D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6C6CEF5">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202 年月日</w:t>
            </w:r>
          </w:p>
        </w:tc>
        <w:tc>
          <w:tcPr>
            <w:tcW w:w="4829" w:type="dxa"/>
            <w:tcBorders>
              <w:top w:val="nil"/>
              <w:left w:val="nil"/>
              <w:bottom w:val="nil"/>
              <w:right w:val="nil"/>
            </w:tcBorders>
            <w:vAlign w:val="center"/>
          </w:tcPr>
          <w:p w14:paraId="14830416">
            <w:pPr>
              <w:ind w:firstLine="300" w:firstLineChars="15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202 年月日</w:t>
            </w:r>
          </w:p>
        </w:tc>
      </w:tr>
    </w:tbl>
    <w:p w14:paraId="66C24A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9F15CA"/>
    <w:rsid w:val="699F1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2026-07-28T07:31:00Z</dcterms:created>
  <dc:creator>肖肖</dc:creator>
  <cp:lastModifiedBy>肖肖</cp:lastModifiedBy>
  <dcterms:modified xsi:type="dcterms:W3CDTF">2026-07-28T07:53:37Z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69ABF10C252C448797470F4BAD4B1073_11</vt:lpwstr>
  </property>
  <property fmtid="{D5CDD505-2E9C-101B-9397-08002B2CF9AE}" pid="4" name="KSOTemplateDocerSaveRecord">
    <vt:lpwstr>eyJoZGlkIjoiYjk3ZmQ0ZTM1ZDczNWRmZjM3MjI4N2EzNjM3ZDkwNGQiLCJ1c2VySWQiOiI0MzM4MTU0MzAifQ==</vt:lpwstr>
  </property>
</Properties>
</file>