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2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技术偏离表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 xml:space="preserve">}       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3232"/>
        <w:gridCol w:w="1580"/>
        <w:gridCol w:w="1485"/>
        <w:gridCol w:w="1261"/>
      </w:tblGrid>
      <w:tr w14:paraId="519B7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0B8F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谈判文件要求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80CB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045B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支撑材料对应页码</w:t>
            </w:r>
          </w:p>
        </w:tc>
      </w:tr>
      <w:tr w14:paraId="590BB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DF89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BE2A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系统应包含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流场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监测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系统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实验控制系统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数据处理分析系统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以成套形式提供（机箱机柜等）。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1468D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79DB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6B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62D6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1E121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流场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监测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系统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8DE7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B9B6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5394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C45C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03DB0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包含成像模块，激光光源模块。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149B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1514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0878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1E48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C0FE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E5C0A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成像分辨率≥1280*1024，采样率≥5000fps，高清格式记录时间≥10s，内置存储≥64G。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7286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EA9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FC0C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07EFF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3F58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F597F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具备2D2C、2D3C测量功能，支持微流体与高速流体测量，测速范围0-10m/s。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6B9B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4268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019F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18CEA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87DE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4A4D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连续激光光源波长532nm±5nm；功率≥10W，功率波动≤1%；片光厚度≤1mm；TTL调制频率≥100KHz；TTL调制最小脉冲宽度≥5us。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1EEC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4CC1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24BB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14902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B137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2D31D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具备图像增强/增益控制功能，可调节感光强度≥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8倍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4965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DA84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AEAC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4B28C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0367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3EE8B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数据接口：万兆以太网，传输速率≥2.5Gbps。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F375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B5FA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48D7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5B4E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3713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855BE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配备足够质保期内正常使用的云台、三角架、光学标定、量勺、摇瓶配件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1套及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耗材。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0D1F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CA8B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88B8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2433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8B3A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4834D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实验控制系统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C3F6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25DC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2A38C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98CD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E6114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具备对输入的温度、压力、流量等数值输出泵频、电磁阀、电动阀的控制信号。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2A80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FE4F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13A2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4081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AD50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99530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输入适应高压工况（0-10MPa），采样频率≥1kHz，数据延迟≤1ms。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350C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6B69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4826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2635E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5D58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7216C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支持模拟量输入/输出，通过IO总线向右扩展分布式IO。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FD6E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3B55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83B0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196A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8AD5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.4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7691B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包含≥12路DI、≥16路DO控制节点，支持Modbus TCP、Modbus RTU协议支持实时数据、历史数据、报警事件等。支持RS-485、RJ45、Type-C 接口。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4C24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20FE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78B5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2C4B7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0DA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.5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ADFE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可输入标准电压，电流，电阻信号，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输入模块AI/AO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精度：≤±0.2% FS；分辨率≥16位；可输出标准4–20mA信号。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8DEC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3A1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891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190B3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DFF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46B7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支持工艺流程画面绘制；具有数据存储功能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历史数据存储时间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48h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，可查看历史数据、历史报警、历史曲线等功能。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B629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FAAF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5851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154DD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AC0C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69D8C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数据处理分析系统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23A9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02BC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77685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9984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E0E1B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专用分析、处理、显示终端（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计算能力FP32峰值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15TFlops,计算能力FP64峰值≥2Tflops，内存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64G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数据储存能力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）。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B1E7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6D74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67FFB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08FE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8AD1C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支持4重迭代，具备窗口变形功能，集成多目录大批量数据自动处理功能。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D98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3D49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73DF8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C449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1EC26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具备多核GPU并行计算技术，支持导入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2000万像素图像在判读区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64*64像素、步长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32*32像素条件下，计算时间≤1秒。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A293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38A3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52020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4F6812B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.4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182915F7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可分析显示图像中颗粒的等效圆直径大小，空间位置坐标，颗粒截面面积、速度等参数。搜索分析显示图像中颗粒的粒径分布，包括颗粒的等效圆直径大小，空间位置坐标，颗粒截面面积等参数。</w:t>
            </w:r>
          </w:p>
        </w:tc>
        <w:tc>
          <w:tcPr>
            <w:tcW w:w="1580" w:type="dxa"/>
          </w:tcPr>
          <w:p w14:paraId="07B2362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</w:tcPr>
          <w:p w14:paraId="5441DA4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</w:tcPr>
          <w:p w14:paraId="1D10C34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2B766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15E08B7A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.5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2E835E6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具备连续相流体与离散相颗粒同步测量的功能，具备根据不同颗粒粒径进行分相流场速度计算功能，具备分相背景灰度补偿填充功能。</w:t>
            </w:r>
          </w:p>
        </w:tc>
        <w:tc>
          <w:tcPr>
            <w:tcW w:w="1580" w:type="dxa"/>
          </w:tcPr>
          <w:p w14:paraId="6B5968A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</w:tcPr>
          <w:p w14:paraId="2A0AE0B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</w:tcPr>
          <w:p w14:paraId="7753D17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6A71F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1F66E5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.6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63E411CE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可实现小尺度的未确定的流动分析。具备单像素计算功能，计算稠密速度场。图像放大率、单个速度矢量空间分辨率。</w:t>
            </w:r>
          </w:p>
        </w:tc>
        <w:tc>
          <w:tcPr>
            <w:tcW w:w="1580" w:type="dxa"/>
          </w:tcPr>
          <w:p w14:paraId="707EF60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</w:tcPr>
          <w:p w14:paraId="25404E0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</w:tcPr>
          <w:p w14:paraId="083DDD7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2CAB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156FFD6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.7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6D2BA64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具备虚拟现实流场展示功能：通过VR终端对流场测量得到的流场结果和试验模型进行虚拟现实交互显示。</w:t>
            </w:r>
          </w:p>
        </w:tc>
        <w:tc>
          <w:tcPr>
            <w:tcW w:w="1580" w:type="dxa"/>
          </w:tcPr>
          <w:p w14:paraId="3D7756E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</w:tcPr>
          <w:p w14:paraId="0AB06B3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</w:tcPr>
          <w:p w14:paraId="5BE056F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3400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38BC5E2D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.8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BB44921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可实时无线显示实验中拍摄的粒子图像，辅助手动镜头对焦。</w:t>
            </w:r>
          </w:p>
        </w:tc>
        <w:tc>
          <w:tcPr>
            <w:tcW w:w="1580" w:type="dxa"/>
          </w:tcPr>
          <w:p w14:paraId="3B6393E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</w:tcPr>
          <w:p w14:paraId="11B2648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</w:tcPr>
          <w:p w14:paraId="7394933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  <w:tr w14:paraId="5E8BB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 w14:paraId="04D979A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0F4C303D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供应商拟投产品必须满足所有技术参数要求，提供相关证明材料。</w:t>
            </w:r>
          </w:p>
          <w:p w14:paraId="7DEE3AE4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其中，标注“★”的参数提供的证明材料包括但不限于产品规格表、产品宣传彩页、技术白皮书、制造商官方网站发布的产品信息、说明书或检测机构出具的检测报告等，至少提供以上一项证明材料予以证明其技术参数的响应性；</w:t>
            </w:r>
          </w:p>
          <w:p w14:paraId="0FE5E47D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未标注“★”的参数提供的证明材料包括但不限于技术方案、产品规格表、产品宣传彩页、技术白皮书、制造商官方网站发布的产品信息、技术偏离表、说明书或检测机构出具的检测报告等，至少提供以上一项证明材料予以证明其技术参数的响应性。</w:t>
            </w:r>
          </w:p>
        </w:tc>
        <w:tc>
          <w:tcPr>
            <w:tcW w:w="1580" w:type="dxa"/>
          </w:tcPr>
          <w:p w14:paraId="62BA481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485" w:type="dxa"/>
          </w:tcPr>
          <w:p w14:paraId="7AA1231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  <w:tc>
          <w:tcPr>
            <w:tcW w:w="1261" w:type="dxa"/>
          </w:tcPr>
          <w:p w14:paraId="003CBE9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red"/>
              </w:rPr>
            </w:pPr>
          </w:p>
        </w:tc>
      </w:tr>
    </w:tbl>
    <w:p w14:paraId="77055335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注：1.供应商根据采购项目的全部技术参数逐条填写此表，并按谈判文件要求提供相应的证明材料。</w:t>
      </w:r>
    </w:p>
    <w:p w14:paraId="5B48B7D0">
      <w:pPr>
        <w:spacing w:line="360" w:lineRule="auto"/>
      </w:pPr>
      <w:r>
        <w:rPr>
          <w:rFonts w:ascii="Calibri" w:hAnsi="Calibri" w:eastAsia="宋体" w:cs="Calibri"/>
          <w:color w:val="000000"/>
          <w:kern w:val="0"/>
          <w:sz w:val="28"/>
          <w:szCs w:val="28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供应商需把响应产品的制造商家、规格型号、数量进行在此表中明确响应。</w:t>
      </w:r>
      <w:bookmarkStart w:id="0" w:name="_GoBack"/>
      <w:bookmarkEnd w:id="0"/>
    </w:p>
    <w:p w14:paraId="1465E3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12EC61FA"/>
    <w:rsid w:val="190B50EC"/>
    <w:rsid w:val="250E74AD"/>
    <w:rsid w:val="29954C89"/>
    <w:rsid w:val="39EB49C4"/>
    <w:rsid w:val="483C3CCA"/>
    <w:rsid w:val="5C4F3430"/>
    <w:rsid w:val="640F0BB9"/>
    <w:rsid w:val="67299E01"/>
    <w:rsid w:val="6BFF22C1"/>
    <w:rsid w:val="6D791AF1"/>
    <w:rsid w:val="7AEF2FBB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1319</Words>
  <Characters>1516</Characters>
  <Lines>1</Lines>
  <Paragraphs>1</Paragraphs>
  <TotalTime>0</TotalTime>
  <ScaleCrop>false</ScaleCrop>
  <LinksUpToDate>false</LinksUpToDate>
  <CharactersWithSpaces>1542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肖肖</cp:lastModifiedBy>
  <dcterms:modified xsi:type="dcterms:W3CDTF">2026-07-28T09:02:20Z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eyJoZGlkIjoiYjk3ZmQ0ZTM1ZDczNWRmZjM3MjI4N2EzNjM3ZDkwNGQiLCJ1c2VySWQiOiI0MzM4MTU0MzAifQ==</vt:lpwstr>
  </property>
  <property fmtid="{D5CDD505-2E9C-101B-9397-08002B2CF9AE}" pid="4" name="ICV">
    <vt:lpwstr>29698EA2B7A34EA6B44F412FF0FA7A2A_12</vt:lpwstr>
  </property>
</Properties>
</file>