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版本号：ZBZB-2026-2906.1B120260525001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第10届中国—南亚博览会暨第30届中国昆明进出口商品交易会场馆搭建及相关服务(二次)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ZBZB-2026-2906.1B1</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第10届中国—南亚博览会暨第30届中国昆明进出口商品交易会场馆搭建及相关服务(二次)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第10届中国—南亚博览会暨第30届中国昆明进出口商品交易会场馆搭建及相关服务(二次)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按照第10届中国—南亚博览会暨第30届中国昆明进出口商品交易会场馆搭建及相关服务相关要求，在规定条件下完成服务。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采购包1（会场馆搭建及相关服务）：属于专门面向中小企业采购。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3、财务状况报告：提供2024或2025年度经审计的完整财务审计报告，或其开标前六个月内基本存款账户开户银行出具的资信证明</w:t>
      </w:r>
    </w:p>
    <w:p>
      <w:pPr>
        <w:pStyle w:val="null3"/>
      </w:pPr>
      <w:r>
        <w:rPr>
          <w:rFonts w:ascii="仿宋_GB2312" w:hAnsi="仿宋_GB2312" w:cs="仿宋_GB2312" w:eastAsia="仿宋_GB2312"/>
        </w:rPr>
        <w:t>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采购包1：276,400.00元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银行账号：30205380002085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参照国家计委颁发的《招标代理服务收费管理暂行办法》（计价格[2002]1980号）和国家发展和改革委员发改价格【2011】534号文规定，经协商由成交供应商向采购代理机构支付招标代理服务费（包含“招标代理费、会务费（如有）”），如本项目各包服务费不足6000.00元则供应商按6000.00元支付服务费。 缴交渠道： 开户名称：陕西正邦招标有限责任公司 开户银行：平安银行西安分行营业部/平安银行西安分行 银行账号： 30205380002085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联系电话：029-85578186转838</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第10届中国—南亚博览会暨第30届中国昆明进出口商品交易会场馆搭建及相关服务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276,400.00</w:t>
      </w:r>
    </w:p>
    <w:p>
      <w:pPr>
        <w:pStyle w:val="null3"/>
      </w:pPr>
      <w:r>
        <w:rPr>
          <w:rFonts w:ascii="仿宋_GB2312" w:hAnsi="仿宋_GB2312" w:cs="仿宋_GB2312" w:eastAsia="仿宋_GB2312"/>
        </w:rPr>
        <w:t>采购包最高限价（元）: 276,400.00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场馆搭建及相关服务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标的名称：场馆搭建及相关服务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一、项目服务内容</w:t>
            </w:r>
          </w:p>
          <w:p>
            <w:pPr>
              <w:pStyle w:val="null3"/>
              <w:ind w:firstLine="400"/>
            </w:pPr>
            <w:r>
              <w:rPr>
                <w:rFonts w:ascii="仿宋_GB2312" w:hAnsi="仿宋_GB2312" w:cs="仿宋_GB2312" w:eastAsia="仿宋_GB2312"/>
              </w:rPr>
              <w:t>第</w:t>
            </w:r>
            <w:r>
              <w:rPr>
                <w:rFonts w:ascii="仿宋_GB2312" w:hAnsi="仿宋_GB2312" w:cs="仿宋_GB2312" w:eastAsia="仿宋_GB2312"/>
              </w:rPr>
              <w:t>10</w:t>
            </w:r>
            <w:r>
              <w:rPr>
                <w:rFonts w:ascii="仿宋_GB2312" w:hAnsi="仿宋_GB2312" w:cs="仿宋_GB2312" w:eastAsia="仿宋_GB2312"/>
              </w:rPr>
              <w:t>届中国—南亚博览会暨第</w:t>
            </w:r>
            <w:r>
              <w:rPr>
                <w:rFonts w:ascii="仿宋_GB2312" w:hAnsi="仿宋_GB2312" w:cs="仿宋_GB2312" w:eastAsia="仿宋_GB2312"/>
              </w:rPr>
              <w:t>30</w:t>
            </w:r>
            <w:r>
              <w:rPr>
                <w:rFonts w:ascii="仿宋_GB2312" w:hAnsi="仿宋_GB2312" w:cs="仿宋_GB2312" w:eastAsia="仿宋_GB2312"/>
              </w:rPr>
              <w:t>届中国昆明进出口商品交易会（以下简称南博会），将于</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6</w:t>
            </w:r>
            <w:r>
              <w:rPr>
                <w:rFonts w:ascii="仿宋_GB2312" w:hAnsi="仿宋_GB2312" w:cs="仿宋_GB2312" w:eastAsia="仿宋_GB2312"/>
              </w:rPr>
              <w:t>月</w:t>
            </w:r>
            <w:r>
              <w:rPr>
                <w:rFonts w:ascii="仿宋_GB2312" w:hAnsi="仿宋_GB2312" w:cs="仿宋_GB2312" w:eastAsia="仿宋_GB2312"/>
              </w:rPr>
              <w:t>11</w:t>
            </w:r>
            <w:r>
              <w:rPr>
                <w:rFonts w:ascii="仿宋_GB2312" w:hAnsi="仿宋_GB2312" w:cs="仿宋_GB2312" w:eastAsia="仿宋_GB2312"/>
              </w:rPr>
              <w:t>至</w:t>
            </w:r>
            <w:r>
              <w:rPr>
                <w:rFonts w:ascii="仿宋_GB2312" w:hAnsi="仿宋_GB2312" w:cs="仿宋_GB2312" w:eastAsia="仿宋_GB2312"/>
              </w:rPr>
              <w:t>16</w:t>
            </w:r>
            <w:r>
              <w:rPr>
                <w:rFonts w:ascii="仿宋_GB2312" w:hAnsi="仿宋_GB2312" w:cs="仿宋_GB2312" w:eastAsia="仿宋_GB2312"/>
              </w:rPr>
              <w:t>日在云南昆明举办。为深化陕滇经贸合作交流，加快推进南向通道建设，助力我省企业积极拓展南亚、东南亚市场，我厅拟组织陕西省经贸代表团参展参会</w:t>
            </w:r>
          </w:p>
          <w:p>
            <w:pPr>
              <w:pStyle w:val="null3"/>
              <w:ind w:firstLine="400"/>
            </w:pPr>
            <w:r>
              <w:rPr>
                <w:rFonts w:ascii="仿宋_GB2312" w:hAnsi="仿宋_GB2312" w:cs="仿宋_GB2312" w:eastAsia="仿宋_GB2312"/>
              </w:rPr>
              <w:t>拟在国内合作馆</w:t>
            </w:r>
            <w:r>
              <w:rPr>
                <w:rFonts w:ascii="仿宋_GB2312" w:hAnsi="仿宋_GB2312" w:cs="仿宋_GB2312" w:eastAsia="仿宋_GB2312"/>
              </w:rPr>
              <w:t>4T15</w:t>
            </w:r>
            <w:r>
              <w:rPr>
                <w:rFonts w:ascii="仿宋_GB2312" w:hAnsi="仿宋_GB2312" w:cs="仿宋_GB2312" w:eastAsia="仿宋_GB2312"/>
              </w:rPr>
              <w:t>展位，面积</w:t>
            </w:r>
            <w:r>
              <w:rPr>
                <w:rFonts w:ascii="仿宋_GB2312" w:hAnsi="仿宋_GB2312" w:cs="仿宋_GB2312" w:eastAsia="仿宋_GB2312"/>
              </w:rPr>
              <w:t>144</w:t>
            </w:r>
            <w:r>
              <w:rPr>
                <w:rFonts w:ascii="仿宋_GB2312" w:hAnsi="仿宋_GB2312" w:cs="仿宋_GB2312" w:eastAsia="仿宋_GB2312"/>
              </w:rPr>
              <w:t>㎡。展区以“团结协作，共谋发展”为主题，推介展示我省外向型、科技创新企业发展成果。通过宣传展示，为我省企业与南亚、东南亚国家企业经贸合作搭建平台，进一步扩大我省外向型、科技创新产业规模。</w:t>
            </w:r>
          </w:p>
          <w:p>
            <w:pPr>
              <w:pStyle w:val="null3"/>
              <w:ind w:firstLine="400"/>
            </w:pPr>
            <w:r>
              <w:rPr>
                <w:rFonts w:ascii="仿宋_GB2312" w:hAnsi="仿宋_GB2312" w:cs="仿宋_GB2312" w:eastAsia="仿宋_GB2312"/>
              </w:rPr>
              <w:t>预算金额：</w:t>
            </w:r>
            <w:r>
              <w:rPr>
                <w:rFonts w:ascii="仿宋_GB2312" w:hAnsi="仿宋_GB2312" w:cs="仿宋_GB2312" w:eastAsia="仿宋_GB2312"/>
              </w:rPr>
              <w:t>27.64</w:t>
            </w:r>
            <w:r>
              <w:rPr>
                <w:rFonts w:ascii="仿宋_GB2312" w:hAnsi="仿宋_GB2312" w:cs="仿宋_GB2312" w:eastAsia="仿宋_GB2312"/>
              </w:rPr>
              <w:t>万元人民币（含设计、搭建及物料制作）</w:t>
            </w:r>
          </w:p>
          <w:p>
            <w:pPr>
              <w:pStyle w:val="null3"/>
            </w:pPr>
            <w:r>
              <w:rPr>
                <w:rFonts w:ascii="仿宋_GB2312" w:hAnsi="仿宋_GB2312" w:cs="仿宋_GB2312" w:eastAsia="仿宋_GB2312"/>
                <w:b/>
              </w:rPr>
              <w:t>二、展位图</w:t>
            </w:r>
          </w:p>
          <w:p>
            <w:pPr>
              <w:pStyle w:val="null3"/>
            </w:pPr>
            <w:r>
              <w:drawing>
                <wp:inline distT="0" distR="0" distB="0" distL="0">
                  <wp:extent cx="1621155" cy="229473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294733"/>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合同履行结束并验收合格后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解决办法：1．在执行本合同中发生的或与本合同有关的争端，双方应通过友好协商解决，经协商在_10_天内不能达成协议时，则采取方式解决争议：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1.供应商缴纳保证金时请备注：2906保证金。 2.（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服务内容及服务邀请应答表 中小企业声明函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有详细的人员配置方案，有健全的组织机构及工作安排，岗位分工明确，得 7-10分；有详细的人员配置方案，组织机构及工作安排基本完善、合理，岗位分工明确得，4-7 分；有详细的人员配置方案，组织机构及工作安排合理性差，岗位分工不明确，得 1-4 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具有良好的本地化服务能力，能够准确提供本地化服务。提供 7*24 小时售后， 如设备或系统发生故障，在10分钟内响应，2小时内到达现场解决问题，附本项目售后人员联系方式。（包括但不限于服务人员配备、响应时间、响应程度、解决问题能力、紧急故障处理预案等）进行综合评价。售后服务方案齐全合理、可操作性强；7-10 分； 售后服务方案基本满足项目需求；3-7 分； 售后服务方案不完整或合理性低 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1.展会进行前，供应商需对相应人员进行技术培训，在设备发生故障时的补救措施等方面有明确的承诺，承诺内容完善、合理、可行计 4-6 分，承诺内容基本完善、可行计 2-4 分，承诺内容欠缺，可行性差计 0-2 分，未提供不计分。 2.供应商须确保项目能按时、按质完成，提供服务承诺；且有具体的技术服务保障措施、服务能力方案；方案完善、合理、可行计4-6 分，提供方案内容基本完善、可行计 2-4 分，提供方案内容欠缺，可行性差计 0-2 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供应商提供（2023年1月至今）类似项目业绩（承接过类似活动、会议、会展的设计搭建和服务保障工作），每提供 1 个得 1 分，最高得 3分；业绩证明（以合同或中标通知书为准，须在文件中附合同的扫描件加盖单位公章。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针对本项目服务要求编制，结合项目实际情况，对供应商服务方案的完善程度及合理性进行赋分。方案合理、完善的赋7-10分，方案较为合理、完善赋 4-7分，方案较差、措施一般赋0-4分。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工作进度计划及服务质量保障措施</w:t>
            </w:r>
          </w:p>
        </w:tc>
        <w:tc>
          <w:tcPr>
            <w:tcW w:type="dxa" w:w="2492"/>
          </w:tcPr>
          <w:p>
            <w:pPr>
              <w:pStyle w:val="null3"/>
            </w:pPr>
            <w:r>
              <w:rPr>
                <w:rFonts w:ascii="仿宋_GB2312" w:hAnsi="仿宋_GB2312" w:cs="仿宋_GB2312" w:eastAsia="仿宋_GB2312"/>
              </w:rPr>
              <w:t>工作进度计划及服务质量保障措施。工作进度计划合理、有可操作性，有详细的服务质量保障措施,在采购人规定的时间内高质量完成服务。措施方案合理、完善的赋 7-10 分，措施方案较为合理、完善赋 4-7 分，措施方案较差、一般赋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展会布置</w:t>
            </w:r>
          </w:p>
        </w:tc>
        <w:tc>
          <w:tcPr>
            <w:tcW w:type="dxa" w:w="2492"/>
          </w:tcPr>
          <w:p>
            <w:pPr>
              <w:pStyle w:val="null3"/>
            </w:pPr>
            <w:r>
              <w:rPr>
                <w:rFonts w:ascii="仿宋_GB2312" w:hAnsi="仿宋_GB2312" w:cs="仿宋_GB2312" w:eastAsia="仿宋_GB2312"/>
              </w:rPr>
              <w:t>展会布置：布局合理、创意独特、构思新颖，根据采购内容服务要求，舞台搭建、现场布置，场地规划等方案。主题突出、特色鲜明、设计新颖、简洁大方，将传统与现代相结合，方案完善、合理、可行，得 7-10 分；方案基本合理、可行，得 4-7 分；方案内容简单，基本满足项目需求计 1-4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有可行完善的突发事件及紧急情况处理措施方案</w:t>
            </w:r>
          </w:p>
        </w:tc>
        <w:tc>
          <w:tcPr>
            <w:tcW w:type="dxa" w:w="2492"/>
          </w:tcPr>
          <w:p>
            <w:pPr>
              <w:pStyle w:val="null3"/>
            </w:pPr>
            <w:r>
              <w:rPr>
                <w:rFonts w:ascii="仿宋_GB2312" w:hAnsi="仿宋_GB2312" w:cs="仿宋_GB2312" w:eastAsia="仿宋_GB2312"/>
              </w:rPr>
              <w:t>方案细致完整、可行、描述条理清晰，内容齐全，有较高的针对性赋 4-7分，方案较完整，针对性一般赋2-4分，方案含糊，针对性较差赋 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消防安全、设施设备等确保活动顺利实施</w:t>
            </w:r>
          </w:p>
        </w:tc>
        <w:tc>
          <w:tcPr>
            <w:tcW w:type="dxa" w:w="2492"/>
          </w:tcPr>
          <w:p>
            <w:pPr>
              <w:pStyle w:val="null3"/>
            </w:pPr>
            <w:r>
              <w:rPr>
                <w:rFonts w:ascii="仿宋_GB2312" w:hAnsi="仿宋_GB2312" w:cs="仿宋_GB2312" w:eastAsia="仿宋_GB2312"/>
              </w:rPr>
              <w:t>提供本项目消防安全、设施设备等确保活动顺利实施。方案完善、合理、可行，得 6-8 分；方案基本合理、可行，得 3-6 分；方案内容简单，基本满足项目需求得，0-3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保证活动顺利进行的安全方案。方案完善、合理、可行，得 7-10 分；方案基本合理、可行，得 4-7 分；方案内容简单，基本满足项目需求，得1-4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