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91B6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采购需求</w:t>
      </w:r>
    </w:p>
    <w:p w14:paraId="781E5EB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一、项目概况</w:t>
      </w:r>
      <w:bookmarkStart w:id="0" w:name="_GoBack"/>
      <w:bookmarkEnd w:id="0"/>
    </w:p>
    <w:p w14:paraId="0F8E4B9E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富平县公安局交通管理大队道路交通事故停车场服务项目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：为规范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交通事故车辆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的停放，租赁社会停车场的场地用于停放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富平县公安局交通管理大队交通事故车辆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1358A7D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en-US"/>
        </w:rPr>
        <w:t>停车场设置一览表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790"/>
        <w:gridCol w:w="1069"/>
        <w:gridCol w:w="1173"/>
        <w:gridCol w:w="1055"/>
        <w:gridCol w:w="2679"/>
        <w:gridCol w:w="1208"/>
      </w:tblGrid>
      <w:tr w14:paraId="2EDEA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48" w:type="dxa"/>
            <w:shd w:val="clear" w:color="auto" w:fill="D9D9D9"/>
            <w:vAlign w:val="center"/>
          </w:tcPr>
          <w:p w14:paraId="5C26B9C5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序号</w:t>
            </w:r>
          </w:p>
        </w:tc>
        <w:tc>
          <w:tcPr>
            <w:tcW w:w="790" w:type="dxa"/>
            <w:shd w:val="clear" w:color="auto" w:fill="D9D9D9"/>
            <w:vAlign w:val="center"/>
          </w:tcPr>
          <w:p w14:paraId="2AE0791F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标段编号</w:t>
            </w:r>
          </w:p>
        </w:tc>
        <w:tc>
          <w:tcPr>
            <w:tcW w:w="1069" w:type="dxa"/>
            <w:shd w:val="clear" w:color="auto" w:fill="D9D9D9"/>
            <w:vAlign w:val="center"/>
          </w:tcPr>
          <w:p w14:paraId="1FBC0E29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停车场名称</w:t>
            </w:r>
          </w:p>
        </w:tc>
        <w:tc>
          <w:tcPr>
            <w:tcW w:w="1173" w:type="dxa"/>
            <w:shd w:val="clear" w:color="auto" w:fill="D9D9D9"/>
            <w:vAlign w:val="center"/>
          </w:tcPr>
          <w:p w14:paraId="45EFDD1A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设置区域</w:t>
            </w:r>
          </w:p>
        </w:tc>
        <w:tc>
          <w:tcPr>
            <w:tcW w:w="1055" w:type="dxa"/>
            <w:shd w:val="clear" w:color="auto" w:fill="D9D9D9"/>
            <w:vAlign w:val="center"/>
          </w:tcPr>
          <w:p w14:paraId="72281305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场地面积要求</w:t>
            </w:r>
          </w:p>
        </w:tc>
        <w:tc>
          <w:tcPr>
            <w:tcW w:w="2679" w:type="dxa"/>
            <w:shd w:val="clear" w:color="auto" w:fill="D9D9D9"/>
            <w:vAlign w:val="center"/>
          </w:tcPr>
          <w:p w14:paraId="650ECDA0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主要服务内容</w:t>
            </w:r>
          </w:p>
        </w:tc>
        <w:tc>
          <w:tcPr>
            <w:tcW w:w="1208" w:type="dxa"/>
            <w:shd w:val="clear" w:color="auto" w:fill="D9D9D9"/>
            <w:vAlign w:val="center"/>
          </w:tcPr>
          <w:p w14:paraId="702B886C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/>
                <w:kern w:val="0"/>
                <w:sz w:val="21"/>
                <w:szCs w:val="22"/>
                <w:lang w:eastAsia="en-US"/>
              </w:rPr>
              <w:t>备注</w:t>
            </w:r>
          </w:p>
        </w:tc>
      </w:tr>
      <w:tr w14:paraId="27C44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48" w:type="dxa"/>
            <w:vAlign w:val="center"/>
          </w:tcPr>
          <w:p w14:paraId="71F3107F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1</w:t>
            </w:r>
          </w:p>
        </w:tc>
        <w:tc>
          <w:tcPr>
            <w:tcW w:w="790" w:type="dxa"/>
            <w:vAlign w:val="center"/>
          </w:tcPr>
          <w:p w14:paraId="66682808">
            <w:pPr>
              <w:widowControl/>
              <w:spacing w:before="40" w:after="40"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0"/>
                <w:sz w:val="21"/>
                <w:szCs w:val="22"/>
                <w:lang w:val="en-US" w:eastAsia="zh-CN"/>
              </w:rPr>
              <w:t>采购包2</w:t>
            </w:r>
          </w:p>
        </w:tc>
        <w:tc>
          <w:tcPr>
            <w:tcW w:w="1069" w:type="dxa"/>
            <w:vAlign w:val="center"/>
          </w:tcPr>
          <w:p w14:paraId="2CE6AD55">
            <w:pPr>
              <w:widowControl/>
              <w:spacing w:before="40" w:after="40"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城北停车场</w:t>
            </w:r>
          </w:p>
        </w:tc>
        <w:tc>
          <w:tcPr>
            <w:tcW w:w="1173" w:type="dxa"/>
            <w:vAlign w:val="center"/>
          </w:tcPr>
          <w:p w14:paraId="3795ECE5">
            <w:pPr>
              <w:widowControl/>
              <w:spacing w:before="40" w:after="40"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县城北侧区域</w:t>
            </w:r>
          </w:p>
        </w:tc>
        <w:tc>
          <w:tcPr>
            <w:tcW w:w="1055" w:type="dxa"/>
            <w:vAlign w:val="center"/>
          </w:tcPr>
          <w:p w14:paraId="3B62D29D">
            <w:pPr>
              <w:widowControl/>
              <w:spacing w:before="40" w:after="40"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≥2000㎡</w:t>
            </w:r>
          </w:p>
        </w:tc>
        <w:tc>
          <w:tcPr>
            <w:tcW w:w="2679" w:type="dxa"/>
            <w:vAlign w:val="center"/>
          </w:tcPr>
          <w:p w14:paraId="5FC6E736">
            <w:pPr>
              <w:widowControl/>
              <w:spacing w:before="40" w:after="40" w:line="240" w:lineRule="auto"/>
              <w:ind w:firstLine="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事故车辆及违法拖移扣留车辆停放、登记、保管、出场、滞留车辆上报、整场车辆转运等</w:t>
            </w:r>
          </w:p>
        </w:tc>
        <w:tc>
          <w:tcPr>
            <w:tcW w:w="1208" w:type="dxa"/>
            <w:vAlign w:val="center"/>
          </w:tcPr>
          <w:p w14:paraId="25151852">
            <w:pPr>
              <w:widowControl/>
              <w:spacing w:before="40" w:after="40" w:line="240" w:lineRule="auto"/>
              <w:ind w:firstLine="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2"/>
                <w:lang w:eastAsia="en-US"/>
              </w:rPr>
            </w:pP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保障县城北侧</w:t>
            </w:r>
            <w:r>
              <w:rPr>
                <w:rFonts w:hint="eastAsia" w:ascii="Times New Roman" w:hAnsi="Times New Roman" w:eastAsia="宋体" w:cs="Times New Roman"/>
                <w:b w:val="0"/>
                <w:kern w:val="0"/>
                <w:sz w:val="21"/>
                <w:szCs w:val="22"/>
                <w:lang w:eastAsia="zh-CN"/>
              </w:rPr>
              <w:t>事故扣留</w:t>
            </w:r>
            <w:r>
              <w:rPr>
                <w:rFonts w:ascii="Times New Roman" w:hAnsi="Times New Roman" w:eastAsia="宋体" w:cs="Times New Roman"/>
                <w:b w:val="0"/>
                <w:kern w:val="0"/>
                <w:sz w:val="21"/>
                <w:szCs w:val="22"/>
                <w:lang w:eastAsia="en-US"/>
              </w:rPr>
              <w:t>车辆存放</w:t>
            </w:r>
          </w:p>
        </w:tc>
      </w:tr>
    </w:tbl>
    <w:p w14:paraId="1FB4F64B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二、服务内容</w:t>
      </w:r>
    </w:p>
    <w:p w14:paraId="24D667C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提供服务的单位需要按照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富平县公安局交通管理大队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相关管理要求，做好存放车辆的入场登记、日常保管、出场登记，同时配合大队做好长期滞留车辆统计、上报以及整场车辆转运工作。做好交警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交通事故车辆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的停放保管工作。</w:t>
      </w:r>
    </w:p>
    <w:p w14:paraId="17B0C20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1.停车场用于停放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出现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交通事故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的机动车、非机动车。</w:t>
      </w:r>
    </w:p>
    <w:p w14:paraId="7309F6B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2.按照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富平县公安局交通管理大队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相关管理要求，做好存放车辆入场登记、日常保管、出场登记，同时配合大队做好长期滞留车辆统计、上报工作。</w:t>
      </w:r>
    </w:p>
    <w:p w14:paraId="5BCC2CD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3.负责整场车辆转运工作。</w:t>
      </w:r>
    </w:p>
    <w:p w14:paraId="60F02D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76C52"/>
    <w:rsid w:val="2467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2026-10-22T08:11:00Z</dcterms:created>
  <dc:creator>彤Tion</dc:creator>
  <cp:lastModifiedBy>彤Tion</cp:lastModifiedBy>
  <dcterms:modified xsi:type="dcterms:W3CDTF">2026-10-22T08:12:15Z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00345396E71E4ACE916CA1264EF32865_11</vt:lpwstr>
  </property>
  <property fmtid="{D5CDD505-2E9C-101B-9397-08002B2CF9AE}" pid="4" name="KSOTemplateDocerSaveRecord">
    <vt:lpwstr>eyJoZGlkIjoiNDE3YTdmMGE4MzhmODJiNTgzYWRiZmQxNmJiNGMyZDciLCJ1c2VySWQiOiI1NjU5NDE0NjAifQ==</vt:lpwstr>
  </property>
</Properties>
</file>