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04A06C">
      <w:pPr>
        <w:bidi w:val="0"/>
        <w:rPr>
          <w:rFonts w:hint="eastAsia"/>
          <w:highlight w:val="none"/>
        </w:rPr>
      </w:pPr>
    </w:p>
    <w:p w14:paraId="6CD365D7">
      <w:pPr>
        <w:bidi w:val="0"/>
        <w:rPr>
          <w:rFonts w:hint="eastAsia"/>
          <w:highlight w:val="none"/>
        </w:rPr>
      </w:pPr>
    </w:p>
    <w:p w14:paraId="41445560">
      <w:pPr>
        <w:bidi w:val="0"/>
        <w:rPr>
          <w:rFonts w:hint="eastAsia"/>
          <w:highlight w:val="none"/>
        </w:rPr>
      </w:pPr>
    </w:p>
    <w:p w14:paraId="57CCDD3A">
      <w:pPr>
        <w:bidi w:val="0"/>
        <w:jc w:val="center"/>
        <w:rPr>
          <w:rFonts w:hint="eastAsia"/>
          <w:b/>
          <w:bCs/>
          <w:sz w:val="44"/>
          <w:szCs w:val="40"/>
          <w:highlight w:val="none"/>
          <w:lang w:eastAsia="zh-CN"/>
        </w:rPr>
      </w:pPr>
      <w:r>
        <w:rPr>
          <w:rFonts w:hint="eastAsia"/>
          <w:b/>
          <w:bCs/>
          <w:sz w:val="44"/>
          <w:szCs w:val="40"/>
          <w:highlight w:val="none"/>
          <w:lang w:eastAsia="zh-CN"/>
        </w:rPr>
        <w:t>陕西省肿瘤医院</w:t>
      </w:r>
    </w:p>
    <w:p w14:paraId="68EC4A16">
      <w:pPr>
        <w:bidi w:val="0"/>
        <w:jc w:val="center"/>
        <w:rPr>
          <w:rFonts w:hint="eastAsia" w:eastAsia="宋体"/>
          <w:b/>
          <w:bCs/>
          <w:sz w:val="44"/>
          <w:szCs w:val="40"/>
          <w:highlight w:val="none"/>
          <w:lang w:eastAsia="zh-CN"/>
        </w:rPr>
      </w:pPr>
      <w:r>
        <w:rPr>
          <w:rFonts w:hint="eastAsia"/>
          <w:b/>
          <w:bCs/>
          <w:sz w:val="44"/>
          <w:szCs w:val="40"/>
          <w:highlight w:val="none"/>
          <w:lang w:eastAsia="zh-CN"/>
        </w:rPr>
        <w:t>强制性清洁生产审核服务项目</w:t>
      </w:r>
    </w:p>
    <w:p w14:paraId="587FBDF4">
      <w:pPr>
        <w:bidi w:val="0"/>
        <w:rPr>
          <w:rFonts w:hint="eastAsia"/>
          <w:highlight w:val="none"/>
        </w:rPr>
      </w:pPr>
    </w:p>
    <w:p w14:paraId="62B5DAA9">
      <w:pPr>
        <w:bidi w:val="0"/>
        <w:rPr>
          <w:rFonts w:hint="eastAsia"/>
          <w:highlight w:val="none"/>
        </w:rPr>
      </w:pPr>
    </w:p>
    <w:p w14:paraId="01A36F76">
      <w:pPr>
        <w:bidi w:val="0"/>
        <w:rPr>
          <w:rFonts w:hint="eastAsia"/>
          <w:highlight w:val="none"/>
        </w:rPr>
      </w:pPr>
    </w:p>
    <w:p w14:paraId="7CDE524B">
      <w:pPr>
        <w:bidi w:val="0"/>
        <w:rPr>
          <w:rFonts w:hint="eastAsia"/>
          <w:highlight w:val="none"/>
        </w:rPr>
      </w:pPr>
    </w:p>
    <w:p w14:paraId="7C80D8B5">
      <w:pPr>
        <w:bidi w:val="0"/>
        <w:rPr>
          <w:rFonts w:hint="eastAsia"/>
          <w:highlight w:val="none"/>
        </w:rPr>
      </w:pPr>
    </w:p>
    <w:p w14:paraId="5C099A42">
      <w:pPr>
        <w:bidi w:val="0"/>
        <w:rPr>
          <w:rFonts w:hint="eastAsia"/>
          <w:highlight w:val="none"/>
        </w:rPr>
      </w:pPr>
    </w:p>
    <w:p w14:paraId="4D9E8460">
      <w:pPr>
        <w:bidi w:val="0"/>
        <w:rPr>
          <w:rFonts w:hint="eastAsia"/>
          <w:highlight w:val="none"/>
        </w:rPr>
      </w:pPr>
    </w:p>
    <w:p w14:paraId="490FBEC5">
      <w:pPr>
        <w:bidi w:val="0"/>
        <w:rPr>
          <w:rFonts w:hint="eastAsia"/>
          <w:highlight w:val="none"/>
        </w:rPr>
      </w:pPr>
    </w:p>
    <w:p w14:paraId="22B9DFA0">
      <w:pPr>
        <w:bidi w:val="0"/>
        <w:rPr>
          <w:rFonts w:hint="eastAsia"/>
          <w:highlight w:val="none"/>
        </w:rPr>
      </w:pPr>
    </w:p>
    <w:p w14:paraId="7969D1FC">
      <w:pPr>
        <w:bidi w:val="0"/>
        <w:rPr>
          <w:rFonts w:hint="eastAsia"/>
          <w:highlight w:val="none"/>
        </w:rPr>
      </w:pPr>
    </w:p>
    <w:p w14:paraId="390E4781">
      <w:pPr>
        <w:bidi w:val="0"/>
        <w:rPr>
          <w:rFonts w:hint="eastAsia"/>
          <w:highlight w:val="none"/>
        </w:rPr>
      </w:pPr>
    </w:p>
    <w:p w14:paraId="5F344774">
      <w:pPr>
        <w:bidi w:val="0"/>
        <w:rPr>
          <w:rFonts w:hint="eastAsia"/>
          <w:highlight w:val="none"/>
        </w:rPr>
      </w:pPr>
    </w:p>
    <w:p w14:paraId="60D4E8F5">
      <w:pPr>
        <w:bidi w:val="0"/>
        <w:rPr>
          <w:rFonts w:hint="eastAsia"/>
          <w:highlight w:val="none"/>
        </w:rPr>
      </w:pPr>
    </w:p>
    <w:p w14:paraId="7B912E3C">
      <w:pPr>
        <w:bidi w:val="0"/>
        <w:rPr>
          <w:rFonts w:hint="eastAsia"/>
          <w:highlight w:val="none"/>
        </w:rPr>
      </w:pPr>
    </w:p>
    <w:p w14:paraId="56A52B49">
      <w:pPr>
        <w:bidi w:val="0"/>
        <w:jc w:val="center"/>
        <w:rPr>
          <w:rFonts w:hint="eastAsia"/>
          <w:b/>
          <w:bCs/>
          <w:sz w:val="72"/>
          <w:szCs w:val="60"/>
          <w:highlight w:val="none"/>
        </w:rPr>
      </w:pPr>
      <w:r>
        <w:rPr>
          <w:rFonts w:hint="eastAsia"/>
          <w:b/>
          <w:bCs/>
          <w:sz w:val="72"/>
          <w:szCs w:val="60"/>
          <w:highlight w:val="none"/>
          <w:lang w:val="en-US" w:eastAsia="zh-CN"/>
        </w:rPr>
        <w:t>竞争性磋商文件</w:t>
      </w:r>
    </w:p>
    <w:p w14:paraId="0F2E68AC">
      <w:pPr>
        <w:bidi w:val="0"/>
        <w:jc w:val="center"/>
        <w:rPr>
          <w:rFonts w:hint="eastAsia" w:eastAsia="宋体"/>
          <w:highlight w:val="none"/>
          <w:lang w:eastAsia="zh-CN"/>
        </w:rPr>
      </w:pPr>
      <w:r>
        <w:rPr>
          <w:rFonts w:hint="eastAsia" w:ascii="宋体" w:hAnsi="宋体" w:eastAsia="宋体" w:cs="宋体"/>
          <w:b/>
          <w:bCs/>
          <w:sz w:val="32"/>
          <w:szCs w:val="28"/>
          <w:highlight w:val="none"/>
          <w:lang w:val="en-US" w:eastAsia="zh-CN"/>
        </w:rPr>
        <w:t>项目编号：</w:t>
      </w:r>
      <w:r>
        <w:rPr>
          <w:rFonts w:hint="eastAsia" w:ascii="宋体" w:hAnsi="宋体" w:cs="宋体"/>
          <w:b/>
          <w:bCs/>
          <w:sz w:val="32"/>
          <w:szCs w:val="28"/>
          <w:highlight w:val="none"/>
          <w:lang w:eastAsia="zh-CN"/>
        </w:rPr>
        <w:t>【KRDL】K4-2608168</w:t>
      </w:r>
    </w:p>
    <w:p w14:paraId="3AD731CB">
      <w:pPr>
        <w:bidi w:val="0"/>
        <w:rPr>
          <w:rFonts w:hint="eastAsia"/>
          <w:highlight w:val="none"/>
        </w:rPr>
      </w:pPr>
    </w:p>
    <w:p w14:paraId="12246E1A">
      <w:pPr>
        <w:bidi w:val="0"/>
        <w:rPr>
          <w:rFonts w:hint="eastAsia"/>
          <w:highlight w:val="none"/>
        </w:rPr>
      </w:pPr>
    </w:p>
    <w:p w14:paraId="59287A6E">
      <w:pPr>
        <w:bidi w:val="0"/>
        <w:rPr>
          <w:rFonts w:hint="eastAsia"/>
          <w:highlight w:val="none"/>
        </w:rPr>
      </w:pPr>
    </w:p>
    <w:p w14:paraId="3CDA40E7">
      <w:pPr>
        <w:bidi w:val="0"/>
        <w:rPr>
          <w:rFonts w:hint="eastAsia"/>
          <w:highlight w:val="none"/>
        </w:rPr>
      </w:pPr>
    </w:p>
    <w:p w14:paraId="02FAF7B5">
      <w:pPr>
        <w:bidi w:val="0"/>
        <w:rPr>
          <w:rFonts w:hint="eastAsia"/>
          <w:highlight w:val="none"/>
        </w:rPr>
      </w:pPr>
    </w:p>
    <w:p w14:paraId="6DB01B6E">
      <w:pPr>
        <w:bidi w:val="0"/>
        <w:rPr>
          <w:rFonts w:hint="eastAsia"/>
          <w:highlight w:val="none"/>
        </w:rPr>
      </w:pPr>
    </w:p>
    <w:p w14:paraId="7ECF15DE">
      <w:pPr>
        <w:bidi w:val="0"/>
        <w:rPr>
          <w:rFonts w:hint="eastAsia"/>
          <w:highlight w:val="none"/>
        </w:rPr>
      </w:pPr>
    </w:p>
    <w:p w14:paraId="4A00A3F5">
      <w:pPr>
        <w:bidi w:val="0"/>
        <w:rPr>
          <w:rFonts w:hint="eastAsia"/>
          <w:highlight w:val="none"/>
        </w:rPr>
      </w:pPr>
    </w:p>
    <w:p w14:paraId="589CE7DD">
      <w:pPr>
        <w:bidi w:val="0"/>
        <w:rPr>
          <w:rFonts w:hint="eastAsia"/>
          <w:highlight w:val="none"/>
        </w:rPr>
      </w:pPr>
    </w:p>
    <w:p w14:paraId="21E00505">
      <w:pPr>
        <w:bidi w:val="0"/>
        <w:rPr>
          <w:rFonts w:hint="eastAsia"/>
          <w:highlight w:val="none"/>
        </w:rPr>
      </w:pPr>
    </w:p>
    <w:p w14:paraId="7D709FDF">
      <w:pPr>
        <w:bidi w:val="0"/>
        <w:rPr>
          <w:rFonts w:hint="eastAsia"/>
          <w:highlight w:val="none"/>
        </w:rPr>
      </w:pPr>
    </w:p>
    <w:p w14:paraId="35C61D1A">
      <w:pPr>
        <w:bidi w:val="0"/>
        <w:jc w:val="center"/>
        <w:rPr>
          <w:rFonts w:hint="eastAsia" w:ascii="宋体" w:hAnsi="宋体" w:eastAsia="宋体" w:cs="宋体"/>
          <w:b/>
          <w:bCs/>
          <w:sz w:val="32"/>
          <w:szCs w:val="28"/>
          <w:highlight w:val="none"/>
          <w:lang w:val="en-US" w:eastAsia="zh-CN"/>
        </w:rPr>
      </w:pPr>
      <w:r>
        <w:rPr>
          <w:rFonts w:hint="eastAsia" w:ascii="宋体" w:hAnsi="宋体" w:eastAsia="宋体" w:cs="宋体"/>
          <w:b/>
          <w:bCs/>
          <w:sz w:val="32"/>
          <w:szCs w:val="28"/>
          <w:highlight w:val="none"/>
          <w:lang w:val="en-US" w:eastAsia="zh-CN"/>
        </w:rPr>
        <w:t>采购人：</w:t>
      </w:r>
      <w:r>
        <w:rPr>
          <w:rFonts w:hint="eastAsia" w:ascii="宋体" w:hAnsi="宋体" w:eastAsia="宋体" w:cs="宋体"/>
          <w:b/>
          <w:bCs/>
          <w:sz w:val="32"/>
          <w:szCs w:val="28"/>
          <w:highlight w:val="none"/>
        </w:rPr>
        <w:t>陕西省肿瘤医院</w:t>
      </w:r>
    </w:p>
    <w:p w14:paraId="65ED5A5C">
      <w:pPr>
        <w:bidi w:val="0"/>
        <w:jc w:val="center"/>
        <w:rPr>
          <w:rFonts w:hint="eastAsia" w:ascii="宋体" w:hAnsi="宋体" w:eastAsia="宋体" w:cs="宋体"/>
          <w:b/>
          <w:bCs/>
          <w:sz w:val="32"/>
          <w:szCs w:val="28"/>
          <w:highlight w:val="none"/>
          <w:lang w:val="en-US" w:eastAsia="zh-CN"/>
        </w:rPr>
      </w:pPr>
      <w:r>
        <w:rPr>
          <w:rFonts w:hint="eastAsia" w:ascii="宋体" w:hAnsi="宋体" w:eastAsia="宋体" w:cs="宋体"/>
          <w:b/>
          <w:bCs/>
          <w:sz w:val="32"/>
          <w:szCs w:val="28"/>
          <w:highlight w:val="none"/>
          <w:lang w:val="en-US" w:eastAsia="zh-CN"/>
        </w:rPr>
        <w:t>代理机构：开瑞项目</w:t>
      </w:r>
      <w:r>
        <w:rPr>
          <w:rFonts w:hint="eastAsia" w:ascii="宋体" w:hAnsi="宋体" w:eastAsia="宋体" w:cs="宋体"/>
          <w:b/>
          <w:bCs/>
          <w:sz w:val="32"/>
          <w:szCs w:val="28"/>
          <w:highlight w:val="none"/>
          <w:lang w:val="en-US" w:eastAsia="zh-CN"/>
        </w:rPr>
        <w:drawing>
          <wp:anchor distT="0" distB="0" distL="114300" distR="114300" simplePos="0" relativeHeight="251659264" behindDoc="0" locked="0" layoutInCell="1" allowOverlap="1">
            <wp:simplePos x="0" y="0"/>
            <wp:positionH relativeFrom="column">
              <wp:posOffset>3717925</wp:posOffset>
            </wp:positionH>
            <wp:positionV relativeFrom="paragraph">
              <wp:posOffset>7355205</wp:posOffset>
            </wp:positionV>
            <wp:extent cx="1785620" cy="1715770"/>
            <wp:effectExtent l="0" t="0" r="0" b="17780"/>
            <wp:wrapNone/>
            <wp:docPr id="1" name="图片 1" descr="fec19f9875309f4075cd3397c15cd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ec19f9875309f4075cd3397c15cd7e"/>
                    <pic:cNvPicPr>
                      <a:picLocks noChangeAspect="1"/>
                    </pic:cNvPicPr>
                  </pic:nvPicPr>
                  <pic:blipFill>
                    <a:blip r:embed="rId25"/>
                    <a:stretch>
                      <a:fillRect/>
                    </a:stretch>
                  </pic:blipFill>
                  <pic:spPr>
                    <a:xfrm>
                      <a:off x="0" y="0"/>
                      <a:ext cx="1785620" cy="1715770"/>
                    </a:xfrm>
                    <a:prstGeom prst="rect">
                      <a:avLst/>
                    </a:prstGeom>
                    <a:noFill/>
                    <a:ln>
                      <a:noFill/>
                    </a:ln>
                  </pic:spPr>
                </pic:pic>
              </a:graphicData>
            </a:graphic>
          </wp:anchor>
        </w:drawing>
      </w:r>
      <w:r>
        <w:rPr>
          <w:rFonts w:hint="eastAsia" w:ascii="宋体" w:hAnsi="宋体" w:eastAsia="宋体" w:cs="宋体"/>
          <w:b/>
          <w:bCs/>
          <w:sz w:val="32"/>
          <w:szCs w:val="28"/>
          <w:highlight w:val="none"/>
          <w:lang w:val="en-US" w:eastAsia="zh-CN"/>
        </w:rPr>
        <w:t>管理有限公司</w:t>
      </w:r>
    </w:p>
    <w:p w14:paraId="326FEDA1">
      <w:pPr>
        <w:bidi w:val="0"/>
        <w:jc w:val="center"/>
        <w:rPr>
          <w:rFonts w:hint="eastAsia" w:ascii="宋体" w:hAnsi="宋体" w:eastAsia="宋体" w:cs="宋体"/>
          <w:b/>
          <w:bCs/>
          <w:sz w:val="32"/>
          <w:szCs w:val="28"/>
          <w:highlight w:val="none"/>
        </w:rPr>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宋体" w:hAnsi="宋体" w:eastAsia="宋体" w:cs="宋体"/>
          <w:b/>
          <w:bCs/>
          <w:sz w:val="32"/>
          <w:szCs w:val="28"/>
          <w:highlight w:val="none"/>
        </w:rPr>
        <w:t>2026年</w:t>
      </w:r>
      <w:r>
        <w:rPr>
          <w:rFonts w:hint="eastAsia" w:ascii="宋体" w:hAnsi="宋体" w:cs="宋体"/>
          <w:b/>
          <w:bCs/>
          <w:sz w:val="32"/>
          <w:szCs w:val="28"/>
          <w:highlight w:val="none"/>
          <w:lang w:val="en-US" w:eastAsia="zh-CN"/>
        </w:rPr>
        <w:t>8</w:t>
      </w:r>
      <w:r>
        <w:rPr>
          <w:rFonts w:hint="eastAsia" w:ascii="宋体" w:hAnsi="宋体" w:eastAsia="宋体" w:cs="宋体"/>
          <w:b/>
          <w:bCs/>
          <w:sz w:val="32"/>
          <w:szCs w:val="28"/>
          <w:highlight w:val="none"/>
        </w:rPr>
        <w:t>月</w:t>
      </w:r>
    </w:p>
    <w:p w14:paraId="4A83E04F">
      <w:pPr>
        <w:spacing w:line="720" w:lineRule="auto"/>
        <w:jc w:val="center"/>
        <w:rPr>
          <w:rFonts w:hint="eastAsia"/>
          <w:b/>
          <w:bCs/>
          <w:sz w:val="40"/>
          <w:szCs w:val="40"/>
          <w:highlight w:val="none"/>
        </w:rPr>
      </w:pPr>
      <w:r>
        <w:rPr>
          <w:rFonts w:hint="eastAsia"/>
          <w:b/>
          <w:bCs/>
          <w:sz w:val="40"/>
          <w:szCs w:val="40"/>
          <w:highlight w:val="none"/>
        </w:rPr>
        <w:t>重要提示</w:t>
      </w:r>
    </w:p>
    <w:p w14:paraId="2AB92A28">
      <w:pPr>
        <w:keepNext w:val="0"/>
        <w:keepLines w:val="0"/>
        <w:pageBreakBefore w:val="0"/>
        <w:widowControl w:val="0"/>
        <w:kinsoku/>
        <w:wordWrap w:val="0"/>
        <w:overflowPunct/>
        <w:topLinePunct w:val="0"/>
        <w:autoSpaceDE/>
        <w:autoSpaceDN/>
        <w:bidi w:val="0"/>
        <w:adjustRightInd/>
        <w:snapToGrid/>
        <w:spacing w:line="360" w:lineRule="auto"/>
        <w:ind w:firstLine="480"/>
        <w:jc w:val="left"/>
        <w:textAlignment w:val="auto"/>
        <w:rPr>
          <w:rFonts w:hint="eastAsia" w:ascii="宋体" w:hAnsi="宋体"/>
          <w:bCs/>
          <w:sz w:val="24"/>
          <w:szCs w:val="24"/>
          <w:highlight w:val="none"/>
        </w:rPr>
      </w:pPr>
      <w:r>
        <w:rPr>
          <w:rFonts w:hint="eastAsia" w:ascii="宋体" w:hAnsi="宋体"/>
          <w:bCs/>
          <w:sz w:val="24"/>
          <w:szCs w:val="24"/>
          <w:highlight w:val="none"/>
        </w:rPr>
        <w:t>为了打造市场化法治化国际化营商环境，加快现代化产业体系建设，推动经济社会高质量发展，促进政府采购工作的公正公平开展，根据国务院办公厅印发的《政府采购领域“整顿市场秩序、建设法规体系、促进产业发展”三年行动方案（2024—2026年）》的精神，参与本项目的供应商应严格遵守《中华人民共和国政府采购法》、《中华人民共和国政府采购法实施条例》及《政府采购货物及服务招投标管理办法》等相关法律法规，坚持诚实守信、公平竞争的原则。</w:t>
      </w:r>
    </w:p>
    <w:p w14:paraId="4AA0FA63">
      <w:pPr>
        <w:keepNext w:val="0"/>
        <w:keepLines w:val="0"/>
        <w:pageBreakBefore w:val="0"/>
        <w:widowControl w:val="0"/>
        <w:kinsoku/>
        <w:wordWrap w:val="0"/>
        <w:overflowPunct/>
        <w:topLinePunct w:val="0"/>
        <w:autoSpaceDE/>
        <w:autoSpaceDN/>
        <w:bidi w:val="0"/>
        <w:adjustRightInd/>
        <w:snapToGrid/>
        <w:spacing w:line="360" w:lineRule="auto"/>
        <w:ind w:firstLine="480"/>
        <w:jc w:val="left"/>
        <w:textAlignment w:val="auto"/>
        <w:rPr>
          <w:rFonts w:hint="eastAsia" w:ascii="宋体" w:hAnsi="宋体"/>
          <w:bCs/>
          <w:sz w:val="24"/>
          <w:szCs w:val="24"/>
          <w:highlight w:val="none"/>
        </w:rPr>
      </w:pPr>
      <w:r>
        <w:rPr>
          <w:rFonts w:hint="eastAsia" w:ascii="宋体" w:hAnsi="宋体"/>
          <w:bCs/>
          <w:sz w:val="24"/>
          <w:szCs w:val="24"/>
          <w:highlight w:val="none"/>
        </w:rPr>
        <w:t>在投标过程存在下列情形之一的，视为供应商串通投标，其投标无效：</w:t>
      </w:r>
    </w:p>
    <w:p w14:paraId="4E0E6F89">
      <w:pPr>
        <w:keepNext w:val="0"/>
        <w:keepLines w:val="0"/>
        <w:pageBreakBefore w:val="0"/>
        <w:widowControl w:val="0"/>
        <w:kinsoku/>
        <w:wordWrap w:val="0"/>
        <w:overflowPunct/>
        <w:topLinePunct w:val="0"/>
        <w:autoSpaceDE/>
        <w:autoSpaceDN/>
        <w:bidi w:val="0"/>
        <w:adjustRightInd/>
        <w:snapToGrid/>
        <w:spacing w:line="360" w:lineRule="auto"/>
        <w:ind w:firstLine="480"/>
        <w:jc w:val="left"/>
        <w:textAlignment w:val="auto"/>
        <w:rPr>
          <w:rFonts w:hint="eastAsia" w:ascii="宋体" w:hAnsi="宋体"/>
          <w:bCs/>
          <w:sz w:val="24"/>
          <w:szCs w:val="24"/>
          <w:highlight w:val="none"/>
        </w:rPr>
      </w:pPr>
      <w:r>
        <w:rPr>
          <w:rFonts w:hint="eastAsia" w:ascii="宋体" w:hAnsi="宋体"/>
          <w:bCs/>
          <w:sz w:val="24"/>
          <w:szCs w:val="24"/>
          <w:highlight w:val="none"/>
        </w:rPr>
        <w:t>(一)不同供应商的</w:t>
      </w:r>
      <w:r>
        <w:rPr>
          <w:rFonts w:hint="eastAsia" w:ascii="宋体" w:hAnsi="宋体"/>
          <w:bCs/>
          <w:sz w:val="24"/>
          <w:szCs w:val="24"/>
          <w:highlight w:val="none"/>
          <w:lang w:eastAsia="zh-CN"/>
        </w:rPr>
        <w:t>响应文件</w:t>
      </w:r>
      <w:r>
        <w:rPr>
          <w:rFonts w:hint="eastAsia" w:ascii="宋体" w:hAnsi="宋体"/>
          <w:bCs/>
          <w:sz w:val="24"/>
          <w:szCs w:val="24"/>
          <w:highlight w:val="none"/>
        </w:rPr>
        <w:t>由同一单位或者个人编制；</w:t>
      </w:r>
    </w:p>
    <w:p w14:paraId="31A31FCA">
      <w:pPr>
        <w:keepNext w:val="0"/>
        <w:keepLines w:val="0"/>
        <w:pageBreakBefore w:val="0"/>
        <w:widowControl w:val="0"/>
        <w:kinsoku/>
        <w:wordWrap w:val="0"/>
        <w:overflowPunct/>
        <w:topLinePunct w:val="0"/>
        <w:autoSpaceDE/>
        <w:autoSpaceDN/>
        <w:bidi w:val="0"/>
        <w:adjustRightInd/>
        <w:snapToGrid/>
        <w:spacing w:line="360" w:lineRule="auto"/>
        <w:ind w:firstLine="480"/>
        <w:jc w:val="left"/>
        <w:textAlignment w:val="auto"/>
        <w:rPr>
          <w:rFonts w:hint="eastAsia" w:ascii="宋体" w:hAnsi="宋体"/>
          <w:bCs/>
          <w:sz w:val="24"/>
          <w:szCs w:val="24"/>
          <w:highlight w:val="none"/>
        </w:rPr>
      </w:pPr>
      <w:r>
        <w:rPr>
          <w:rFonts w:hint="eastAsia" w:ascii="宋体" w:hAnsi="宋体"/>
          <w:bCs/>
          <w:sz w:val="24"/>
          <w:szCs w:val="24"/>
          <w:highlight w:val="none"/>
        </w:rPr>
        <w:t>(二)不同供应商委托同一单位或者个人办理投标事宜；</w:t>
      </w:r>
    </w:p>
    <w:p w14:paraId="2BE9AF85">
      <w:pPr>
        <w:keepNext w:val="0"/>
        <w:keepLines w:val="0"/>
        <w:pageBreakBefore w:val="0"/>
        <w:widowControl w:val="0"/>
        <w:kinsoku/>
        <w:wordWrap w:val="0"/>
        <w:overflowPunct/>
        <w:topLinePunct w:val="0"/>
        <w:autoSpaceDE/>
        <w:autoSpaceDN/>
        <w:bidi w:val="0"/>
        <w:adjustRightInd/>
        <w:snapToGrid/>
        <w:spacing w:line="360" w:lineRule="auto"/>
        <w:ind w:firstLine="480"/>
        <w:jc w:val="left"/>
        <w:textAlignment w:val="auto"/>
        <w:rPr>
          <w:rFonts w:hint="eastAsia" w:ascii="宋体" w:hAnsi="宋体"/>
          <w:bCs/>
          <w:sz w:val="24"/>
          <w:szCs w:val="24"/>
          <w:highlight w:val="none"/>
        </w:rPr>
      </w:pPr>
      <w:r>
        <w:rPr>
          <w:rFonts w:hint="eastAsia" w:ascii="宋体" w:hAnsi="宋体"/>
          <w:bCs/>
          <w:sz w:val="24"/>
          <w:szCs w:val="24"/>
          <w:highlight w:val="none"/>
        </w:rPr>
        <w:t>(三)不同供应商的</w:t>
      </w:r>
      <w:r>
        <w:rPr>
          <w:rFonts w:hint="eastAsia" w:ascii="宋体" w:hAnsi="宋体"/>
          <w:bCs/>
          <w:sz w:val="24"/>
          <w:szCs w:val="24"/>
          <w:highlight w:val="none"/>
          <w:lang w:eastAsia="zh-CN"/>
        </w:rPr>
        <w:t>响应文件</w:t>
      </w:r>
      <w:r>
        <w:rPr>
          <w:rFonts w:hint="eastAsia" w:ascii="宋体" w:hAnsi="宋体"/>
          <w:bCs/>
          <w:sz w:val="24"/>
          <w:szCs w:val="24"/>
          <w:highlight w:val="none"/>
        </w:rPr>
        <w:t>载明的项目管理成员或者联系人员为同一人；</w:t>
      </w:r>
    </w:p>
    <w:p w14:paraId="6079FE3F">
      <w:pPr>
        <w:keepNext w:val="0"/>
        <w:keepLines w:val="0"/>
        <w:pageBreakBefore w:val="0"/>
        <w:widowControl w:val="0"/>
        <w:kinsoku/>
        <w:wordWrap w:val="0"/>
        <w:overflowPunct/>
        <w:topLinePunct w:val="0"/>
        <w:autoSpaceDE/>
        <w:autoSpaceDN/>
        <w:bidi w:val="0"/>
        <w:adjustRightInd/>
        <w:snapToGrid/>
        <w:spacing w:line="360" w:lineRule="auto"/>
        <w:ind w:firstLine="480"/>
        <w:jc w:val="left"/>
        <w:textAlignment w:val="auto"/>
        <w:rPr>
          <w:rFonts w:hint="eastAsia" w:ascii="宋体" w:hAnsi="宋体"/>
          <w:bCs/>
          <w:sz w:val="24"/>
          <w:szCs w:val="24"/>
          <w:highlight w:val="none"/>
        </w:rPr>
      </w:pPr>
      <w:r>
        <w:rPr>
          <w:rFonts w:hint="eastAsia" w:ascii="宋体" w:hAnsi="宋体"/>
          <w:bCs/>
          <w:sz w:val="24"/>
          <w:szCs w:val="24"/>
          <w:highlight w:val="none"/>
        </w:rPr>
        <w:t>(四)不同供应商的</w:t>
      </w:r>
      <w:r>
        <w:rPr>
          <w:rFonts w:hint="eastAsia" w:ascii="宋体" w:hAnsi="宋体"/>
          <w:bCs/>
          <w:sz w:val="24"/>
          <w:szCs w:val="24"/>
          <w:highlight w:val="none"/>
          <w:lang w:eastAsia="zh-CN"/>
        </w:rPr>
        <w:t>响应文件</w:t>
      </w:r>
      <w:r>
        <w:rPr>
          <w:rFonts w:hint="eastAsia" w:ascii="宋体" w:hAnsi="宋体"/>
          <w:bCs/>
          <w:sz w:val="24"/>
          <w:szCs w:val="24"/>
          <w:highlight w:val="none"/>
        </w:rPr>
        <w:t>异常一致或者投标报价呈规律性差异；</w:t>
      </w:r>
    </w:p>
    <w:p w14:paraId="5CB7FF05">
      <w:pPr>
        <w:keepNext w:val="0"/>
        <w:keepLines w:val="0"/>
        <w:pageBreakBefore w:val="0"/>
        <w:widowControl w:val="0"/>
        <w:kinsoku/>
        <w:wordWrap w:val="0"/>
        <w:overflowPunct/>
        <w:topLinePunct w:val="0"/>
        <w:autoSpaceDE/>
        <w:autoSpaceDN/>
        <w:bidi w:val="0"/>
        <w:adjustRightInd/>
        <w:snapToGrid/>
        <w:spacing w:line="360" w:lineRule="auto"/>
        <w:ind w:firstLine="480"/>
        <w:jc w:val="left"/>
        <w:textAlignment w:val="auto"/>
        <w:rPr>
          <w:rFonts w:hint="eastAsia" w:ascii="宋体" w:hAnsi="宋体"/>
          <w:bCs/>
          <w:sz w:val="24"/>
          <w:szCs w:val="24"/>
          <w:highlight w:val="none"/>
        </w:rPr>
      </w:pPr>
      <w:r>
        <w:rPr>
          <w:rFonts w:hint="eastAsia" w:ascii="宋体" w:hAnsi="宋体"/>
          <w:bCs/>
          <w:sz w:val="24"/>
          <w:szCs w:val="24"/>
          <w:highlight w:val="none"/>
        </w:rPr>
        <w:t>(五)不同供应商的</w:t>
      </w:r>
      <w:r>
        <w:rPr>
          <w:rFonts w:hint="eastAsia" w:ascii="宋体" w:hAnsi="宋体"/>
          <w:bCs/>
          <w:sz w:val="24"/>
          <w:szCs w:val="24"/>
          <w:highlight w:val="none"/>
          <w:lang w:eastAsia="zh-CN"/>
        </w:rPr>
        <w:t>响应文件</w:t>
      </w:r>
      <w:r>
        <w:rPr>
          <w:rFonts w:hint="eastAsia" w:ascii="宋体" w:hAnsi="宋体"/>
          <w:bCs/>
          <w:sz w:val="24"/>
          <w:szCs w:val="24"/>
          <w:highlight w:val="none"/>
        </w:rPr>
        <w:t>相互混装；</w:t>
      </w:r>
    </w:p>
    <w:p w14:paraId="01891A83">
      <w:pPr>
        <w:keepNext w:val="0"/>
        <w:keepLines w:val="0"/>
        <w:pageBreakBefore w:val="0"/>
        <w:widowControl w:val="0"/>
        <w:kinsoku/>
        <w:wordWrap w:val="0"/>
        <w:overflowPunct/>
        <w:topLinePunct w:val="0"/>
        <w:autoSpaceDE/>
        <w:autoSpaceDN/>
        <w:bidi w:val="0"/>
        <w:adjustRightInd/>
        <w:snapToGrid/>
        <w:spacing w:line="360" w:lineRule="auto"/>
        <w:ind w:firstLine="480"/>
        <w:jc w:val="left"/>
        <w:textAlignment w:val="auto"/>
        <w:rPr>
          <w:rFonts w:hint="eastAsia" w:ascii="宋体" w:hAnsi="宋体"/>
          <w:bCs/>
          <w:sz w:val="24"/>
          <w:szCs w:val="24"/>
          <w:highlight w:val="none"/>
        </w:rPr>
      </w:pPr>
      <w:r>
        <w:rPr>
          <w:rFonts w:hint="eastAsia" w:ascii="宋体" w:hAnsi="宋体"/>
          <w:bCs/>
          <w:sz w:val="24"/>
          <w:szCs w:val="24"/>
          <w:highlight w:val="none"/>
        </w:rPr>
        <w:t>(六)不同供应商的投标保证金从同一单位或者个人的账户转出。</w:t>
      </w:r>
    </w:p>
    <w:p w14:paraId="48C6953D">
      <w:pPr>
        <w:keepNext w:val="0"/>
        <w:keepLines w:val="0"/>
        <w:pageBreakBefore w:val="0"/>
        <w:widowControl w:val="0"/>
        <w:kinsoku/>
        <w:wordWrap w:val="0"/>
        <w:overflowPunct/>
        <w:topLinePunct w:val="0"/>
        <w:autoSpaceDE/>
        <w:autoSpaceDN/>
        <w:bidi w:val="0"/>
        <w:adjustRightInd/>
        <w:snapToGrid/>
        <w:spacing w:line="360" w:lineRule="auto"/>
        <w:ind w:firstLine="480"/>
        <w:jc w:val="left"/>
        <w:textAlignment w:val="auto"/>
        <w:rPr>
          <w:rFonts w:hint="eastAsia" w:ascii="宋体" w:hAnsi="宋体" w:cs="宋体"/>
          <w:color w:val="000000"/>
          <w:sz w:val="44"/>
          <w:szCs w:val="44"/>
          <w:highlight w:val="none"/>
          <w:lang w:val="zh-CN"/>
        </w:rPr>
      </w:pPr>
      <w:r>
        <w:rPr>
          <w:rFonts w:hint="eastAsia" w:ascii="宋体" w:hAnsi="宋体"/>
          <w:bCs/>
          <w:sz w:val="24"/>
          <w:szCs w:val="24"/>
          <w:highlight w:val="none"/>
        </w:rPr>
        <w:t>如在投标环节及后续审查、审计中发现存在围标串标等问题的，我公司及采购人将上报上级监管部门，根据《中华人民共和国政府采购法》第七十七条的规定依法追究有关责任单位的法律责任，同时将按照《中华人民共和国民法典》第五百条的规定追究其缔约过失责任，赔偿由此给采购人带来的相关损失</w:t>
      </w:r>
      <w:r>
        <w:rPr>
          <w:rFonts w:hint="eastAsia" w:ascii="宋体" w:hAnsi="宋体" w:cs="宋体"/>
          <w:color w:val="656565"/>
          <w:sz w:val="24"/>
          <w:szCs w:val="24"/>
          <w:highlight w:val="none"/>
        </w:rPr>
        <w:t>。</w:t>
      </w:r>
    </w:p>
    <w:p w14:paraId="716DCD5C">
      <w:pPr>
        <w:keepNext w:val="0"/>
        <w:keepLines w:val="0"/>
        <w:pageBreakBefore w:val="0"/>
        <w:widowControl w:val="0"/>
        <w:kinsoku/>
        <w:wordWrap w:val="0"/>
        <w:overflowPunct/>
        <w:topLinePunct w:val="0"/>
        <w:autoSpaceDE/>
        <w:autoSpaceDN/>
        <w:bidi w:val="0"/>
        <w:adjustRightInd/>
        <w:snapToGrid/>
        <w:jc w:val="center"/>
        <w:textAlignment w:val="auto"/>
        <w:rPr>
          <w:rFonts w:hint="eastAsia" w:ascii="宋体" w:hAnsi="宋体" w:cs="宋体"/>
          <w:b/>
          <w:bCs/>
          <w:color w:val="000000"/>
          <w:sz w:val="44"/>
          <w:szCs w:val="44"/>
          <w:highlight w:val="none"/>
          <w:lang w:val="zh-CN"/>
        </w:rPr>
        <w:sectPr>
          <w:footerReference r:id="rId6" w:type="first"/>
          <w:headerReference r:id="rId4" w:type="default"/>
          <w:footerReference r:id="rId5" w:type="default"/>
          <w:pgSz w:w="11907" w:h="16840"/>
          <w:pgMar w:top="1440" w:right="1800" w:bottom="1440" w:left="1800" w:header="851" w:footer="992" w:gutter="0"/>
          <w:pgBorders>
            <w:top w:val="none" w:sz="0" w:space="0"/>
            <w:left w:val="none" w:sz="0" w:space="0"/>
            <w:bottom w:val="none" w:sz="0" w:space="0"/>
            <w:right w:val="none" w:sz="0" w:space="0"/>
          </w:pgBorders>
          <w:pgNumType w:fmt="numberInDash"/>
          <w:cols w:space="720" w:num="1"/>
          <w:docGrid w:type="linesAndChars" w:linePitch="312" w:charSpace="0"/>
        </w:sectPr>
      </w:pPr>
    </w:p>
    <w:p w14:paraId="028DCC95">
      <w:pPr>
        <w:spacing w:line="600" w:lineRule="auto"/>
        <w:jc w:val="center"/>
        <w:rPr>
          <w:rFonts w:hint="eastAsia" w:ascii="宋体" w:hAnsi="宋体" w:cs="宋体"/>
          <w:b/>
          <w:bCs/>
          <w:color w:val="000000"/>
          <w:sz w:val="44"/>
          <w:szCs w:val="44"/>
          <w:highlight w:val="none"/>
          <w:lang w:val="zh-CN"/>
        </w:rPr>
      </w:pPr>
      <w:r>
        <w:rPr>
          <w:rFonts w:hint="eastAsia" w:ascii="宋体" w:hAnsi="宋体" w:cs="宋体"/>
          <w:b/>
          <w:bCs/>
          <w:color w:val="000000"/>
          <w:sz w:val="44"/>
          <w:szCs w:val="44"/>
          <w:highlight w:val="none"/>
          <w:lang w:val="zh-CN"/>
        </w:rPr>
        <w:t>目  录</w:t>
      </w:r>
    </w:p>
    <w:p w14:paraId="685E0814">
      <w:pPr>
        <w:pStyle w:val="27"/>
        <w:tabs>
          <w:tab w:val="right" w:leader="dot" w:pos="8307"/>
        </w:tabs>
        <w:spacing w:line="360" w:lineRule="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TOC \o "1-1" \h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sz w:val="28"/>
          <w:szCs w:val="28"/>
          <w:highlight w:val="none"/>
        </w:rPr>
        <w:instrText xml:space="preserve"> HYPERLINK \l _Toc21886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第一章  竞争性磋商公告</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_Toc21886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w:t>
      </w:r>
      <w:r>
        <w:rPr>
          <w:rFonts w:hint="eastAsia" w:ascii="宋体" w:hAnsi="宋体" w:eastAsia="宋体" w:cs="宋体"/>
          <w:sz w:val="28"/>
          <w:szCs w:val="28"/>
          <w:highlight w:val="none"/>
        </w:rPr>
        <w:fldChar w:fldCharType="end"/>
      </w:r>
      <w:r>
        <w:rPr>
          <w:rFonts w:hint="eastAsia" w:ascii="宋体" w:hAnsi="宋体" w:eastAsia="宋体" w:cs="宋体"/>
          <w:color w:val="000000"/>
          <w:sz w:val="28"/>
          <w:szCs w:val="28"/>
          <w:highlight w:val="none"/>
        </w:rPr>
        <w:fldChar w:fldCharType="end"/>
      </w:r>
    </w:p>
    <w:p w14:paraId="1969E462">
      <w:pPr>
        <w:pStyle w:val="27"/>
        <w:tabs>
          <w:tab w:val="right" w:leader="dot" w:pos="8307"/>
        </w:tabs>
        <w:spacing w:line="360" w:lineRule="auto"/>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_Toc16034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第二章  供应商须知前附表及供应商须知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_Toc16034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p>
    <w:p w14:paraId="12DC3713">
      <w:pPr>
        <w:pStyle w:val="27"/>
        <w:tabs>
          <w:tab w:val="right" w:leader="dot" w:pos="8307"/>
        </w:tabs>
        <w:spacing w:line="360" w:lineRule="auto"/>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_Toc20203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 xml:space="preserve">第三章  </w:t>
      </w:r>
      <w:r>
        <w:rPr>
          <w:rFonts w:hint="eastAsia" w:ascii="宋体" w:hAnsi="宋体" w:cs="宋体"/>
          <w:sz w:val="28"/>
          <w:szCs w:val="28"/>
          <w:highlight w:val="none"/>
          <w:lang w:val="en-US" w:eastAsia="zh-CN"/>
        </w:rPr>
        <w:t>服务</w:t>
      </w:r>
      <w:r>
        <w:rPr>
          <w:rFonts w:hint="eastAsia" w:ascii="宋体" w:hAnsi="宋体" w:eastAsia="宋体" w:cs="宋体"/>
          <w:sz w:val="28"/>
          <w:szCs w:val="28"/>
          <w:highlight w:val="none"/>
        </w:rPr>
        <w:t>需求及商务要求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_Toc20203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20</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p>
    <w:p w14:paraId="1C3DF5AF">
      <w:pPr>
        <w:pStyle w:val="27"/>
        <w:tabs>
          <w:tab w:val="right" w:leader="dot" w:pos="8307"/>
        </w:tabs>
        <w:spacing w:line="360" w:lineRule="auto"/>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_Toc159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第四章  评审办法</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_Toc159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23</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p>
    <w:p w14:paraId="1237199D">
      <w:pPr>
        <w:pStyle w:val="27"/>
        <w:tabs>
          <w:tab w:val="right" w:leader="dot" w:pos="8307"/>
        </w:tabs>
        <w:spacing w:line="360" w:lineRule="auto"/>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_Toc12998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第五章  拟签订的合同文本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_Toc12998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34</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p>
    <w:p w14:paraId="58461B2F">
      <w:pPr>
        <w:pStyle w:val="27"/>
        <w:tabs>
          <w:tab w:val="right" w:leader="dot" w:pos="8307"/>
        </w:tabs>
        <w:spacing w:line="360" w:lineRule="auto"/>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_Toc14776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第六章  响应文件格式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_Toc14776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35</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p>
    <w:p w14:paraId="22B7E709">
      <w:pPr>
        <w:spacing w:line="360" w:lineRule="auto"/>
        <w:rPr>
          <w:rFonts w:hint="eastAsia" w:ascii="宋体" w:hAnsi="宋体"/>
          <w:color w:val="000000"/>
          <w:sz w:val="28"/>
          <w:szCs w:val="28"/>
          <w:highlight w:val="none"/>
        </w:rPr>
      </w:pPr>
      <w:r>
        <w:rPr>
          <w:rFonts w:hint="eastAsia" w:ascii="宋体" w:hAnsi="宋体" w:eastAsia="宋体" w:cs="宋体"/>
          <w:bCs/>
          <w:color w:val="000000"/>
          <w:sz w:val="28"/>
          <w:szCs w:val="28"/>
          <w:highlight w:val="none"/>
        </w:rPr>
        <w:fldChar w:fldCharType="end"/>
      </w:r>
    </w:p>
    <w:p w14:paraId="1D6BD30E">
      <w:pPr>
        <w:jc w:val="center"/>
        <w:rPr>
          <w:rFonts w:ascii="宋体" w:hAnsi="宋体"/>
          <w:b/>
          <w:color w:val="000000"/>
          <w:sz w:val="44"/>
          <w:highlight w:val="none"/>
        </w:rPr>
      </w:pPr>
    </w:p>
    <w:p w14:paraId="6F8FB4A7">
      <w:pPr>
        <w:jc w:val="center"/>
        <w:rPr>
          <w:rFonts w:ascii="宋体" w:hAnsi="宋体"/>
          <w:b/>
          <w:color w:val="000000"/>
          <w:sz w:val="44"/>
          <w:highlight w:val="none"/>
        </w:rPr>
      </w:pPr>
    </w:p>
    <w:p w14:paraId="0AE6740C">
      <w:pPr>
        <w:pStyle w:val="2"/>
        <w:rPr>
          <w:rFonts w:ascii="宋体" w:hAnsi="宋体"/>
          <w:color w:val="000000"/>
          <w:highlight w:val="none"/>
        </w:rPr>
        <w:sectPr>
          <w:pgSz w:w="11907" w:h="16840"/>
          <w:pgMar w:top="1440" w:right="1800" w:bottom="1440" w:left="1800" w:header="851" w:footer="992" w:gutter="0"/>
          <w:pgBorders>
            <w:top w:val="none" w:sz="0" w:space="0"/>
            <w:left w:val="none" w:sz="0" w:space="0"/>
            <w:bottom w:val="none" w:sz="0" w:space="0"/>
            <w:right w:val="none" w:sz="0" w:space="0"/>
          </w:pgBorders>
          <w:pgNumType w:fmt="numberInDash"/>
          <w:cols w:space="720" w:num="1"/>
          <w:docGrid w:type="linesAndChars" w:linePitch="312" w:charSpace="0"/>
        </w:sectPr>
      </w:pPr>
    </w:p>
    <w:p w14:paraId="7F9A4786">
      <w:pPr>
        <w:pStyle w:val="2"/>
        <w:bidi w:val="0"/>
        <w:rPr>
          <w:rFonts w:hint="eastAsia"/>
          <w:highlight w:val="none"/>
        </w:rPr>
      </w:pPr>
      <w:bookmarkStart w:id="0" w:name="_Toc21886"/>
      <w:bookmarkStart w:id="1" w:name="_Toc26125"/>
      <w:bookmarkStart w:id="2" w:name="_Toc504605085"/>
      <w:bookmarkStart w:id="3" w:name="_Toc511316279"/>
      <w:r>
        <w:rPr>
          <w:rFonts w:hint="eastAsia"/>
          <w:highlight w:val="none"/>
        </w:rPr>
        <w:t>第一章</w:t>
      </w:r>
      <w:r>
        <w:rPr>
          <w:rFonts w:hint="eastAsia"/>
          <w:highlight w:val="none"/>
          <w:lang w:val="en-US" w:eastAsia="zh-CN"/>
        </w:rPr>
        <w:t xml:space="preserve">  </w:t>
      </w:r>
      <w:r>
        <w:rPr>
          <w:rFonts w:hint="eastAsia"/>
          <w:highlight w:val="none"/>
        </w:rPr>
        <w:t>竞争性磋商公告</w:t>
      </w:r>
      <w:bookmarkEnd w:id="0"/>
      <w:bookmarkEnd w:id="1"/>
    </w:p>
    <w:p w14:paraId="66C3F648">
      <w:pPr>
        <w:keepNext w:val="0"/>
        <w:keepLines w:val="0"/>
        <w:pageBreakBefore w:val="0"/>
        <w:kinsoku/>
        <w:wordWrap w:val="0"/>
        <w:overflowPunct/>
        <w:topLinePunct w:val="0"/>
        <w:autoSpaceDE/>
        <w:autoSpaceDN/>
        <w:bidi w:val="0"/>
        <w:adjustRightInd w:val="0"/>
        <w:snapToGrid w:val="0"/>
        <w:spacing w:line="360" w:lineRule="auto"/>
        <w:ind w:firstLine="482" w:firstLineChars="200"/>
        <w:textAlignment w:val="auto"/>
        <w:rPr>
          <w:rStyle w:val="43"/>
          <w:highlight w:val="none"/>
        </w:rPr>
      </w:pPr>
      <w:r>
        <w:rPr>
          <w:rStyle w:val="42"/>
          <w:rFonts w:cs="宋体"/>
          <w:sz w:val="24"/>
          <w:szCs w:val="24"/>
          <w:highlight w:val="none"/>
          <w:shd w:val="clear" w:color="auto" w:fill="FFFFFF"/>
        </w:rPr>
        <w:t>项目概况</w:t>
      </w:r>
    </w:p>
    <w:p w14:paraId="5EB7D684">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highlight w:val="none"/>
        </w:rPr>
      </w:pPr>
      <w:r>
        <w:rPr>
          <w:rFonts w:hint="eastAsia"/>
          <w:highlight w:val="none"/>
          <w:shd w:val="clear" w:color="auto" w:fill="FFFFFF"/>
          <w:lang w:eastAsia="zh-CN"/>
        </w:rPr>
        <w:t>陕西省肿瘤医院强制性清洁生产审核服务项目</w:t>
      </w:r>
      <w:r>
        <w:rPr>
          <w:highlight w:val="none"/>
        </w:rPr>
        <w:t>的潜在供应商应在陕西省西安市莲湖区高新二路1号招商银行大厦19层获取竞争性磋商文件，并于</w:t>
      </w:r>
      <w:r>
        <w:rPr>
          <w:rFonts w:hint="eastAsia" w:ascii="宋体" w:hAnsi="宋体" w:cs="宋体"/>
          <w:color w:val="000000"/>
          <w:kern w:val="0"/>
          <w:sz w:val="24"/>
          <w:szCs w:val="24"/>
          <w:highlight w:val="none"/>
        </w:rPr>
        <w:t>2026年</w:t>
      </w:r>
      <w:r>
        <w:rPr>
          <w:rFonts w:hint="eastAsia" w:cs="宋体"/>
          <w:color w:val="000000"/>
          <w:kern w:val="0"/>
          <w:sz w:val="24"/>
          <w:szCs w:val="24"/>
          <w:highlight w:val="none"/>
          <w:u w:val="single"/>
          <w:lang w:val="en-US" w:eastAsia="zh-CN"/>
        </w:rPr>
        <w:t>08</w:t>
      </w:r>
      <w:r>
        <w:rPr>
          <w:rFonts w:hint="eastAsia" w:ascii="宋体" w:hAnsi="宋体" w:cs="宋体"/>
          <w:color w:val="000000"/>
          <w:kern w:val="0"/>
          <w:sz w:val="24"/>
          <w:szCs w:val="24"/>
          <w:highlight w:val="none"/>
        </w:rPr>
        <w:t>月</w:t>
      </w:r>
      <w:r>
        <w:rPr>
          <w:rFonts w:hint="eastAsia" w:cs="宋体"/>
          <w:color w:val="000000"/>
          <w:kern w:val="0"/>
          <w:sz w:val="24"/>
          <w:szCs w:val="24"/>
          <w:highlight w:val="none"/>
          <w:u w:val="single"/>
          <w:lang w:val="en-US" w:eastAsia="zh-CN"/>
        </w:rPr>
        <w:t>27</w:t>
      </w:r>
      <w:r>
        <w:rPr>
          <w:rFonts w:hint="eastAsia" w:ascii="宋体" w:hAnsi="宋体" w:cs="宋体"/>
          <w:color w:val="000000"/>
          <w:kern w:val="0"/>
          <w:sz w:val="24"/>
          <w:szCs w:val="24"/>
          <w:highlight w:val="none"/>
        </w:rPr>
        <w:t>日</w:t>
      </w:r>
      <w:r>
        <w:rPr>
          <w:rFonts w:hint="eastAsia" w:cs="宋体"/>
          <w:color w:val="000000"/>
          <w:kern w:val="0"/>
          <w:sz w:val="24"/>
          <w:szCs w:val="24"/>
          <w:highlight w:val="none"/>
          <w:u w:val="single"/>
          <w:lang w:val="en-US" w:eastAsia="zh-CN"/>
        </w:rPr>
        <w:t>15</w:t>
      </w:r>
      <w:r>
        <w:rPr>
          <w:rFonts w:hint="eastAsia" w:ascii="宋体" w:hAnsi="宋体" w:cs="宋体"/>
          <w:color w:val="000000"/>
          <w:kern w:val="0"/>
          <w:sz w:val="24"/>
          <w:szCs w:val="24"/>
          <w:highlight w:val="none"/>
        </w:rPr>
        <w:t>时</w:t>
      </w:r>
      <w:r>
        <w:rPr>
          <w:rFonts w:hint="eastAsia" w:cs="宋体"/>
          <w:color w:val="000000"/>
          <w:kern w:val="0"/>
          <w:sz w:val="24"/>
          <w:szCs w:val="24"/>
          <w:highlight w:val="none"/>
          <w:u w:val="single"/>
          <w:lang w:val="en-US" w:eastAsia="zh-CN"/>
        </w:rPr>
        <w:t>00</w:t>
      </w:r>
      <w:r>
        <w:rPr>
          <w:rFonts w:hint="eastAsia" w:ascii="宋体" w:hAnsi="宋体" w:cs="宋体"/>
          <w:color w:val="000000"/>
          <w:kern w:val="0"/>
          <w:sz w:val="24"/>
          <w:szCs w:val="24"/>
          <w:highlight w:val="none"/>
        </w:rPr>
        <w:t>分</w:t>
      </w:r>
      <w:r>
        <w:rPr>
          <w:rFonts w:hint="eastAsia"/>
          <w:highlight w:val="none"/>
          <w:shd w:val="clear" w:color="auto" w:fill="FFFFFF"/>
        </w:rPr>
        <w:t>前递交响应文件。</w:t>
      </w:r>
    </w:p>
    <w:p w14:paraId="304B8898">
      <w:pPr>
        <w:keepNext w:val="0"/>
        <w:keepLines w:val="0"/>
        <w:pageBreakBefore w:val="0"/>
        <w:kinsoku/>
        <w:wordWrap w:val="0"/>
        <w:overflowPunct/>
        <w:topLinePunct w:val="0"/>
        <w:autoSpaceDE/>
        <w:autoSpaceDN/>
        <w:bidi w:val="0"/>
        <w:adjustRightInd w:val="0"/>
        <w:snapToGrid w:val="0"/>
        <w:spacing w:line="360" w:lineRule="auto"/>
        <w:ind w:firstLine="482" w:firstLineChars="200"/>
        <w:textAlignment w:val="auto"/>
        <w:rPr>
          <w:rStyle w:val="42"/>
          <w:rFonts w:ascii="Times New Roman" w:hAnsi="Times New Roman" w:eastAsia="宋体" w:cs="宋体"/>
          <w:sz w:val="24"/>
          <w:szCs w:val="24"/>
          <w:highlight w:val="none"/>
          <w:shd w:val="clear" w:color="auto" w:fill="FFFFFF"/>
        </w:rPr>
      </w:pPr>
      <w:r>
        <w:rPr>
          <w:rStyle w:val="42"/>
          <w:rFonts w:ascii="Times New Roman" w:hAnsi="Times New Roman" w:eastAsia="宋体" w:cs="宋体"/>
          <w:sz w:val="24"/>
          <w:szCs w:val="24"/>
          <w:highlight w:val="none"/>
          <w:shd w:val="clear" w:color="auto" w:fill="FFFFFF"/>
        </w:rPr>
        <w:t>一、项目基本情况</w:t>
      </w:r>
    </w:p>
    <w:p w14:paraId="67A6E72A">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firstLineChars="200"/>
        <w:jc w:val="both"/>
        <w:rPr>
          <w:rFonts w:hint="eastAsia" w:cs="宋体"/>
          <w:bCs/>
          <w:caps w:val="0"/>
          <w:shadow w:val="0"/>
          <w:color w:val="auto"/>
          <w:sz w:val="24"/>
          <w:szCs w:val="24"/>
          <w:highlight w:val="none"/>
          <w:lang w:val="en-US" w:eastAsia="zh-CN"/>
        </w:rPr>
      </w:pPr>
      <w:r>
        <w:rPr>
          <w:rFonts w:hint="eastAsia"/>
          <w:highlight w:val="none"/>
          <w:shd w:val="clear" w:color="auto" w:fill="FFFFFF"/>
        </w:rPr>
        <w:t>项目编号：</w:t>
      </w:r>
      <w:r>
        <w:rPr>
          <w:rFonts w:hint="eastAsia" w:cs="宋体"/>
          <w:bCs/>
          <w:caps w:val="0"/>
          <w:shadow w:val="0"/>
          <w:color w:val="auto"/>
          <w:sz w:val="24"/>
          <w:szCs w:val="24"/>
          <w:highlight w:val="none"/>
          <w:lang w:val="en-US" w:eastAsia="zh-CN"/>
        </w:rPr>
        <w:t>【KRDL】K4-2608168</w:t>
      </w:r>
    </w:p>
    <w:p w14:paraId="69DB9FF1">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firstLineChars="200"/>
        <w:jc w:val="both"/>
        <w:rPr>
          <w:rFonts w:hint="eastAsia" w:eastAsia="宋体"/>
          <w:highlight w:val="none"/>
          <w:u w:val="single"/>
          <w:lang w:eastAsia="zh-CN"/>
        </w:rPr>
      </w:pPr>
      <w:r>
        <w:rPr>
          <w:rFonts w:hint="eastAsia"/>
          <w:highlight w:val="none"/>
          <w:shd w:val="clear" w:color="auto" w:fill="FFFFFF"/>
        </w:rPr>
        <w:t>项目名称：</w:t>
      </w:r>
      <w:r>
        <w:rPr>
          <w:rFonts w:hint="eastAsia" w:cs="宋体"/>
          <w:bCs/>
          <w:caps w:val="0"/>
          <w:shadow w:val="0"/>
          <w:color w:val="auto"/>
          <w:sz w:val="24"/>
          <w:szCs w:val="24"/>
          <w:highlight w:val="none"/>
          <w:lang w:val="en-US" w:eastAsia="zh-CN"/>
        </w:rPr>
        <w:t>强制性清洁生产审核服务项目</w:t>
      </w:r>
    </w:p>
    <w:p w14:paraId="27D67360">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firstLineChars="200"/>
        <w:jc w:val="both"/>
        <w:rPr>
          <w:rFonts w:hint="eastAsia"/>
          <w:highlight w:val="none"/>
        </w:rPr>
      </w:pPr>
      <w:r>
        <w:rPr>
          <w:rFonts w:hint="eastAsia"/>
          <w:highlight w:val="none"/>
          <w:shd w:val="clear" w:color="auto" w:fill="FFFFFF"/>
          <w:lang w:eastAsia="zh-CN"/>
        </w:rPr>
        <w:t>采购方</w:t>
      </w:r>
      <w:r>
        <w:rPr>
          <w:rFonts w:hint="eastAsia"/>
          <w:highlight w:val="none"/>
          <w:shd w:val="clear" w:color="auto" w:fill="FFFFFF"/>
        </w:rPr>
        <w:t>式：竞争性磋商</w:t>
      </w:r>
    </w:p>
    <w:p w14:paraId="0E33EFAF">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firstLineChars="200"/>
        <w:jc w:val="both"/>
        <w:rPr>
          <w:rFonts w:hint="eastAsia"/>
          <w:highlight w:val="none"/>
        </w:rPr>
      </w:pPr>
      <w:r>
        <w:rPr>
          <w:rFonts w:hint="eastAsia"/>
          <w:highlight w:val="none"/>
          <w:shd w:val="clear" w:color="auto" w:fill="FFFFFF"/>
        </w:rPr>
        <w:t>预算金额：</w:t>
      </w:r>
      <w:r>
        <w:rPr>
          <w:rFonts w:hint="eastAsia"/>
          <w:highlight w:val="none"/>
          <w:shd w:val="clear" w:color="auto" w:fill="FFFFFF"/>
          <w:lang w:eastAsia="zh-CN"/>
        </w:rPr>
        <w:t>200000.00</w:t>
      </w:r>
      <w:r>
        <w:rPr>
          <w:rFonts w:hint="eastAsia"/>
          <w:highlight w:val="none"/>
          <w:shd w:val="clear" w:color="auto" w:fill="FFFFFF"/>
        </w:rPr>
        <w:t>元</w:t>
      </w:r>
    </w:p>
    <w:p w14:paraId="1120FEF7">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firstLineChars="200"/>
        <w:jc w:val="both"/>
        <w:rPr>
          <w:rFonts w:hint="eastAsia"/>
          <w:highlight w:val="none"/>
        </w:rPr>
      </w:pPr>
      <w:r>
        <w:rPr>
          <w:rFonts w:hint="eastAsia"/>
          <w:highlight w:val="none"/>
          <w:shd w:val="clear" w:color="auto" w:fill="FFFFFF"/>
        </w:rPr>
        <w:t>采购需求：</w:t>
      </w:r>
    </w:p>
    <w:p w14:paraId="4135FD0E">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firstLineChars="200"/>
        <w:jc w:val="both"/>
        <w:rPr>
          <w:rFonts w:hint="eastAsia"/>
          <w:highlight w:val="none"/>
          <w:shd w:val="clear" w:color="auto" w:fill="FFFFFF"/>
        </w:rPr>
      </w:pPr>
      <w:r>
        <w:rPr>
          <w:rFonts w:hint="eastAsia"/>
          <w:highlight w:val="none"/>
          <w:shd w:val="clear" w:color="auto" w:fill="FFFFFF"/>
        </w:rPr>
        <w:t>合同包1(</w:t>
      </w:r>
      <w:r>
        <w:rPr>
          <w:rFonts w:hint="eastAsia"/>
          <w:highlight w:val="none"/>
          <w:shd w:val="clear" w:color="auto" w:fill="FFFFFF"/>
          <w:lang w:val="en-US" w:eastAsia="zh-CN"/>
        </w:rPr>
        <w:t>强制性清洁生产审核服务项目</w:t>
      </w:r>
      <w:r>
        <w:rPr>
          <w:rFonts w:hint="eastAsia"/>
          <w:highlight w:val="none"/>
          <w:shd w:val="clear" w:color="auto" w:fill="FFFFFF"/>
        </w:rPr>
        <w:t>)：</w:t>
      </w:r>
    </w:p>
    <w:p w14:paraId="3ED9F120">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firstLineChars="200"/>
        <w:jc w:val="both"/>
        <w:rPr>
          <w:rFonts w:hint="eastAsia"/>
          <w:highlight w:val="none"/>
          <w:shd w:val="clear" w:color="auto" w:fill="FFFFFF"/>
        </w:rPr>
      </w:pPr>
      <w:r>
        <w:rPr>
          <w:rFonts w:hint="eastAsia"/>
          <w:highlight w:val="none"/>
          <w:shd w:val="clear" w:color="auto" w:fill="FFFFFF"/>
        </w:rPr>
        <w:t>合同包预算金额：</w:t>
      </w:r>
      <w:r>
        <w:rPr>
          <w:rFonts w:hint="eastAsia"/>
          <w:highlight w:val="none"/>
          <w:shd w:val="clear" w:color="auto" w:fill="FFFFFF"/>
          <w:lang w:eastAsia="zh-CN"/>
        </w:rPr>
        <w:t>200000.00</w:t>
      </w:r>
      <w:r>
        <w:rPr>
          <w:rFonts w:hint="eastAsia"/>
          <w:highlight w:val="none"/>
          <w:shd w:val="clear" w:color="auto" w:fill="FFFFFF"/>
        </w:rPr>
        <w:t>元</w:t>
      </w:r>
    </w:p>
    <w:p w14:paraId="3A196F2C">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firstLineChars="200"/>
        <w:jc w:val="both"/>
        <w:rPr>
          <w:rFonts w:hint="default" w:eastAsia="宋体"/>
          <w:highlight w:val="none"/>
          <w:lang w:val="en-US" w:eastAsia="zh-CN"/>
        </w:rPr>
      </w:pPr>
      <w:r>
        <w:rPr>
          <w:rFonts w:hint="eastAsia"/>
          <w:highlight w:val="none"/>
          <w:shd w:val="clear" w:color="auto" w:fill="FFFFFF"/>
        </w:rPr>
        <w:t>合同包最高限价：</w:t>
      </w:r>
      <w:r>
        <w:rPr>
          <w:rFonts w:hint="eastAsia"/>
          <w:highlight w:val="none"/>
          <w:shd w:val="clear" w:color="auto" w:fill="FFFFFF"/>
          <w:lang w:eastAsia="zh-CN"/>
        </w:rPr>
        <w:t>100000.00</w:t>
      </w:r>
      <w:r>
        <w:rPr>
          <w:highlight w:val="none"/>
        </w:rPr>
        <w:t>元</w:t>
      </w:r>
    </w:p>
    <w:tbl>
      <w:tblPr>
        <w:tblStyle w:val="39"/>
        <w:tblW w:w="845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024"/>
        <w:gridCol w:w="1457"/>
        <w:gridCol w:w="1709"/>
        <w:gridCol w:w="1235"/>
        <w:gridCol w:w="1593"/>
        <w:gridCol w:w="1439"/>
      </w:tblGrid>
      <w:tr w14:paraId="3B269B0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87" w:hRule="atLeast"/>
          <w:tblHeader/>
          <w:jc w:val="center"/>
        </w:trPr>
        <w:tc>
          <w:tcPr>
            <w:tcW w:w="102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83B5A3">
            <w:pPr>
              <w:keepNext w:val="0"/>
              <w:keepLines w:val="0"/>
              <w:pageBreakBefore w:val="0"/>
              <w:widowControl/>
              <w:kinsoku/>
              <w:wordWrap w:val="0"/>
              <w:overflowPunct/>
              <w:topLinePunct w:val="0"/>
              <w:autoSpaceDE/>
              <w:autoSpaceDN/>
              <w:bidi w:val="0"/>
              <w:adjustRightInd w:val="0"/>
              <w:snapToGrid w:val="0"/>
              <w:spacing w:line="360" w:lineRule="auto"/>
              <w:ind w:firstLine="0" w:firstLineChars="0"/>
              <w:jc w:val="center"/>
              <w:rPr>
                <w:rFonts w:hint="eastAsia" w:ascii="宋体" w:hAnsi="宋体" w:cs="宋体"/>
                <w:b/>
                <w:bCs/>
                <w:sz w:val="24"/>
                <w:szCs w:val="24"/>
                <w:highlight w:val="none"/>
              </w:rPr>
            </w:pPr>
            <w:r>
              <w:rPr>
                <w:rFonts w:hint="eastAsia" w:ascii="宋体" w:hAnsi="宋体" w:cs="宋体"/>
                <w:b/>
                <w:bCs/>
                <w:sz w:val="24"/>
                <w:szCs w:val="24"/>
                <w:highlight w:val="none"/>
              </w:rPr>
              <w:t>品目号</w:t>
            </w:r>
          </w:p>
        </w:tc>
        <w:tc>
          <w:tcPr>
            <w:tcW w:w="145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A8C44F">
            <w:pPr>
              <w:keepNext w:val="0"/>
              <w:keepLines w:val="0"/>
              <w:pageBreakBefore w:val="0"/>
              <w:widowControl/>
              <w:kinsoku/>
              <w:wordWrap w:val="0"/>
              <w:overflowPunct/>
              <w:topLinePunct w:val="0"/>
              <w:autoSpaceDE/>
              <w:autoSpaceDN/>
              <w:bidi w:val="0"/>
              <w:adjustRightInd w:val="0"/>
              <w:snapToGrid w:val="0"/>
              <w:spacing w:line="360" w:lineRule="auto"/>
              <w:ind w:firstLine="0" w:firstLineChars="0"/>
              <w:jc w:val="center"/>
              <w:rPr>
                <w:rFonts w:hint="eastAsia" w:ascii="宋体" w:hAnsi="宋体" w:cs="宋体"/>
                <w:b/>
                <w:bCs/>
                <w:sz w:val="24"/>
                <w:szCs w:val="24"/>
                <w:highlight w:val="none"/>
              </w:rPr>
            </w:pPr>
            <w:r>
              <w:rPr>
                <w:rFonts w:hint="eastAsia" w:ascii="宋体" w:hAnsi="宋体" w:cs="宋体"/>
                <w:b/>
                <w:bCs/>
                <w:sz w:val="24"/>
                <w:szCs w:val="24"/>
                <w:highlight w:val="none"/>
              </w:rPr>
              <w:t>品目名称</w:t>
            </w:r>
          </w:p>
        </w:tc>
        <w:tc>
          <w:tcPr>
            <w:tcW w:w="170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9F89BC">
            <w:pPr>
              <w:keepNext w:val="0"/>
              <w:keepLines w:val="0"/>
              <w:pageBreakBefore w:val="0"/>
              <w:widowControl/>
              <w:kinsoku/>
              <w:wordWrap w:val="0"/>
              <w:overflowPunct/>
              <w:topLinePunct w:val="0"/>
              <w:autoSpaceDE/>
              <w:autoSpaceDN/>
              <w:bidi w:val="0"/>
              <w:adjustRightInd w:val="0"/>
              <w:snapToGrid w:val="0"/>
              <w:spacing w:line="360" w:lineRule="auto"/>
              <w:ind w:firstLine="0" w:firstLineChars="0"/>
              <w:jc w:val="center"/>
              <w:rPr>
                <w:rFonts w:hint="eastAsia" w:ascii="宋体" w:hAnsi="宋体" w:cs="宋体"/>
                <w:b/>
                <w:bCs/>
                <w:sz w:val="24"/>
                <w:szCs w:val="24"/>
                <w:highlight w:val="none"/>
              </w:rPr>
            </w:pPr>
            <w:r>
              <w:rPr>
                <w:rFonts w:hint="eastAsia" w:ascii="宋体" w:hAnsi="宋体" w:cs="宋体"/>
                <w:b/>
                <w:bCs/>
                <w:sz w:val="24"/>
                <w:szCs w:val="24"/>
                <w:highlight w:val="none"/>
              </w:rPr>
              <w:t>采购标的</w:t>
            </w:r>
          </w:p>
        </w:tc>
        <w:tc>
          <w:tcPr>
            <w:tcW w:w="123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D52EE4">
            <w:pPr>
              <w:keepNext w:val="0"/>
              <w:keepLines w:val="0"/>
              <w:pageBreakBefore w:val="0"/>
              <w:widowControl/>
              <w:kinsoku/>
              <w:wordWrap w:val="0"/>
              <w:overflowPunct/>
              <w:topLinePunct w:val="0"/>
              <w:autoSpaceDE/>
              <w:autoSpaceDN/>
              <w:bidi w:val="0"/>
              <w:adjustRightInd w:val="0"/>
              <w:snapToGrid w:val="0"/>
              <w:spacing w:line="360" w:lineRule="auto"/>
              <w:ind w:firstLine="0" w:firstLineChars="0"/>
              <w:jc w:val="center"/>
              <w:rPr>
                <w:rFonts w:hint="eastAsia" w:ascii="宋体" w:hAnsi="宋体" w:cs="宋体"/>
                <w:b/>
                <w:bCs/>
                <w:sz w:val="24"/>
                <w:szCs w:val="24"/>
                <w:highlight w:val="none"/>
              </w:rPr>
            </w:pPr>
            <w:r>
              <w:rPr>
                <w:rFonts w:hint="eastAsia" w:ascii="宋体" w:hAnsi="宋体" w:cs="宋体"/>
                <w:b/>
                <w:bCs/>
                <w:sz w:val="24"/>
                <w:szCs w:val="24"/>
                <w:highlight w:val="none"/>
              </w:rPr>
              <w:t>数量</w:t>
            </w:r>
          </w:p>
          <w:p w14:paraId="60CE18D4">
            <w:pPr>
              <w:keepNext w:val="0"/>
              <w:keepLines w:val="0"/>
              <w:pageBreakBefore w:val="0"/>
              <w:widowControl/>
              <w:kinsoku/>
              <w:wordWrap w:val="0"/>
              <w:overflowPunct/>
              <w:topLinePunct w:val="0"/>
              <w:autoSpaceDE/>
              <w:autoSpaceDN/>
              <w:bidi w:val="0"/>
              <w:adjustRightInd w:val="0"/>
              <w:snapToGrid w:val="0"/>
              <w:spacing w:line="360" w:lineRule="auto"/>
              <w:ind w:firstLine="0" w:firstLineChars="0"/>
              <w:jc w:val="center"/>
              <w:rPr>
                <w:rFonts w:hint="eastAsia" w:ascii="宋体" w:hAnsi="宋体" w:cs="宋体"/>
                <w:b/>
                <w:bCs/>
                <w:sz w:val="24"/>
                <w:szCs w:val="24"/>
                <w:highlight w:val="none"/>
              </w:rPr>
            </w:pPr>
            <w:r>
              <w:rPr>
                <w:rFonts w:hint="eastAsia" w:ascii="宋体" w:hAnsi="宋体" w:cs="宋体"/>
                <w:b/>
                <w:bCs/>
                <w:sz w:val="24"/>
                <w:szCs w:val="24"/>
                <w:highlight w:val="none"/>
              </w:rPr>
              <w:t>（单位）</w:t>
            </w:r>
          </w:p>
        </w:tc>
        <w:tc>
          <w:tcPr>
            <w:tcW w:w="15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77BBF5">
            <w:pPr>
              <w:keepNext w:val="0"/>
              <w:keepLines w:val="0"/>
              <w:pageBreakBefore w:val="0"/>
              <w:widowControl/>
              <w:kinsoku/>
              <w:wordWrap w:val="0"/>
              <w:overflowPunct/>
              <w:topLinePunct w:val="0"/>
              <w:autoSpaceDE/>
              <w:autoSpaceDN/>
              <w:bidi w:val="0"/>
              <w:adjustRightInd w:val="0"/>
              <w:snapToGrid w:val="0"/>
              <w:spacing w:line="360" w:lineRule="auto"/>
              <w:ind w:firstLine="0" w:firstLineChars="0"/>
              <w:jc w:val="center"/>
              <w:rPr>
                <w:rFonts w:hint="eastAsia" w:ascii="宋体" w:hAnsi="宋体" w:cs="宋体"/>
                <w:b/>
                <w:bCs/>
                <w:sz w:val="24"/>
                <w:szCs w:val="24"/>
                <w:highlight w:val="none"/>
              </w:rPr>
            </w:pPr>
            <w:r>
              <w:rPr>
                <w:rFonts w:hint="eastAsia" w:ascii="宋体" w:hAnsi="宋体" w:cs="宋体"/>
                <w:b/>
                <w:bCs/>
                <w:sz w:val="24"/>
                <w:szCs w:val="24"/>
                <w:highlight w:val="none"/>
              </w:rPr>
              <w:t>技术规格、</w:t>
            </w:r>
          </w:p>
          <w:p w14:paraId="4C863021">
            <w:pPr>
              <w:keepNext w:val="0"/>
              <w:keepLines w:val="0"/>
              <w:pageBreakBefore w:val="0"/>
              <w:widowControl/>
              <w:kinsoku/>
              <w:wordWrap w:val="0"/>
              <w:overflowPunct/>
              <w:topLinePunct w:val="0"/>
              <w:autoSpaceDE/>
              <w:autoSpaceDN/>
              <w:bidi w:val="0"/>
              <w:adjustRightInd w:val="0"/>
              <w:snapToGrid w:val="0"/>
              <w:spacing w:line="360" w:lineRule="auto"/>
              <w:ind w:firstLine="0" w:firstLineChars="0"/>
              <w:jc w:val="center"/>
              <w:rPr>
                <w:rFonts w:hint="eastAsia" w:ascii="宋体" w:hAnsi="宋体" w:cs="宋体"/>
                <w:b/>
                <w:bCs/>
                <w:sz w:val="24"/>
                <w:szCs w:val="24"/>
                <w:highlight w:val="none"/>
              </w:rPr>
            </w:pPr>
            <w:r>
              <w:rPr>
                <w:rFonts w:hint="eastAsia" w:ascii="宋体" w:hAnsi="宋体" w:cs="宋体"/>
                <w:b/>
                <w:bCs/>
                <w:sz w:val="24"/>
                <w:szCs w:val="24"/>
                <w:highlight w:val="none"/>
              </w:rPr>
              <w:t>参数及要求</w:t>
            </w:r>
          </w:p>
        </w:tc>
        <w:tc>
          <w:tcPr>
            <w:tcW w:w="143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45A6198">
            <w:pPr>
              <w:keepNext w:val="0"/>
              <w:keepLines w:val="0"/>
              <w:pageBreakBefore w:val="0"/>
              <w:widowControl/>
              <w:kinsoku/>
              <w:wordWrap w:val="0"/>
              <w:overflowPunct/>
              <w:topLinePunct w:val="0"/>
              <w:autoSpaceDE/>
              <w:autoSpaceDN/>
              <w:bidi w:val="0"/>
              <w:adjustRightInd w:val="0"/>
              <w:snapToGrid w:val="0"/>
              <w:spacing w:line="360" w:lineRule="auto"/>
              <w:ind w:firstLine="0" w:firstLineChars="0"/>
              <w:jc w:val="center"/>
              <w:rPr>
                <w:rFonts w:hint="eastAsia" w:ascii="宋体" w:hAnsi="宋体" w:cs="宋体"/>
                <w:b/>
                <w:bCs/>
                <w:sz w:val="24"/>
                <w:szCs w:val="24"/>
                <w:highlight w:val="none"/>
              </w:rPr>
            </w:pPr>
            <w:r>
              <w:rPr>
                <w:rFonts w:hint="eastAsia" w:ascii="宋体" w:hAnsi="宋体" w:cs="宋体"/>
                <w:b/>
                <w:bCs/>
                <w:sz w:val="24"/>
                <w:szCs w:val="24"/>
                <w:highlight w:val="none"/>
              </w:rPr>
              <w:t>品目预算(元)</w:t>
            </w:r>
          </w:p>
        </w:tc>
      </w:tr>
      <w:tr w14:paraId="7D996A3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32" w:hRule="atLeast"/>
          <w:jc w:val="center"/>
        </w:trPr>
        <w:tc>
          <w:tcPr>
            <w:tcW w:w="102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08C9A5">
            <w:pPr>
              <w:keepNext w:val="0"/>
              <w:keepLines w:val="0"/>
              <w:pageBreakBefore w:val="0"/>
              <w:widowControl/>
              <w:kinsoku/>
              <w:wordWrap w:val="0"/>
              <w:overflowPunct/>
              <w:topLinePunct w:val="0"/>
              <w:autoSpaceDE/>
              <w:autoSpaceDN/>
              <w:bidi w:val="0"/>
              <w:adjustRightInd w:val="0"/>
              <w:snapToGrid w:val="0"/>
              <w:spacing w:line="360" w:lineRule="auto"/>
              <w:ind w:firstLine="0" w:firstLineChars="0"/>
              <w:jc w:val="center"/>
              <w:rPr>
                <w:rFonts w:hint="eastAsia" w:ascii="宋体" w:hAnsi="宋体" w:cs="宋体"/>
                <w:sz w:val="24"/>
                <w:szCs w:val="24"/>
                <w:highlight w:val="none"/>
              </w:rPr>
            </w:pPr>
            <w:r>
              <w:rPr>
                <w:rFonts w:hint="eastAsia" w:ascii="宋体" w:hAnsi="宋体" w:cs="宋体"/>
                <w:sz w:val="24"/>
                <w:szCs w:val="24"/>
                <w:highlight w:val="none"/>
              </w:rPr>
              <w:t>1-1</w:t>
            </w:r>
          </w:p>
        </w:tc>
        <w:tc>
          <w:tcPr>
            <w:tcW w:w="145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D597EF7">
            <w:pPr>
              <w:keepNext w:val="0"/>
              <w:keepLines w:val="0"/>
              <w:pageBreakBefore w:val="0"/>
              <w:widowControl/>
              <w:kinsoku/>
              <w:wordWrap w:val="0"/>
              <w:overflowPunct/>
              <w:topLinePunct w:val="0"/>
              <w:autoSpaceDE/>
              <w:autoSpaceDN/>
              <w:bidi w:val="0"/>
              <w:adjustRightInd w:val="0"/>
              <w:snapToGrid w:val="0"/>
              <w:spacing w:line="360" w:lineRule="auto"/>
              <w:ind w:firstLine="0" w:firstLine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技术测试和分析服务</w:t>
            </w:r>
          </w:p>
        </w:tc>
        <w:tc>
          <w:tcPr>
            <w:tcW w:w="170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8127DE0">
            <w:pPr>
              <w:keepNext w:val="0"/>
              <w:keepLines w:val="0"/>
              <w:pageBreakBefore w:val="0"/>
              <w:widowControl/>
              <w:kinsoku/>
              <w:wordWrap w:val="0"/>
              <w:overflowPunct/>
              <w:topLinePunct w:val="0"/>
              <w:autoSpaceDE/>
              <w:autoSpaceDN/>
              <w:bidi w:val="0"/>
              <w:adjustRightInd w:val="0"/>
              <w:snapToGrid w:val="0"/>
              <w:spacing w:line="360" w:lineRule="auto"/>
              <w:ind w:firstLine="0" w:firstLine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强制性清洁生产审核服务项目</w:t>
            </w:r>
          </w:p>
        </w:tc>
        <w:tc>
          <w:tcPr>
            <w:tcW w:w="123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8343DA">
            <w:pPr>
              <w:keepNext w:val="0"/>
              <w:keepLines w:val="0"/>
              <w:pageBreakBefore w:val="0"/>
              <w:widowControl/>
              <w:kinsoku/>
              <w:wordWrap w:val="0"/>
              <w:overflowPunct/>
              <w:topLinePunct w:val="0"/>
              <w:autoSpaceDE/>
              <w:autoSpaceDN/>
              <w:bidi w:val="0"/>
              <w:adjustRightInd w:val="0"/>
              <w:snapToGrid w:val="0"/>
              <w:spacing w:line="360" w:lineRule="auto"/>
              <w:ind w:firstLine="0" w:firstLineChars="0"/>
              <w:jc w:val="center"/>
              <w:rPr>
                <w:rFonts w:ascii="宋体" w:hAnsi="宋体" w:cs="宋体"/>
                <w:sz w:val="24"/>
                <w:szCs w:val="24"/>
                <w:highlight w:val="none"/>
              </w:rPr>
            </w:pPr>
            <w:r>
              <w:rPr>
                <w:rFonts w:hint="eastAsia" w:ascii="宋体" w:hAnsi="宋体" w:cs="宋体"/>
                <w:sz w:val="24"/>
                <w:szCs w:val="24"/>
                <w:highlight w:val="none"/>
                <w:shd w:val="clear" w:color="auto" w:fill="FFFFFF"/>
              </w:rPr>
              <w:t>1（项）</w:t>
            </w:r>
          </w:p>
        </w:tc>
        <w:tc>
          <w:tcPr>
            <w:tcW w:w="15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DDEE10A">
            <w:pPr>
              <w:keepNext w:val="0"/>
              <w:keepLines w:val="0"/>
              <w:pageBreakBefore w:val="0"/>
              <w:widowControl/>
              <w:kinsoku/>
              <w:wordWrap w:val="0"/>
              <w:overflowPunct/>
              <w:topLinePunct w:val="0"/>
              <w:autoSpaceDE/>
              <w:autoSpaceDN/>
              <w:bidi w:val="0"/>
              <w:adjustRightInd w:val="0"/>
              <w:snapToGrid w:val="0"/>
              <w:spacing w:line="360" w:lineRule="auto"/>
              <w:ind w:firstLine="0" w:firstLineChars="0"/>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详见采购</w:t>
            </w:r>
          </w:p>
          <w:p w14:paraId="04C2E6CB">
            <w:pPr>
              <w:keepNext w:val="0"/>
              <w:keepLines w:val="0"/>
              <w:pageBreakBefore w:val="0"/>
              <w:widowControl/>
              <w:kinsoku/>
              <w:wordWrap w:val="0"/>
              <w:overflowPunct/>
              <w:topLinePunct w:val="0"/>
              <w:autoSpaceDE/>
              <w:autoSpaceDN/>
              <w:bidi w:val="0"/>
              <w:adjustRightInd w:val="0"/>
              <w:snapToGrid w:val="0"/>
              <w:spacing w:line="360" w:lineRule="auto"/>
              <w:ind w:firstLine="0" w:firstLineChars="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文件</w:t>
            </w:r>
          </w:p>
        </w:tc>
        <w:tc>
          <w:tcPr>
            <w:tcW w:w="143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5C38AA">
            <w:pPr>
              <w:keepNext w:val="0"/>
              <w:keepLines w:val="0"/>
              <w:pageBreakBefore w:val="0"/>
              <w:widowControl/>
              <w:kinsoku/>
              <w:wordWrap w:val="0"/>
              <w:overflowPunct/>
              <w:topLinePunct w:val="0"/>
              <w:autoSpaceDE/>
              <w:autoSpaceDN/>
              <w:bidi w:val="0"/>
              <w:adjustRightInd w:val="0"/>
              <w:snapToGrid w:val="0"/>
              <w:spacing w:line="360" w:lineRule="auto"/>
              <w:ind w:firstLine="0" w:firstLineChars="0"/>
              <w:jc w:val="center"/>
              <w:rPr>
                <w:rFonts w:hint="default" w:ascii="宋体" w:hAnsi="宋体" w:eastAsia="宋体" w:cs="宋体"/>
                <w:sz w:val="24"/>
                <w:szCs w:val="24"/>
                <w:highlight w:val="none"/>
                <w:u w:val="single"/>
                <w:lang w:val="en-US" w:eastAsia="zh-CN"/>
              </w:rPr>
            </w:pPr>
            <w:r>
              <w:rPr>
                <w:rFonts w:hint="eastAsia" w:ascii="宋体" w:hAnsi="宋体" w:cs="宋体"/>
                <w:sz w:val="24"/>
                <w:szCs w:val="24"/>
                <w:highlight w:val="none"/>
                <w:u w:val="none"/>
                <w:lang w:eastAsia="zh-CN"/>
              </w:rPr>
              <w:t>200000.00</w:t>
            </w:r>
          </w:p>
        </w:tc>
      </w:tr>
    </w:tbl>
    <w:p w14:paraId="534B2D68">
      <w:pPr>
        <w:keepNext w:val="0"/>
        <w:keepLines w:val="0"/>
        <w:pageBreakBefore w:val="0"/>
        <w:kinsoku/>
        <w:wordWrap w:val="0"/>
        <w:overflowPunct/>
        <w:topLinePunct w:val="0"/>
        <w:autoSpaceDE/>
        <w:autoSpaceDN/>
        <w:bidi w:val="0"/>
        <w:adjustRightInd w:val="0"/>
        <w:snapToGrid w:val="0"/>
        <w:spacing w:line="348" w:lineRule="auto"/>
        <w:ind w:firstLine="480" w:firstLineChars="200"/>
        <w:textAlignment w:val="auto"/>
        <w:rPr>
          <w:rStyle w:val="42"/>
          <w:rFonts w:ascii="Times New Roman" w:hAnsi="Times New Roman" w:eastAsia="宋体" w:cs="宋体"/>
          <w:b w:val="0"/>
          <w:bCs/>
          <w:sz w:val="24"/>
          <w:szCs w:val="24"/>
          <w:highlight w:val="none"/>
          <w:shd w:val="clear" w:color="auto" w:fill="FFFFFF"/>
        </w:rPr>
      </w:pPr>
      <w:r>
        <w:rPr>
          <w:rStyle w:val="42"/>
          <w:rFonts w:ascii="Times New Roman" w:hAnsi="Times New Roman" w:eastAsia="宋体" w:cs="宋体"/>
          <w:b w:val="0"/>
          <w:bCs/>
          <w:sz w:val="24"/>
          <w:szCs w:val="24"/>
          <w:highlight w:val="none"/>
          <w:shd w:val="clear" w:color="auto" w:fill="FFFFFF"/>
        </w:rPr>
        <w:t>本合同包</w:t>
      </w:r>
      <w:r>
        <w:rPr>
          <w:rStyle w:val="42"/>
          <w:rFonts w:hint="eastAsia" w:ascii="Times New Roman" w:hAnsi="Times New Roman" w:eastAsia="宋体" w:cs="宋体"/>
          <w:b w:val="0"/>
          <w:bCs/>
          <w:sz w:val="24"/>
          <w:szCs w:val="24"/>
          <w:highlight w:val="none"/>
          <w:shd w:val="clear" w:color="auto" w:fill="FFFFFF"/>
        </w:rPr>
        <w:t>不接受联合体投标</w:t>
      </w:r>
    </w:p>
    <w:p w14:paraId="26776690">
      <w:pPr>
        <w:keepNext w:val="0"/>
        <w:keepLines w:val="0"/>
        <w:pageBreakBefore w:val="0"/>
        <w:kinsoku/>
        <w:wordWrap w:val="0"/>
        <w:overflowPunct/>
        <w:topLinePunct w:val="0"/>
        <w:autoSpaceDE/>
        <w:autoSpaceDN/>
        <w:bidi w:val="0"/>
        <w:adjustRightInd w:val="0"/>
        <w:snapToGrid w:val="0"/>
        <w:spacing w:line="348" w:lineRule="auto"/>
        <w:ind w:firstLine="480" w:firstLineChars="200"/>
        <w:textAlignment w:val="auto"/>
        <w:rPr>
          <w:rStyle w:val="42"/>
          <w:rFonts w:hint="eastAsia" w:ascii="Times New Roman" w:hAnsi="Times New Roman" w:eastAsia="宋体" w:cs="宋体"/>
          <w:b w:val="0"/>
          <w:bCs/>
          <w:sz w:val="24"/>
          <w:szCs w:val="24"/>
          <w:highlight w:val="none"/>
          <w:shd w:val="clear" w:color="auto" w:fill="FFFFFF"/>
          <w:lang w:eastAsia="zh-CN"/>
        </w:rPr>
      </w:pPr>
      <w:r>
        <w:rPr>
          <w:rStyle w:val="42"/>
          <w:rFonts w:hint="eastAsia" w:ascii="Times New Roman" w:hAnsi="Times New Roman" w:eastAsia="宋体" w:cs="宋体"/>
          <w:b w:val="0"/>
          <w:bCs/>
          <w:sz w:val="24"/>
          <w:szCs w:val="24"/>
          <w:highlight w:val="none"/>
          <w:shd w:val="clear" w:color="auto" w:fill="FFFFFF"/>
        </w:rPr>
        <w:t>合同履行期限：详见采购文件</w:t>
      </w:r>
      <w:r>
        <w:rPr>
          <w:rStyle w:val="42"/>
          <w:rFonts w:hint="eastAsia" w:cs="宋体"/>
          <w:b w:val="0"/>
          <w:bCs/>
          <w:sz w:val="24"/>
          <w:szCs w:val="24"/>
          <w:highlight w:val="none"/>
          <w:shd w:val="clear" w:color="auto" w:fill="FFFFFF"/>
          <w:lang w:eastAsia="zh-CN"/>
        </w:rPr>
        <w:t>。</w:t>
      </w:r>
    </w:p>
    <w:p w14:paraId="521B043B">
      <w:pPr>
        <w:keepNext w:val="0"/>
        <w:keepLines w:val="0"/>
        <w:pageBreakBefore w:val="0"/>
        <w:kinsoku/>
        <w:wordWrap w:val="0"/>
        <w:overflowPunct/>
        <w:topLinePunct w:val="0"/>
        <w:autoSpaceDE/>
        <w:autoSpaceDN/>
        <w:bidi w:val="0"/>
        <w:adjustRightInd w:val="0"/>
        <w:snapToGrid w:val="0"/>
        <w:spacing w:line="348" w:lineRule="auto"/>
        <w:ind w:firstLine="482" w:firstLineChars="200"/>
        <w:textAlignment w:val="auto"/>
        <w:rPr>
          <w:rStyle w:val="42"/>
          <w:rFonts w:ascii="Times New Roman" w:hAnsi="Times New Roman" w:eastAsia="宋体" w:cs="宋体"/>
          <w:sz w:val="24"/>
          <w:szCs w:val="24"/>
          <w:highlight w:val="none"/>
          <w:shd w:val="clear" w:color="auto" w:fill="FFFFFF"/>
        </w:rPr>
      </w:pPr>
      <w:r>
        <w:rPr>
          <w:rStyle w:val="42"/>
          <w:rFonts w:ascii="Times New Roman" w:hAnsi="Times New Roman" w:eastAsia="宋体" w:cs="宋体"/>
          <w:sz w:val="24"/>
          <w:szCs w:val="24"/>
          <w:highlight w:val="none"/>
          <w:shd w:val="clear" w:color="auto" w:fill="FFFFFF"/>
        </w:rPr>
        <w:t>二、</w:t>
      </w:r>
      <w:r>
        <w:rPr>
          <w:rStyle w:val="42"/>
          <w:rFonts w:hint="eastAsia" w:ascii="Times New Roman" w:hAnsi="Times New Roman" w:eastAsia="宋体" w:cs="宋体"/>
          <w:sz w:val="24"/>
          <w:szCs w:val="24"/>
          <w:highlight w:val="none"/>
          <w:shd w:val="clear" w:color="auto" w:fill="FFFFFF"/>
          <w:lang w:eastAsia="zh-CN"/>
        </w:rPr>
        <w:t>供应商</w:t>
      </w:r>
      <w:r>
        <w:rPr>
          <w:rStyle w:val="42"/>
          <w:rFonts w:ascii="Times New Roman" w:hAnsi="Times New Roman" w:eastAsia="宋体" w:cs="宋体"/>
          <w:sz w:val="24"/>
          <w:szCs w:val="24"/>
          <w:highlight w:val="none"/>
          <w:shd w:val="clear" w:color="auto" w:fill="FFFFFF"/>
        </w:rPr>
        <w:t>的资格要求：</w:t>
      </w:r>
    </w:p>
    <w:p w14:paraId="281B8F08">
      <w:pPr>
        <w:keepNext w:val="0"/>
        <w:keepLines w:val="0"/>
        <w:pageBreakBefore w:val="0"/>
        <w:kinsoku/>
        <w:wordWrap w:val="0"/>
        <w:overflowPunct/>
        <w:topLinePunct w:val="0"/>
        <w:autoSpaceDE/>
        <w:autoSpaceDN/>
        <w:bidi w:val="0"/>
        <w:adjustRightInd w:val="0"/>
        <w:snapToGrid w:val="0"/>
        <w:spacing w:line="348"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1.满足《中华人民共和国政府采购法》第二十二条规定；</w:t>
      </w:r>
    </w:p>
    <w:p w14:paraId="76B1B1E2">
      <w:pPr>
        <w:keepNext w:val="0"/>
        <w:keepLines w:val="0"/>
        <w:pageBreakBefore w:val="0"/>
        <w:kinsoku/>
        <w:wordWrap w:val="0"/>
        <w:overflowPunct/>
        <w:topLinePunct w:val="0"/>
        <w:autoSpaceDE/>
        <w:autoSpaceDN/>
        <w:bidi w:val="0"/>
        <w:adjustRightInd w:val="0"/>
        <w:snapToGrid w:val="0"/>
        <w:spacing w:line="348"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2.落实政府采购政策需满足的资格要求：</w:t>
      </w:r>
    </w:p>
    <w:p w14:paraId="4FD07208">
      <w:pPr>
        <w:keepNext w:val="0"/>
        <w:keepLines w:val="0"/>
        <w:pageBreakBefore w:val="0"/>
        <w:kinsoku/>
        <w:wordWrap w:val="0"/>
        <w:overflowPunct/>
        <w:topLinePunct w:val="0"/>
        <w:autoSpaceDE/>
        <w:autoSpaceDN/>
        <w:bidi w:val="0"/>
        <w:adjustRightInd w:val="0"/>
        <w:snapToGrid w:val="0"/>
        <w:spacing w:line="348" w:lineRule="auto"/>
        <w:ind w:firstLine="480" w:firstLineChars="200"/>
        <w:rPr>
          <w:rFonts w:hint="eastAsia" w:ascii="宋体" w:hAnsi="宋体" w:cs="宋体"/>
          <w:sz w:val="24"/>
          <w:szCs w:val="24"/>
          <w:highlight w:val="none"/>
          <w:lang w:eastAsia="zh-CN"/>
        </w:rPr>
      </w:pPr>
      <w:r>
        <w:rPr>
          <w:rFonts w:hint="eastAsia" w:ascii="宋体" w:hAnsi="宋体" w:cs="宋体"/>
          <w:sz w:val="24"/>
          <w:szCs w:val="24"/>
          <w:highlight w:val="none"/>
        </w:rPr>
        <w:t>合同包1(</w:t>
      </w:r>
      <w:r>
        <w:rPr>
          <w:rFonts w:hint="eastAsia" w:ascii="宋体" w:hAnsi="宋体" w:cs="宋体"/>
          <w:sz w:val="24"/>
          <w:highlight w:val="none"/>
          <w:lang w:eastAsia="zh-CN"/>
        </w:rPr>
        <w:t>强制性清洁生产审核服务项目</w:t>
      </w:r>
      <w:r>
        <w:rPr>
          <w:rFonts w:hint="eastAsia" w:ascii="宋体" w:hAnsi="宋体" w:eastAsia="宋体" w:cs="宋体"/>
          <w:sz w:val="24"/>
          <w:szCs w:val="24"/>
          <w:highlight w:val="none"/>
        </w:rPr>
        <w:t>)</w:t>
      </w:r>
      <w:r>
        <w:rPr>
          <w:rFonts w:hint="eastAsia" w:ascii="宋体" w:hAnsi="宋体" w:cs="宋体"/>
          <w:sz w:val="24"/>
          <w:szCs w:val="24"/>
          <w:highlight w:val="none"/>
        </w:rPr>
        <w:t>落实政府采购政策需满足的资格要求如下</w:t>
      </w:r>
      <w:r>
        <w:rPr>
          <w:rFonts w:hint="eastAsia" w:ascii="宋体" w:hAnsi="宋体" w:cs="宋体"/>
          <w:sz w:val="24"/>
          <w:szCs w:val="24"/>
          <w:highlight w:val="none"/>
          <w:lang w:eastAsia="zh-CN"/>
        </w:rPr>
        <w:t>：</w:t>
      </w:r>
    </w:p>
    <w:p w14:paraId="3E43D7D8">
      <w:pPr>
        <w:keepNext w:val="0"/>
        <w:keepLines w:val="0"/>
        <w:pageBreakBefore w:val="0"/>
        <w:kinsoku/>
        <w:wordWrap w:val="0"/>
        <w:overflowPunct/>
        <w:topLinePunct w:val="0"/>
        <w:autoSpaceDE/>
        <w:autoSpaceDN/>
        <w:bidi w:val="0"/>
        <w:adjustRightInd w:val="0"/>
        <w:snapToGrid w:val="0"/>
        <w:spacing w:line="348" w:lineRule="auto"/>
        <w:ind w:firstLine="480" w:firstLineChars="200"/>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cs="宋体"/>
          <w:sz w:val="24"/>
          <w:szCs w:val="24"/>
          <w:highlight w:val="none"/>
          <w:lang w:val="en-US" w:eastAsia="zh-CN"/>
        </w:rPr>
        <w:t>本项目专门面向中小企业</w:t>
      </w:r>
      <w:r>
        <w:rPr>
          <w:rFonts w:ascii="宋体" w:hAnsi="宋体" w:eastAsia="宋体" w:cs="宋体"/>
          <w:b w:val="0"/>
          <w:bCs w:val="0"/>
          <w:color w:val="000000"/>
          <w:sz w:val="24"/>
          <w:highlight w:val="none"/>
        </w:rPr>
        <w:t>。</w:t>
      </w:r>
    </w:p>
    <w:p w14:paraId="481ECAB6">
      <w:pPr>
        <w:keepNext w:val="0"/>
        <w:keepLines w:val="0"/>
        <w:pageBreakBefore w:val="0"/>
        <w:kinsoku/>
        <w:wordWrap w:val="0"/>
        <w:overflowPunct/>
        <w:topLinePunct w:val="0"/>
        <w:autoSpaceDE/>
        <w:autoSpaceDN/>
        <w:bidi w:val="0"/>
        <w:adjustRightInd w:val="0"/>
        <w:snapToGrid w:val="0"/>
        <w:spacing w:line="348" w:lineRule="auto"/>
        <w:ind w:firstLine="480" w:firstLineChars="20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3.本项目的特定资格要求：</w:t>
      </w:r>
    </w:p>
    <w:p w14:paraId="5F2A0A46">
      <w:pPr>
        <w:keepNext w:val="0"/>
        <w:keepLines w:val="0"/>
        <w:pageBreakBefore w:val="0"/>
        <w:kinsoku/>
        <w:wordWrap w:val="0"/>
        <w:overflowPunct/>
        <w:topLinePunct w:val="0"/>
        <w:autoSpaceDE/>
        <w:autoSpaceDN/>
        <w:bidi w:val="0"/>
        <w:adjustRightInd w:val="0"/>
        <w:snapToGrid w:val="0"/>
        <w:spacing w:line="348" w:lineRule="auto"/>
        <w:ind w:firstLine="480" w:firstLineChars="20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合同包1(</w:t>
      </w:r>
      <w:r>
        <w:rPr>
          <w:rFonts w:hint="eastAsia" w:ascii="宋体" w:hAnsi="宋体" w:cs="宋体"/>
          <w:color w:val="000000"/>
          <w:sz w:val="24"/>
          <w:highlight w:val="none"/>
          <w:lang w:eastAsia="zh-CN"/>
        </w:rPr>
        <w:t>强制性清洁生产审核服务项目</w:t>
      </w:r>
      <w:r>
        <w:rPr>
          <w:rFonts w:ascii="宋体" w:hAnsi="宋体" w:eastAsia="宋体" w:cs="宋体"/>
          <w:color w:val="000000"/>
          <w:sz w:val="24"/>
          <w:highlight w:val="none"/>
        </w:rPr>
        <w:t>)特定资格要求如下:</w:t>
      </w:r>
    </w:p>
    <w:p w14:paraId="61CC9B96">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48" w:lineRule="auto"/>
        <w:ind w:firstLine="480" w:firstLineChars="200"/>
        <w:jc w:val="both"/>
        <w:textAlignment w:val="baseline"/>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3.1供应商为向采购人提供服务的法人或其他组织；</w:t>
      </w:r>
    </w:p>
    <w:p w14:paraId="28E4DFFE">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48" w:lineRule="auto"/>
        <w:ind w:firstLine="480" w:firstLineChars="200"/>
        <w:jc w:val="both"/>
        <w:textAlignment w:val="baseline"/>
        <w:rPr>
          <w:rFonts w:hint="eastAsia" w:ascii="宋体" w:hAnsi="宋体" w:eastAsia="宋体" w:cs="宋体"/>
          <w:color w:val="000000"/>
          <w:kern w:val="0"/>
          <w:sz w:val="24"/>
          <w:szCs w:val="24"/>
          <w:highlight w:val="none"/>
          <w:lang w:val="en-US" w:eastAsia="zh-CN" w:bidi="ar-SA"/>
        </w:rPr>
      </w:pPr>
      <w:r>
        <w:rPr>
          <w:rFonts w:hint="eastAsia" w:cs="宋体"/>
          <w:color w:val="000000"/>
          <w:kern w:val="0"/>
          <w:sz w:val="24"/>
          <w:szCs w:val="24"/>
          <w:highlight w:val="none"/>
          <w:lang w:val="en-US" w:eastAsia="zh-CN" w:bidi="ar-SA"/>
        </w:rPr>
        <w:t>3.2供应商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w:t>
      </w:r>
    </w:p>
    <w:p w14:paraId="2102C22C">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48" w:lineRule="auto"/>
        <w:ind w:firstLine="480" w:firstLineChars="200"/>
        <w:jc w:val="both"/>
        <w:textAlignment w:val="baseline"/>
        <w:rPr>
          <w:rFonts w:hint="eastAsia"/>
          <w:color w:val="000000"/>
          <w:highlight w:val="none"/>
          <w:shd w:val="clear" w:color="auto" w:fill="FFFFFF"/>
        </w:rPr>
      </w:pPr>
      <w:r>
        <w:rPr>
          <w:rFonts w:hint="eastAsia" w:cs="宋体"/>
          <w:color w:val="000000"/>
          <w:kern w:val="0"/>
          <w:sz w:val="24"/>
          <w:szCs w:val="24"/>
          <w:highlight w:val="none"/>
          <w:lang w:val="en-US" w:eastAsia="zh-CN" w:bidi="ar-SA"/>
        </w:rPr>
        <w:t>3.3</w:t>
      </w:r>
      <w:r>
        <w:rPr>
          <w:rFonts w:hint="eastAsia"/>
          <w:color w:val="000000"/>
          <w:highlight w:val="none"/>
          <w:shd w:val="clear" w:color="auto" w:fill="FFFFFF"/>
        </w:rPr>
        <w:t>单位负责人为同一人或者存在直接控股、管理关系的不同供应商，不得参加同一合</w:t>
      </w:r>
      <w:r>
        <w:rPr>
          <w:rFonts w:hint="eastAsia"/>
          <w:color w:val="000000"/>
          <w:highlight w:val="none"/>
          <w:shd w:val="clear" w:color="auto" w:fill="FFFFFF"/>
          <w:lang w:eastAsia="zh-CN"/>
        </w:rPr>
        <w:t>同项下的采购活动</w:t>
      </w:r>
      <w:r>
        <w:rPr>
          <w:rFonts w:hint="eastAsia" w:cs="宋体"/>
          <w:color w:val="000000"/>
          <w:kern w:val="0"/>
          <w:sz w:val="24"/>
          <w:szCs w:val="24"/>
          <w:highlight w:val="none"/>
          <w:lang w:val="en-US" w:eastAsia="zh-CN" w:bidi="ar-SA"/>
        </w:rPr>
        <w:t>；</w:t>
      </w:r>
    </w:p>
    <w:p w14:paraId="791D6833">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48" w:lineRule="auto"/>
        <w:ind w:firstLine="482" w:firstLineChars="200"/>
        <w:jc w:val="both"/>
        <w:textAlignment w:val="baseline"/>
        <w:rPr>
          <w:rStyle w:val="42"/>
          <w:rFonts w:ascii="Times New Roman" w:hAnsi="Times New Roman" w:eastAsia="宋体" w:cs="宋体"/>
          <w:sz w:val="24"/>
          <w:szCs w:val="24"/>
          <w:highlight w:val="none"/>
          <w:shd w:val="clear" w:color="auto" w:fill="FFFFFF"/>
        </w:rPr>
      </w:pPr>
      <w:r>
        <w:rPr>
          <w:rStyle w:val="42"/>
          <w:rFonts w:ascii="Times New Roman" w:hAnsi="Times New Roman" w:eastAsia="宋体" w:cs="宋体"/>
          <w:sz w:val="24"/>
          <w:szCs w:val="24"/>
          <w:highlight w:val="none"/>
          <w:shd w:val="clear" w:color="auto" w:fill="FFFFFF"/>
        </w:rPr>
        <w:t>三、获取采购文件</w:t>
      </w:r>
    </w:p>
    <w:p w14:paraId="7F0AB1F3">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48" w:lineRule="auto"/>
        <w:ind w:firstLine="480" w:firstLineChars="200"/>
        <w:jc w:val="both"/>
        <w:rPr>
          <w:rFonts w:hint="eastAsia"/>
          <w:highlight w:val="none"/>
        </w:rPr>
      </w:pPr>
      <w:r>
        <w:rPr>
          <w:rFonts w:hint="eastAsia"/>
          <w:highlight w:val="none"/>
          <w:shd w:val="clear" w:color="auto" w:fill="FFFFFF"/>
        </w:rPr>
        <w:t>时间：</w:t>
      </w:r>
      <w:r>
        <w:rPr>
          <w:rFonts w:hint="eastAsia" w:ascii="宋体" w:hAnsi="宋体" w:cs="宋体"/>
          <w:color w:val="000000"/>
          <w:kern w:val="0"/>
          <w:sz w:val="24"/>
          <w:szCs w:val="24"/>
          <w:highlight w:val="none"/>
        </w:rPr>
        <w:t>2026年</w:t>
      </w:r>
      <w:r>
        <w:rPr>
          <w:rFonts w:hint="eastAsia" w:cs="宋体"/>
          <w:color w:val="000000"/>
          <w:kern w:val="0"/>
          <w:sz w:val="24"/>
          <w:szCs w:val="24"/>
          <w:highlight w:val="none"/>
          <w:u w:val="single"/>
          <w:lang w:val="en-US" w:eastAsia="zh-CN"/>
        </w:rPr>
        <w:t>08</w:t>
      </w:r>
      <w:r>
        <w:rPr>
          <w:rFonts w:hint="eastAsia" w:ascii="宋体" w:hAnsi="宋体" w:cs="宋体"/>
          <w:color w:val="000000"/>
          <w:kern w:val="0"/>
          <w:sz w:val="24"/>
          <w:szCs w:val="24"/>
          <w:highlight w:val="none"/>
        </w:rPr>
        <w:t>月</w:t>
      </w:r>
      <w:r>
        <w:rPr>
          <w:rFonts w:hint="eastAsia" w:cs="宋体"/>
          <w:color w:val="000000"/>
          <w:kern w:val="0"/>
          <w:sz w:val="24"/>
          <w:szCs w:val="24"/>
          <w:highlight w:val="none"/>
          <w:u w:val="single"/>
          <w:lang w:val="en-US" w:eastAsia="zh-CN"/>
        </w:rPr>
        <w:t>14</w:t>
      </w:r>
      <w:r>
        <w:rPr>
          <w:rFonts w:hint="eastAsia" w:ascii="宋体" w:hAnsi="宋体" w:cs="宋体"/>
          <w:color w:val="000000"/>
          <w:kern w:val="0"/>
          <w:sz w:val="24"/>
          <w:szCs w:val="24"/>
          <w:highlight w:val="none"/>
        </w:rPr>
        <w:t>日至2026年</w:t>
      </w:r>
      <w:r>
        <w:rPr>
          <w:rFonts w:hint="eastAsia" w:cs="宋体"/>
          <w:color w:val="000000"/>
          <w:kern w:val="0"/>
          <w:sz w:val="24"/>
          <w:szCs w:val="24"/>
          <w:highlight w:val="none"/>
          <w:u w:val="single"/>
          <w:lang w:val="en-US" w:eastAsia="zh-CN"/>
        </w:rPr>
        <w:t>08</w:t>
      </w:r>
      <w:r>
        <w:rPr>
          <w:rFonts w:hint="eastAsia" w:ascii="宋体" w:hAnsi="宋体" w:cs="宋体"/>
          <w:color w:val="000000"/>
          <w:kern w:val="0"/>
          <w:sz w:val="24"/>
          <w:szCs w:val="24"/>
          <w:highlight w:val="none"/>
        </w:rPr>
        <w:t>月</w:t>
      </w:r>
      <w:r>
        <w:rPr>
          <w:rFonts w:hint="eastAsia" w:cs="宋体"/>
          <w:color w:val="000000"/>
          <w:kern w:val="0"/>
          <w:sz w:val="24"/>
          <w:szCs w:val="24"/>
          <w:highlight w:val="none"/>
          <w:u w:val="single"/>
          <w:lang w:val="en-US" w:eastAsia="zh-CN"/>
        </w:rPr>
        <w:t>20</w:t>
      </w:r>
      <w:r>
        <w:rPr>
          <w:rFonts w:hint="eastAsia" w:ascii="宋体" w:hAnsi="宋体" w:cs="宋体"/>
          <w:color w:val="000000"/>
          <w:kern w:val="0"/>
          <w:sz w:val="24"/>
          <w:szCs w:val="24"/>
          <w:highlight w:val="none"/>
        </w:rPr>
        <w:t>日</w:t>
      </w:r>
      <w:r>
        <w:rPr>
          <w:rFonts w:hint="eastAsia"/>
          <w:highlight w:val="none"/>
          <w:shd w:val="clear" w:color="auto" w:fill="FFFFFF"/>
        </w:rPr>
        <w:t>，每天上午09:00:00至12:00:00，下午14:00:00至17:00:00（北京时间）</w:t>
      </w:r>
    </w:p>
    <w:p w14:paraId="07052441">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48" w:lineRule="auto"/>
        <w:ind w:firstLine="480" w:firstLineChars="200"/>
        <w:jc w:val="both"/>
        <w:rPr>
          <w:rFonts w:hint="eastAsia"/>
          <w:highlight w:val="none"/>
        </w:rPr>
      </w:pPr>
      <w:r>
        <w:rPr>
          <w:rFonts w:hint="eastAsia"/>
          <w:highlight w:val="none"/>
          <w:shd w:val="clear" w:color="auto" w:fill="FFFFFF"/>
        </w:rPr>
        <w:t>途径：陕西省西安市莲湖区高新二路1号招商银行大厦19层</w:t>
      </w:r>
    </w:p>
    <w:p w14:paraId="1D44314A">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48" w:lineRule="auto"/>
        <w:ind w:firstLine="480" w:firstLineChars="200"/>
        <w:jc w:val="both"/>
        <w:rPr>
          <w:rFonts w:hint="eastAsia"/>
          <w:highlight w:val="none"/>
        </w:rPr>
      </w:pPr>
      <w:r>
        <w:rPr>
          <w:rFonts w:hint="eastAsia"/>
          <w:highlight w:val="none"/>
          <w:shd w:val="clear" w:color="auto" w:fill="FFFFFF"/>
        </w:rPr>
        <w:t>方式：现场获取</w:t>
      </w:r>
    </w:p>
    <w:p w14:paraId="7519A8B6">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48" w:lineRule="auto"/>
        <w:ind w:firstLine="480" w:firstLineChars="200"/>
        <w:jc w:val="both"/>
        <w:rPr>
          <w:highlight w:val="none"/>
        </w:rPr>
      </w:pPr>
      <w:r>
        <w:rPr>
          <w:rFonts w:hint="eastAsia"/>
          <w:highlight w:val="none"/>
          <w:shd w:val="clear" w:color="auto" w:fill="FFFFFF"/>
        </w:rPr>
        <w:t>售价：</w:t>
      </w:r>
      <w:r>
        <w:rPr>
          <w:rFonts w:hint="eastAsia" w:ascii="宋体" w:hAnsi="宋体" w:cs="宋体"/>
          <w:color w:val="000000"/>
          <w:kern w:val="0"/>
          <w:sz w:val="24"/>
          <w:szCs w:val="24"/>
          <w:highlight w:val="none"/>
        </w:rPr>
        <w:t>500</w:t>
      </w:r>
      <w:r>
        <w:rPr>
          <w:rFonts w:hint="eastAsia" w:cs="宋体"/>
          <w:color w:val="000000"/>
          <w:kern w:val="0"/>
          <w:sz w:val="24"/>
          <w:szCs w:val="24"/>
          <w:highlight w:val="none"/>
          <w:lang w:val="en-US" w:eastAsia="zh-CN"/>
        </w:rPr>
        <w:t>.00</w:t>
      </w:r>
      <w:r>
        <w:rPr>
          <w:rFonts w:hint="eastAsia"/>
          <w:highlight w:val="none"/>
          <w:shd w:val="clear" w:color="auto" w:fill="FFFFFF"/>
        </w:rPr>
        <w:t>元</w:t>
      </w:r>
    </w:p>
    <w:p w14:paraId="377C4B24">
      <w:pPr>
        <w:keepNext w:val="0"/>
        <w:keepLines w:val="0"/>
        <w:pageBreakBefore w:val="0"/>
        <w:kinsoku/>
        <w:wordWrap w:val="0"/>
        <w:overflowPunct/>
        <w:topLinePunct w:val="0"/>
        <w:autoSpaceDE/>
        <w:autoSpaceDN/>
        <w:bidi w:val="0"/>
        <w:adjustRightInd w:val="0"/>
        <w:snapToGrid w:val="0"/>
        <w:spacing w:line="348" w:lineRule="auto"/>
        <w:ind w:firstLine="482" w:firstLineChars="200"/>
        <w:textAlignment w:val="auto"/>
        <w:rPr>
          <w:rStyle w:val="42"/>
          <w:rFonts w:ascii="Times New Roman" w:hAnsi="Times New Roman" w:eastAsia="宋体" w:cs="宋体"/>
          <w:sz w:val="24"/>
          <w:szCs w:val="24"/>
          <w:highlight w:val="none"/>
          <w:shd w:val="clear" w:color="auto" w:fill="FFFFFF"/>
        </w:rPr>
      </w:pPr>
      <w:r>
        <w:rPr>
          <w:rStyle w:val="42"/>
          <w:rFonts w:hint="eastAsia" w:ascii="Times New Roman" w:hAnsi="Times New Roman" w:eastAsia="宋体" w:cs="宋体"/>
          <w:sz w:val="24"/>
          <w:szCs w:val="24"/>
          <w:highlight w:val="none"/>
          <w:shd w:val="clear" w:color="auto" w:fill="FFFFFF"/>
        </w:rPr>
        <w:t>四、响应文件提交</w:t>
      </w:r>
    </w:p>
    <w:p w14:paraId="2BA14D13">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48" w:lineRule="auto"/>
        <w:ind w:firstLine="480" w:firstLineChars="20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截止时间：</w:t>
      </w:r>
      <w:r>
        <w:rPr>
          <w:rFonts w:hint="eastAsia" w:ascii="宋体" w:hAnsi="宋体" w:cs="宋体"/>
          <w:color w:val="000000"/>
          <w:kern w:val="0"/>
          <w:sz w:val="24"/>
          <w:szCs w:val="24"/>
          <w:highlight w:val="none"/>
        </w:rPr>
        <w:t>2026年</w:t>
      </w:r>
      <w:r>
        <w:rPr>
          <w:rFonts w:hint="eastAsia" w:cs="宋体"/>
          <w:color w:val="000000"/>
          <w:kern w:val="0"/>
          <w:sz w:val="24"/>
          <w:szCs w:val="24"/>
          <w:highlight w:val="none"/>
          <w:u w:val="single"/>
          <w:lang w:val="en-US" w:eastAsia="zh-CN"/>
        </w:rPr>
        <w:t>08</w:t>
      </w:r>
      <w:r>
        <w:rPr>
          <w:rFonts w:hint="eastAsia" w:ascii="宋体" w:hAnsi="宋体" w:cs="宋体"/>
          <w:color w:val="000000"/>
          <w:kern w:val="0"/>
          <w:sz w:val="24"/>
          <w:szCs w:val="24"/>
          <w:highlight w:val="none"/>
        </w:rPr>
        <w:t>月</w:t>
      </w:r>
      <w:r>
        <w:rPr>
          <w:rFonts w:hint="eastAsia" w:cs="宋体"/>
          <w:color w:val="000000"/>
          <w:kern w:val="0"/>
          <w:sz w:val="24"/>
          <w:szCs w:val="24"/>
          <w:highlight w:val="none"/>
          <w:u w:val="single"/>
          <w:lang w:val="en-US" w:eastAsia="zh-CN"/>
        </w:rPr>
        <w:t>27</w:t>
      </w:r>
      <w:r>
        <w:rPr>
          <w:rFonts w:hint="eastAsia" w:ascii="宋体" w:hAnsi="宋体" w:cs="宋体"/>
          <w:color w:val="000000"/>
          <w:kern w:val="0"/>
          <w:sz w:val="24"/>
          <w:szCs w:val="24"/>
          <w:highlight w:val="none"/>
        </w:rPr>
        <w:t>日</w:t>
      </w:r>
      <w:r>
        <w:rPr>
          <w:rFonts w:hint="eastAsia" w:cs="宋体"/>
          <w:color w:val="000000"/>
          <w:kern w:val="0"/>
          <w:sz w:val="24"/>
          <w:szCs w:val="24"/>
          <w:highlight w:val="none"/>
          <w:u w:val="single"/>
          <w:lang w:val="en-US" w:eastAsia="zh-CN"/>
        </w:rPr>
        <w:t>15</w:t>
      </w:r>
      <w:r>
        <w:rPr>
          <w:rFonts w:hint="eastAsia" w:ascii="宋体" w:hAnsi="宋体" w:cs="宋体"/>
          <w:color w:val="000000"/>
          <w:kern w:val="0"/>
          <w:sz w:val="24"/>
          <w:szCs w:val="24"/>
          <w:highlight w:val="none"/>
        </w:rPr>
        <w:t>时</w:t>
      </w:r>
      <w:r>
        <w:rPr>
          <w:rFonts w:hint="eastAsia" w:cs="宋体"/>
          <w:color w:val="000000"/>
          <w:kern w:val="0"/>
          <w:sz w:val="24"/>
          <w:szCs w:val="24"/>
          <w:highlight w:val="none"/>
          <w:u w:val="single"/>
          <w:lang w:val="en-US" w:eastAsia="zh-CN"/>
        </w:rPr>
        <w:t>00</w:t>
      </w:r>
      <w:r>
        <w:rPr>
          <w:rFonts w:hint="eastAsia" w:ascii="宋体" w:hAnsi="宋体" w:cs="宋体"/>
          <w:color w:val="000000"/>
          <w:kern w:val="0"/>
          <w:sz w:val="24"/>
          <w:szCs w:val="24"/>
          <w:highlight w:val="none"/>
        </w:rPr>
        <w:t>分</w:t>
      </w:r>
      <w:r>
        <w:rPr>
          <w:rFonts w:hint="eastAsia" w:ascii="宋体" w:hAnsi="宋体" w:eastAsia="宋体" w:cs="宋体"/>
          <w:highlight w:val="none"/>
          <w:shd w:val="clear" w:color="auto" w:fill="FFFFFF"/>
        </w:rPr>
        <w:t>（北京时间）</w:t>
      </w:r>
    </w:p>
    <w:p w14:paraId="52BE5A62">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48" w:lineRule="auto"/>
        <w:ind w:firstLine="480" w:firstLineChars="20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地点：陕西省西安市莲湖区高新二路1号招商银行大厦19层第</w:t>
      </w:r>
      <w:r>
        <w:rPr>
          <w:rFonts w:hint="eastAsia" w:cs="宋体"/>
          <w:color w:val="000000"/>
          <w:kern w:val="0"/>
          <w:sz w:val="24"/>
          <w:szCs w:val="24"/>
          <w:highlight w:val="none"/>
          <w:u w:val="single"/>
          <w:lang w:val="en-US" w:eastAsia="zh-CN"/>
        </w:rPr>
        <w:t>1</w:t>
      </w:r>
      <w:r>
        <w:rPr>
          <w:rFonts w:hint="eastAsia" w:ascii="宋体" w:hAnsi="宋体" w:eastAsia="宋体" w:cs="宋体"/>
          <w:highlight w:val="none"/>
          <w:shd w:val="clear" w:color="auto" w:fill="FFFFFF"/>
        </w:rPr>
        <w:t>会议室</w:t>
      </w:r>
    </w:p>
    <w:p w14:paraId="4B612CE7">
      <w:pPr>
        <w:keepNext w:val="0"/>
        <w:keepLines w:val="0"/>
        <w:pageBreakBefore w:val="0"/>
        <w:kinsoku/>
        <w:wordWrap w:val="0"/>
        <w:overflowPunct/>
        <w:topLinePunct w:val="0"/>
        <w:autoSpaceDE/>
        <w:autoSpaceDN/>
        <w:bidi w:val="0"/>
        <w:adjustRightInd w:val="0"/>
        <w:snapToGrid w:val="0"/>
        <w:spacing w:line="348" w:lineRule="auto"/>
        <w:ind w:firstLine="482" w:firstLineChars="200"/>
        <w:textAlignment w:val="auto"/>
        <w:rPr>
          <w:rStyle w:val="42"/>
          <w:rFonts w:hint="eastAsia" w:ascii="Times New Roman" w:hAnsi="Times New Roman" w:eastAsia="宋体" w:cs="宋体"/>
          <w:sz w:val="24"/>
          <w:szCs w:val="24"/>
          <w:highlight w:val="none"/>
          <w:shd w:val="clear" w:color="auto" w:fill="FFFFFF"/>
        </w:rPr>
      </w:pPr>
      <w:r>
        <w:rPr>
          <w:rStyle w:val="42"/>
          <w:rFonts w:hint="eastAsia" w:ascii="Times New Roman" w:hAnsi="Times New Roman" w:eastAsia="宋体" w:cs="宋体"/>
          <w:sz w:val="24"/>
          <w:szCs w:val="24"/>
          <w:highlight w:val="none"/>
          <w:shd w:val="clear" w:color="auto" w:fill="FFFFFF"/>
        </w:rPr>
        <w:t>五、开启</w:t>
      </w:r>
    </w:p>
    <w:p w14:paraId="2A7687CA">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48" w:lineRule="auto"/>
        <w:ind w:firstLine="480" w:firstLineChars="20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时间：</w:t>
      </w:r>
      <w:r>
        <w:rPr>
          <w:rFonts w:hint="eastAsia" w:ascii="宋体" w:hAnsi="宋体" w:cs="宋体"/>
          <w:color w:val="000000"/>
          <w:kern w:val="0"/>
          <w:sz w:val="24"/>
          <w:szCs w:val="24"/>
          <w:highlight w:val="none"/>
        </w:rPr>
        <w:t>2026年</w:t>
      </w:r>
      <w:r>
        <w:rPr>
          <w:rFonts w:hint="eastAsia" w:cs="宋体"/>
          <w:color w:val="000000"/>
          <w:kern w:val="0"/>
          <w:sz w:val="24"/>
          <w:szCs w:val="24"/>
          <w:highlight w:val="none"/>
          <w:u w:val="single"/>
          <w:lang w:val="en-US" w:eastAsia="zh-CN"/>
        </w:rPr>
        <w:t>08</w:t>
      </w:r>
      <w:r>
        <w:rPr>
          <w:rFonts w:hint="eastAsia" w:ascii="宋体" w:hAnsi="宋体" w:cs="宋体"/>
          <w:color w:val="000000"/>
          <w:kern w:val="0"/>
          <w:sz w:val="24"/>
          <w:szCs w:val="24"/>
          <w:highlight w:val="none"/>
        </w:rPr>
        <w:t>月</w:t>
      </w:r>
      <w:r>
        <w:rPr>
          <w:rFonts w:hint="eastAsia" w:cs="宋体"/>
          <w:color w:val="000000"/>
          <w:kern w:val="0"/>
          <w:sz w:val="24"/>
          <w:szCs w:val="24"/>
          <w:highlight w:val="none"/>
          <w:u w:val="single"/>
          <w:lang w:val="en-US" w:eastAsia="zh-CN"/>
        </w:rPr>
        <w:t>27</w:t>
      </w:r>
      <w:r>
        <w:rPr>
          <w:rFonts w:hint="eastAsia" w:ascii="宋体" w:hAnsi="宋体" w:cs="宋体"/>
          <w:color w:val="000000"/>
          <w:kern w:val="0"/>
          <w:sz w:val="24"/>
          <w:szCs w:val="24"/>
          <w:highlight w:val="none"/>
        </w:rPr>
        <w:t>日</w:t>
      </w:r>
      <w:r>
        <w:rPr>
          <w:rFonts w:hint="eastAsia" w:cs="宋体"/>
          <w:color w:val="000000"/>
          <w:kern w:val="0"/>
          <w:sz w:val="24"/>
          <w:szCs w:val="24"/>
          <w:highlight w:val="none"/>
          <w:u w:val="single"/>
          <w:lang w:val="en-US" w:eastAsia="zh-CN"/>
        </w:rPr>
        <w:t>15</w:t>
      </w:r>
      <w:r>
        <w:rPr>
          <w:rFonts w:hint="eastAsia" w:ascii="宋体" w:hAnsi="宋体" w:cs="宋体"/>
          <w:color w:val="000000"/>
          <w:kern w:val="0"/>
          <w:sz w:val="24"/>
          <w:szCs w:val="24"/>
          <w:highlight w:val="none"/>
        </w:rPr>
        <w:t>时</w:t>
      </w:r>
      <w:r>
        <w:rPr>
          <w:rFonts w:hint="eastAsia" w:cs="宋体"/>
          <w:color w:val="000000"/>
          <w:kern w:val="0"/>
          <w:sz w:val="24"/>
          <w:szCs w:val="24"/>
          <w:highlight w:val="none"/>
          <w:u w:val="single"/>
          <w:lang w:val="en-US" w:eastAsia="zh-CN"/>
        </w:rPr>
        <w:t>00</w:t>
      </w:r>
      <w:r>
        <w:rPr>
          <w:rFonts w:hint="eastAsia" w:ascii="宋体" w:hAnsi="宋体" w:cs="宋体"/>
          <w:color w:val="000000"/>
          <w:kern w:val="0"/>
          <w:sz w:val="24"/>
          <w:szCs w:val="24"/>
          <w:highlight w:val="none"/>
        </w:rPr>
        <w:t>分</w:t>
      </w:r>
      <w:r>
        <w:rPr>
          <w:rFonts w:hint="eastAsia" w:ascii="宋体" w:hAnsi="宋体" w:eastAsia="宋体" w:cs="宋体"/>
          <w:highlight w:val="none"/>
          <w:shd w:val="clear" w:color="auto" w:fill="FFFFFF"/>
        </w:rPr>
        <w:t>（北京时间）</w:t>
      </w:r>
    </w:p>
    <w:p w14:paraId="49A134D3">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48" w:lineRule="auto"/>
        <w:ind w:firstLine="480" w:firstLineChars="20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地点：陕西省西安市莲湖区高新二路1号招商银行大厦19层第</w:t>
      </w:r>
      <w:r>
        <w:rPr>
          <w:rFonts w:hint="eastAsia" w:cs="宋体"/>
          <w:color w:val="000000"/>
          <w:kern w:val="0"/>
          <w:sz w:val="24"/>
          <w:szCs w:val="24"/>
          <w:highlight w:val="none"/>
          <w:u w:val="single"/>
          <w:lang w:val="en-US" w:eastAsia="zh-CN"/>
        </w:rPr>
        <w:t>1</w:t>
      </w:r>
      <w:r>
        <w:rPr>
          <w:rFonts w:hint="eastAsia" w:ascii="宋体" w:hAnsi="宋体" w:eastAsia="宋体" w:cs="宋体"/>
          <w:highlight w:val="none"/>
          <w:shd w:val="clear" w:color="auto" w:fill="FFFFFF"/>
        </w:rPr>
        <w:t>会议室</w:t>
      </w:r>
    </w:p>
    <w:p w14:paraId="3A727C0D">
      <w:pPr>
        <w:keepNext w:val="0"/>
        <w:keepLines w:val="0"/>
        <w:pageBreakBefore w:val="0"/>
        <w:kinsoku/>
        <w:wordWrap w:val="0"/>
        <w:overflowPunct/>
        <w:topLinePunct w:val="0"/>
        <w:autoSpaceDE/>
        <w:autoSpaceDN/>
        <w:bidi w:val="0"/>
        <w:adjustRightInd w:val="0"/>
        <w:snapToGrid w:val="0"/>
        <w:spacing w:line="348" w:lineRule="auto"/>
        <w:ind w:firstLine="482" w:firstLineChars="200"/>
        <w:textAlignment w:val="auto"/>
        <w:rPr>
          <w:rStyle w:val="42"/>
          <w:rFonts w:hint="eastAsia" w:ascii="Times New Roman" w:hAnsi="Times New Roman" w:eastAsia="宋体" w:cs="宋体"/>
          <w:sz w:val="24"/>
          <w:szCs w:val="24"/>
          <w:highlight w:val="none"/>
          <w:shd w:val="clear" w:color="auto" w:fill="FFFFFF"/>
        </w:rPr>
      </w:pPr>
      <w:r>
        <w:rPr>
          <w:rStyle w:val="42"/>
          <w:rFonts w:hint="eastAsia" w:ascii="Times New Roman" w:hAnsi="Times New Roman" w:eastAsia="宋体" w:cs="宋体"/>
          <w:sz w:val="24"/>
          <w:szCs w:val="24"/>
          <w:highlight w:val="none"/>
          <w:shd w:val="clear" w:color="auto" w:fill="FFFFFF"/>
          <w:lang w:val="en-US" w:eastAsia="zh-CN"/>
        </w:rPr>
        <w:t>六</w:t>
      </w:r>
      <w:r>
        <w:rPr>
          <w:rStyle w:val="42"/>
          <w:rFonts w:hint="eastAsia" w:ascii="Times New Roman" w:hAnsi="Times New Roman" w:eastAsia="宋体" w:cs="宋体"/>
          <w:sz w:val="24"/>
          <w:szCs w:val="24"/>
          <w:highlight w:val="none"/>
          <w:shd w:val="clear" w:color="auto" w:fill="FFFFFF"/>
        </w:rPr>
        <w:t>、公告期限</w:t>
      </w:r>
    </w:p>
    <w:p w14:paraId="796B4929">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48" w:lineRule="auto"/>
        <w:ind w:firstLine="480" w:firstLineChars="200"/>
        <w:jc w:val="both"/>
        <w:rPr>
          <w:rFonts w:hint="eastAsia"/>
          <w:highlight w:val="none"/>
        </w:rPr>
      </w:pPr>
      <w:r>
        <w:rPr>
          <w:rFonts w:hint="eastAsia"/>
          <w:highlight w:val="none"/>
          <w:shd w:val="clear" w:color="auto" w:fill="FFFFFF"/>
        </w:rPr>
        <w:t>自本公告发布之日起3个工作日。</w:t>
      </w:r>
    </w:p>
    <w:p w14:paraId="54405244">
      <w:pPr>
        <w:keepNext w:val="0"/>
        <w:keepLines w:val="0"/>
        <w:pageBreakBefore w:val="0"/>
        <w:kinsoku/>
        <w:wordWrap w:val="0"/>
        <w:overflowPunct/>
        <w:topLinePunct w:val="0"/>
        <w:autoSpaceDE/>
        <w:autoSpaceDN/>
        <w:bidi w:val="0"/>
        <w:adjustRightInd w:val="0"/>
        <w:snapToGrid w:val="0"/>
        <w:spacing w:line="348" w:lineRule="auto"/>
        <w:ind w:firstLine="482" w:firstLineChars="200"/>
        <w:textAlignment w:val="auto"/>
        <w:rPr>
          <w:rStyle w:val="42"/>
          <w:rFonts w:hint="eastAsia" w:ascii="Times New Roman" w:hAnsi="Times New Roman" w:eastAsia="宋体" w:cs="宋体"/>
          <w:sz w:val="24"/>
          <w:szCs w:val="24"/>
          <w:highlight w:val="none"/>
          <w:shd w:val="clear" w:color="auto" w:fill="FFFFFF"/>
          <w:lang w:val="en-US" w:eastAsia="zh-CN"/>
        </w:rPr>
      </w:pPr>
      <w:r>
        <w:rPr>
          <w:rStyle w:val="42"/>
          <w:rFonts w:hint="eastAsia" w:ascii="Times New Roman" w:hAnsi="Times New Roman" w:eastAsia="宋体" w:cs="宋体"/>
          <w:sz w:val="24"/>
          <w:szCs w:val="24"/>
          <w:highlight w:val="none"/>
          <w:shd w:val="clear" w:color="auto" w:fill="FFFFFF"/>
          <w:lang w:val="en-US" w:eastAsia="zh-CN"/>
        </w:rPr>
        <w:t>七、其他补充事宜</w:t>
      </w:r>
    </w:p>
    <w:p w14:paraId="734A39DE">
      <w:pPr>
        <w:keepNext w:val="0"/>
        <w:keepLines w:val="0"/>
        <w:pageBreakBefore w:val="0"/>
        <w:kinsoku/>
        <w:wordWrap w:val="0"/>
        <w:overflowPunct/>
        <w:topLinePunct w:val="0"/>
        <w:autoSpaceDE/>
        <w:autoSpaceDN/>
        <w:bidi w:val="0"/>
        <w:adjustRightInd w:val="0"/>
        <w:snapToGrid w:val="0"/>
        <w:spacing w:line="348"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cs="宋体"/>
          <w:sz w:val="24"/>
          <w:szCs w:val="24"/>
          <w:highlight w:val="none"/>
        </w:rPr>
        <w:t>领取竞争性磋商文件时请携带单位介绍信原件（或授权委托书原件）以及经办人身份证原件及复印件加盖公章，现场领取，谢绝邮寄。</w:t>
      </w:r>
    </w:p>
    <w:p w14:paraId="62843E7F">
      <w:pPr>
        <w:keepNext w:val="0"/>
        <w:keepLines w:val="0"/>
        <w:pageBreakBefore w:val="0"/>
        <w:kinsoku/>
        <w:wordWrap w:val="0"/>
        <w:overflowPunct/>
        <w:topLinePunct w:val="0"/>
        <w:autoSpaceDE/>
        <w:autoSpaceDN/>
        <w:bidi w:val="0"/>
        <w:adjustRightInd w:val="0"/>
        <w:snapToGrid w:val="0"/>
        <w:spacing w:line="348"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请</w:t>
      </w:r>
      <w:r>
        <w:rPr>
          <w:rFonts w:hint="eastAsia" w:ascii="宋体" w:hAnsi="宋体" w:cs="宋体"/>
          <w:sz w:val="24"/>
          <w:szCs w:val="24"/>
          <w:highlight w:val="none"/>
          <w:lang w:eastAsia="zh-CN"/>
        </w:rPr>
        <w:t>供应商</w:t>
      </w:r>
      <w:r>
        <w:rPr>
          <w:rFonts w:hint="eastAsia" w:ascii="宋体" w:hAnsi="宋体" w:cs="宋体"/>
          <w:sz w:val="24"/>
          <w:szCs w:val="24"/>
          <w:highlight w:val="none"/>
        </w:rPr>
        <w:t>按照陕西省财政厅关于政府采购供应商注册登记有关事项的通知中的要求，通过陕西省政府采购网（http://www.ccgp-shaanxi.gov.cn/）注册登记加入陕西省政府采购供应商库。</w:t>
      </w:r>
    </w:p>
    <w:p w14:paraId="290DF556">
      <w:pPr>
        <w:keepNext w:val="0"/>
        <w:keepLines w:val="0"/>
        <w:pageBreakBefore w:val="0"/>
        <w:kinsoku/>
        <w:wordWrap w:val="0"/>
        <w:overflowPunct/>
        <w:topLinePunct w:val="0"/>
        <w:autoSpaceDE/>
        <w:autoSpaceDN/>
        <w:bidi w:val="0"/>
        <w:adjustRightInd w:val="0"/>
        <w:snapToGrid w:val="0"/>
        <w:spacing w:line="348"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3.落实政府采购政策：</w:t>
      </w:r>
    </w:p>
    <w:p w14:paraId="1B7A7289">
      <w:pPr>
        <w:keepNext w:val="0"/>
        <w:keepLines w:val="0"/>
        <w:pageBreakBefore w:val="0"/>
        <w:kinsoku/>
        <w:wordWrap w:val="0"/>
        <w:overflowPunct/>
        <w:topLinePunct w:val="0"/>
        <w:autoSpaceDE/>
        <w:autoSpaceDN/>
        <w:bidi w:val="0"/>
        <w:adjustRightInd w:val="0"/>
        <w:snapToGrid w:val="0"/>
        <w:spacing w:line="348"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3.1《关于在政府采购活动中查询及使用信用记录有关问题的通知》（财库〔2016〕125号）；</w:t>
      </w:r>
    </w:p>
    <w:p w14:paraId="3979E3E4">
      <w:pPr>
        <w:keepNext w:val="0"/>
        <w:keepLines w:val="0"/>
        <w:pageBreakBefore w:val="0"/>
        <w:kinsoku/>
        <w:wordWrap w:val="0"/>
        <w:overflowPunct/>
        <w:topLinePunct w:val="0"/>
        <w:autoSpaceDE/>
        <w:autoSpaceDN/>
        <w:bidi w:val="0"/>
        <w:adjustRightInd w:val="0"/>
        <w:snapToGrid w:val="0"/>
        <w:spacing w:line="348"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3.2《政府采购促进中小企业发展管理办法》（财库〔2020〕46号）、《关于进一步加大政府采购支持中小企业力度的通知》（财库〔2022〕19 号）《关于政府采购支持监狱企业发展有关问题的通知》（财库〔2014〕68号）以及《关于促进残疾人就业政府采购政策的通知》（财库〔2017〕141号）；</w:t>
      </w:r>
    </w:p>
    <w:p w14:paraId="36984A5B">
      <w:pPr>
        <w:keepNext w:val="0"/>
        <w:keepLines w:val="0"/>
        <w:pageBreakBefore w:val="0"/>
        <w:kinsoku/>
        <w:wordWrap w:val="0"/>
        <w:overflowPunct/>
        <w:topLinePunct w:val="0"/>
        <w:autoSpaceDE/>
        <w:autoSpaceDN/>
        <w:bidi w:val="0"/>
        <w:adjustRightInd w:val="0"/>
        <w:snapToGrid w:val="0"/>
        <w:spacing w:line="348"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3.3国务院办公厅《关于建立政府强制采购节能产品制度的通知》（国办发〔2007〕51号）、财政部、国家发改委、生态环境部、市场监管总局联合印发《关于调整优化节能产品、环境标志产品政府采购执行机制的通知》（财库〔2019〕9号）；</w:t>
      </w:r>
    </w:p>
    <w:p w14:paraId="59BF8F44">
      <w:pPr>
        <w:keepNext w:val="0"/>
        <w:keepLines w:val="0"/>
        <w:pageBreakBefore w:val="0"/>
        <w:kinsoku/>
        <w:wordWrap w:val="0"/>
        <w:overflowPunct/>
        <w:topLinePunct w:val="0"/>
        <w:autoSpaceDE/>
        <w:autoSpaceDN/>
        <w:bidi w:val="0"/>
        <w:adjustRightInd w:val="0"/>
        <w:snapToGrid w:val="0"/>
        <w:spacing w:line="348"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3.4《陕西省财政厅关于加快推进我省中小企业政府采购信用融资工作的通知》（陕财办采〔2020〕15号）、陕西省财政厅关于印发《陕西省中小企业政府采购信用融资办法》（陕财办采〔2018〕23号）；</w:t>
      </w:r>
    </w:p>
    <w:p w14:paraId="591E3AF2">
      <w:pPr>
        <w:keepNext w:val="0"/>
        <w:keepLines w:val="0"/>
        <w:pageBreakBefore w:val="0"/>
        <w:kinsoku/>
        <w:wordWrap w:val="0"/>
        <w:overflowPunct/>
        <w:topLinePunct w:val="0"/>
        <w:autoSpaceDE/>
        <w:autoSpaceDN/>
        <w:bidi w:val="0"/>
        <w:adjustRightInd w:val="0"/>
        <w:snapToGrid w:val="0"/>
        <w:spacing w:line="348"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3.5其他需要落实的政府采购政策。</w:t>
      </w:r>
    </w:p>
    <w:p w14:paraId="6F2C7FAC">
      <w:pPr>
        <w:keepNext w:val="0"/>
        <w:keepLines w:val="0"/>
        <w:pageBreakBefore w:val="0"/>
        <w:kinsoku/>
        <w:wordWrap w:val="0"/>
        <w:overflowPunct/>
        <w:topLinePunct w:val="0"/>
        <w:autoSpaceDE/>
        <w:autoSpaceDN/>
        <w:bidi w:val="0"/>
        <w:adjustRightInd w:val="0"/>
        <w:snapToGrid w:val="0"/>
        <w:spacing w:line="348" w:lineRule="auto"/>
        <w:ind w:firstLine="482" w:firstLineChars="200"/>
        <w:textAlignment w:val="auto"/>
        <w:rPr>
          <w:rStyle w:val="42"/>
          <w:rFonts w:hint="eastAsia" w:ascii="Times New Roman" w:hAnsi="Times New Roman" w:eastAsia="宋体" w:cs="宋体"/>
          <w:sz w:val="24"/>
          <w:szCs w:val="24"/>
          <w:highlight w:val="none"/>
          <w:shd w:val="clear" w:color="auto" w:fill="FFFFFF"/>
          <w:lang w:val="en-US" w:eastAsia="zh-CN"/>
        </w:rPr>
      </w:pPr>
      <w:r>
        <w:rPr>
          <w:rStyle w:val="42"/>
          <w:rFonts w:hint="eastAsia" w:ascii="Times New Roman" w:hAnsi="Times New Roman" w:eastAsia="宋体" w:cs="宋体"/>
          <w:sz w:val="24"/>
          <w:szCs w:val="24"/>
          <w:highlight w:val="none"/>
          <w:shd w:val="clear" w:color="auto" w:fill="FFFFFF"/>
          <w:lang w:val="en-US" w:eastAsia="zh-CN"/>
        </w:rPr>
        <w:t>八、对本次采购提出询问，请按以下方式联系</w:t>
      </w:r>
    </w:p>
    <w:p w14:paraId="22E133A9">
      <w:pPr>
        <w:keepNext w:val="0"/>
        <w:keepLines w:val="0"/>
        <w:pageBreakBefore w:val="0"/>
        <w:widowControl/>
        <w:kinsoku/>
        <w:wordWrap w:val="0"/>
        <w:overflowPunct/>
        <w:topLinePunct w:val="0"/>
        <w:autoSpaceDE/>
        <w:autoSpaceDN/>
        <w:bidi w:val="0"/>
        <w:adjustRightInd w:val="0"/>
        <w:snapToGrid w:val="0"/>
        <w:spacing w:before="0" w:beforeAutospacing="0" w:after="0" w:afterAutospacing="0" w:line="348" w:lineRule="auto"/>
        <w:ind w:firstLine="480" w:firstLineChars="200"/>
        <w:outlineLvl w:val="9"/>
        <w:rPr>
          <w:rFonts w:cs="宋体"/>
          <w:b w:val="0"/>
          <w:bCs w:val="0"/>
          <w:sz w:val="24"/>
          <w:szCs w:val="24"/>
          <w:highlight w:val="none"/>
        </w:rPr>
      </w:pPr>
      <w:r>
        <w:rPr>
          <w:rFonts w:hint="eastAsia" w:ascii="宋体" w:hAnsi="宋体" w:eastAsia="宋体" w:cs="宋体"/>
          <w:b w:val="0"/>
          <w:bCs w:val="0"/>
          <w:sz w:val="24"/>
          <w:szCs w:val="24"/>
          <w:highlight w:val="none"/>
          <w:shd w:val="clear" w:color="auto" w:fill="FFFFFF"/>
        </w:rPr>
        <w:t>1.采购</w:t>
      </w:r>
      <w:r>
        <w:rPr>
          <w:rFonts w:cs="宋体"/>
          <w:b w:val="0"/>
          <w:bCs w:val="0"/>
          <w:sz w:val="24"/>
          <w:szCs w:val="24"/>
          <w:highlight w:val="none"/>
          <w:shd w:val="clear" w:color="auto" w:fill="FFFFFF"/>
        </w:rPr>
        <w:t>人信息</w:t>
      </w:r>
    </w:p>
    <w:p w14:paraId="7F394056">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48" w:lineRule="auto"/>
        <w:ind w:firstLine="480" w:firstLineChars="200"/>
        <w:jc w:val="both"/>
        <w:rPr>
          <w:rFonts w:hint="default"/>
          <w:highlight w:val="none"/>
          <w:shd w:val="clear" w:color="auto" w:fill="FFFFFF"/>
          <w:lang w:val="en-US" w:eastAsia="zh-CN"/>
        </w:rPr>
      </w:pPr>
      <w:r>
        <w:rPr>
          <w:rFonts w:hint="eastAsia"/>
          <w:highlight w:val="none"/>
          <w:shd w:val="clear" w:color="auto" w:fill="FFFFFF"/>
        </w:rPr>
        <w:t>名称：</w:t>
      </w:r>
      <w:r>
        <w:rPr>
          <w:rFonts w:hint="eastAsia" w:ascii="宋体" w:hAnsi="宋体" w:eastAsia="宋体" w:cs="宋体"/>
          <w:sz w:val="24"/>
          <w:szCs w:val="24"/>
          <w:highlight w:val="none"/>
        </w:rPr>
        <w:t>陕西省肿瘤医院</w:t>
      </w:r>
    </w:p>
    <w:p w14:paraId="7C7B042A">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48" w:lineRule="auto"/>
        <w:ind w:firstLine="480" w:firstLineChars="200"/>
        <w:jc w:val="both"/>
        <w:rPr>
          <w:rFonts w:hint="eastAsia"/>
          <w:highlight w:val="none"/>
          <w:shd w:val="clear" w:color="auto" w:fill="FFFFFF"/>
          <w:lang w:eastAsia="zh-CN"/>
        </w:rPr>
      </w:pPr>
      <w:r>
        <w:rPr>
          <w:rFonts w:hint="eastAsia"/>
          <w:highlight w:val="none"/>
          <w:shd w:val="clear" w:color="auto" w:fill="FFFFFF"/>
        </w:rPr>
        <w:t>地址：</w:t>
      </w:r>
      <w:r>
        <w:rPr>
          <w:rFonts w:hint="eastAsia" w:ascii="宋体" w:hAnsi="宋体" w:eastAsia="宋体" w:cs="宋体"/>
          <w:bCs/>
          <w:caps w:val="0"/>
          <w:color w:val="auto"/>
          <w:sz w:val="24"/>
          <w:szCs w:val="24"/>
          <w:highlight w:val="none"/>
          <w:lang w:val="en-US" w:eastAsia="zh-CN"/>
        </w:rPr>
        <w:t>西安市雁塔西路309号</w:t>
      </w:r>
    </w:p>
    <w:p w14:paraId="7DF47B40">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48" w:lineRule="auto"/>
        <w:ind w:firstLine="480" w:firstLineChars="200"/>
        <w:jc w:val="both"/>
        <w:rPr>
          <w:rFonts w:hint="default" w:eastAsia="宋体"/>
          <w:highlight w:val="none"/>
          <w:u w:val="single"/>
          <w:lang w:val="en-US" w:eastAsia="zh-CN"/>
        </w:rPr>
      </w:pPr>
      <w:r>
        <w:rPr>
          <w:rFonts w:hint="eastAsia"/>
          <w:highlight w:val="none"/>
          <w:shd w:val="clear" w:color="auto" w:fill="FFFFFF"/>
        </w:rPr>
        <w:t>联系方式：029-85276353</w:t>
      </w:r>
    </w:p>
    <w:p w14:paraId="3A9CD095">
      <w:pPr>
        <w:keepNext w:val="0"/>
        <w:keepLines w:val="0"/>
        <w:pageBreakBefore w:val="0"/>
        <w:widowControl/>
        <w:kinsoku/>
        <w:wordWrap w:val="0"/>
        <w:overflowPunct/>
        <w:topLinePunct w:val="0"/>
        <w:autoSpaceDE/>
        <w:autoSpaceDN/>
        <w:bidi w:val="0"/>
        <w:adjustRightInd w:val="0"/>
        <w:snapToGrid w:val="0"/>
        <w:spacing w:before="0" w:beforeAutospacing="0" w:after="0" w:afterAutospacing="0" w:line="348" w:lineRule="auto"/>
        <w:ind w:firstLine="480" w:firstLineChars="200"/>
        <w:outlineLvl w:val="9"/>
        <w:rPr>
          <w:rFonts w:cs="宋体"/>
          <w:b w:val="0"/>
          <w:bCs w:val="0"/>
          <w:sz w:val="24"/>
          <w:szCs w:val="24"/>
          <w:highlight w:val="none"/>
        </w:rPr>
      </w:pPr>
      <w:r>
        <w:rPr>
          <w:rFonts w:hint="eastAsia" w:ascii="宋体" w:hAnsi="宋体" w:eastAsia="宋体" w:cs="宋体"/>
          <w:b w:val="0"/>
          <w:bCs w:val="0"/>
          <w:sz w:val="24"/>
          <w:szCs w:val="24"/>
          <w:highlight w:val="none"/>
          <w:shd w:val="clear" w:color="auto" w:fill="FFFFFF"/>
        </w:rPr>
        <w:t>2.</w:t>
      </w:r>
      <w:r>
        <w:rPr>
          <w:rFonts w:cs="宋体"/>
          <w:b w:val="0"/>
          <w:bCs w:val="0"/>
          <w:sz w:val="24"/>
          <w:szCs w:val="24"/>
          <w:highlight w:val="none"/>
          <w:shd w:val="clear" w:color="auto" w:fill="FFFFFF"/>
        </w:rPr>
        <w:t>采购代理机构信息</w:t>
      </w:r>
    </w:p>
    <w:p w14:paraId="01C4702D">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48" w:lineRule="auto"/>
        <w:ind w:firstLine="480" w:firstLineChars="200"/>
        <w:jc w:val="both"/>
        <w:rPr>
          <w:rFonts w:hint="eastAsia"/>
          <w:highlight w:val="none"/>
        </w:rPr>
      </w:pPr>
      <w:r>
        <w:rPr>
          <w:rFonts w:hint="eastAsia"/>
          <w:highlight w:val="none"/>
          <w:shd w:val="clear" w:color="auto" w:fill="FFFFFF"/>
        </w:rPr>
        <w:t>名称：开瑞项目管理有限公司</w:t>
      </w:r>
    </w:p>
    <w:p w14:paraId="12F654AE">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48" w:lineRule="auto"/>
        <w:ind w:firstLine="480" w:firstLineChars="200"/>
        <w:jc w:val="both"/>
        <w:rPr>
          <w:rFonts w:hint="eastAsia"/>
          <w:highlight w:val="none"/>
        </w:rPr>
      </w:pPr>
      <w:r>
        <w:rPr>
          <w:rFonts w:hint="eastAsia"/>
          <w:highlight w:val="none"/>
          <w:shd w:val="clear" w:color="auto" w:fill="FFFFFF"/>
        </w:rPr>
        <w:t>地址：陕西省西安市莲湖区高新二路1号招商银行大厦19层</w:t>
      </w:r>
    </w:p>
    <w:p w14:paraId="34796573">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48" w:lineRule="auto"/>
        <w:ind w:firstLine="480" w:firstLineChars="200"/>
        <w:jc w:val="both"/>
        <w:rPr>
          <w:rFonts w:hint="default" w:eastAsia="宋体"/>
          <w:highlight w:val="none"/>
          <w:u w:val="single"/>
          <w:lang w:val="en-US" w:eastAsia="zh-CN"/>
        </w:rPr>
      </w:pPr>
      <w:r>
        <w:rPr>
          <w:rFonts w:hint="eastAsia"/>
          <w:highlight w:val="none"/>
          <w:shd w:val="clear" w:color="auto" w:fill="FFFFFF"/>
        </w:rPr>
        <w:t>联系方式：</w:t>
      </w:r>
      <w:r>
        <w:rPr>
          <w:rFonts w:hint="eastAsia" w:ascii="宋体" w:hAnsi="宋体" w:eastAsia="宋体" w:cs="宋体"/>
          <w:sz w:val="24"/>
          <w:szCs w:val="24"/>
          <w:highlight w:val="none"/>
        </w:rPr>
        <w:t>029-89581863</w:t>
      </w:r>
    </w:p>
    <w:p w14:paraId="26EDBF42">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48" w:lineRule="auto"/>
        <w:ind w:firstLine="480" w:firstLineChars="200"/>
        <w:jc w:val="both"/>
        <w:rPr>
          <w:rFonts w:hint="eastAsia" w:ascii="宋体" w:hAnsi="宋体" w:eastAsia="宋体" w:cs="宋体"/>
          <w:b w:val="0"/>
          <w:bCs w:val="0"/>
          <w:highlight w:val="none"/>
          <w:shd w:val="clear" w:color="auto" w:fill="FFFFFF"/>
          <w:lang w:val="en-US" w:eastAsia="zh-CN"/>
        </w:rPr>
      </w:pPr>
      <w:r>
        <w:rPr>
          <w:rFonts w:cs="宋体"/>
          <w:b w:val="0"/>
          <w:bCs w:val="0"/>
          <w:sz w:val="24"/>
          <w:szCs w:val="24"/>
          <w:highlight w:val="none"/>
          <w:shd w:val="clear" w:color="auto" w:fill="FFFFFF"/>
        </w:rPr>
        <w:t>3.项目联系方式</w:t>
      </w:r>
    </w:p>
    <w:p w14:paraId="368F964D">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48" w:lineRule="auto"/>
        <w:ind w:firstLine="480" w:firstLineChars="200"/>
        <w:jc w:val="both"/>
        <w:rPr>
          <w:rFonts w:hint="eastAsia" w:ascii="宋体" w:hAnsi="宋体" w:eastAsia="宋体" w:cs="宋体"/>
          <w:highlight w:val="none"/>
          <w:shd w:val="clear" w:color="auto" w:fill="FFFFFF"/>
          <w:lang w:val="en-US" w:eastAsia="zh-CN"/>
        </w:rPr>
      </w:pPr>
      <w:r>
        <w:rPr>
          <w:rFonts w:hint="eastAsia" w:ascii="宋体" w:hAnsi="宋体" w:eastAsia="宋体" w:cs="宋体"/>
          <w:highlight w:val="none"/>
          <w:shd w:val="clear" w:color="auto" w:fill="FFFFFF"/>
          <w:lang w:val="en-US" w:eastAsia="zh-CN"/>
        </w:rPr>
        <w:t>项目联系人：</w:t>
      </w:r>
      <w:r>
        <w:rPr>
          <w:rFonts w:ascii="宋体" w:hAnsi="宋体" w:eastAsia="宋体" w:cs="宋体"/>
          <w:sz w:val="24"/>
          <w:highlight w:val="none"/>
        </w:rPr>
        <w:t>代光艳、</w:t>
      </w:r>
      <w:r>
        <w:rPr>
          <w:rFonts w:hint="eastAsia" w:cs="宋体"/>
          <w:sz w:val="24"/>
          <w:highlight w:val="none"/>
          <w:lang w:val="en-US" w:eastAsia="zh-CN"/>
        </w:rPr>
        <w:t>刘如拉、</w:t>
      </w:r>
      <w:r>
        <w:rPr>
          <w:rFonts w:ascii="宋体" w:hAnsi="宋体" w:eastAsia="宋体" w:cs="宋体"/>
          <w:sz w:val="24"/>
          <w:highlight w:val="none"/>
        </w:rPr>
        <w:t>姚瑶、</w:t>
      </w:r>
      <w:r>
        <w:rPr>
          <w:rFonts w:hint="eastAsia" w:cs="宋体"/>
          <w:sz w:val="24"/>
          <w:highlight w:val="none"/>
          <w:lang w:eastAsia="zh-CN"/>
        </w:rPr>
        <w:t>路坦、</w:t>
      </w:r>
      <w:r>
        <w:rPr>
          <w:rFonts w:ascii="宋体" w:hAnsi="宋体" w:eastAsia="宋体" w:cs="宋体"/>
          <w:sz w:val="24"/>
          <w:highlight w:val="none"/>
        </w:rPr>
        <w:t>贾亚妮、王昭</w:t>
      </w:r>
      <w:r>
        <w:rPr>
          <w:rFonts w:hint="eastAsia" w:ascii="宋体" w:hAnsi="宋体" w:cs="宋体"/>
          <w:sz w:val="24"/>
          <w:highlight w:val="none"/>
          <w:lang w:eastAsia="zh-CN"/>
        </w:rPr>
        <w:t>、</w:t>
      </w:r>
      <w:r>
        <w:rPr>
          <w:rFonts w:ascii="宋体" w:hAnsi="宋体" w:eastAsia="宋体" w:cs="宋体"/>
          <w:sz w:val="24"/>
          <w:highlight w:val="none"/>
        </w:rPr>
        <w:t>刘昆、张晨、王森、靳祥德、成荔、彭明杨、王莉</w:t>
      </w:r>
    </w:p>
    <w:p w14:paraId="30ACE8CC">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48" w:lineRule="auto"/>
        <w:ind w:firstLine="480" w:firstLineChars="200"/>
        <w:jc w:val="both"/>
        <w:textAlignment w:val="baseline"/>
        <w:rPr>
          <w:rFonts w:hint="default" w:ascii="黑体" w:hAnsi="黑体" w:eastAsia="黑体" w:cs="黑体"/>
          <w:b/>
          <w:color w:val="000000"/>
          <w:sz w:val="32"/>
          <w:szCs w:val="32"/>
          <w:highlight w:val="none"/>
          <w:lang w:val="en-US"/>
        </w:rPr>
        <w:sectPr>
          <w:footerReference r:id="rId9" w:type="first"/>
          <w:headerReference r:id="rId7" w:type="default"/>
          <w:footerReference r:id="rId8"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titlePg/>
          <w:docGrid w:type="lines" w:linePitch="312" w:charSpace="0"/>
        </w:sectPr>
      </w:pPr>
      <w:r>
        <w:rPr>
          <w:rFonts w:hint="eastAsia" w:ascii="宋体" w:hAnsi="宋体" w:eastAsia="宋体" w:cs="宋体"/>
          <w:highlight w:val="none"/>
          <w:shd w:val="clear" w:color="auto" w:fill="FFFFFF"/>
          <w:lang w:val="en-US" w:eastAsia="zh-CN"/>
        </w:rPr>
        <w:t>电话：</w:t>
      </w:r>
      <w:r>
        <w:rPr>
          <w:rFonts w:hint="eastAsia" w:ascii="宋体" w:hAnsi="宋体" w:eastAsia="宋体" w:cs="宋体"/>
          <w:sz w:val="24"/>
          <w:szCs w:val="24"/>
          <w:highlight w:val="none"/>
        </w:rPr>
        <w:t>029-89581863、</w:t>
      </w:r>
      <w:bookmarkStart w:id="4" w:name="_Toc25422"/>
      <w:bookmarkStart w:id="5" w:name="_Toc10621832"/>
      <w:bookmarkStart w:id="6" w:name="_Toc12377614"/>
      <w:bookmarkStart w:id="7" w:name="_Toc10563630"/>
      <w:bookmarkStart w:id="8" w:name="_Toc22292"/>
      <w:bookmarkStart w:id="9" w:name="_Toc16034"/>
      <w:bookmarkStart w:id="10" w:name="_Toc31983"/>
      <w:r>
        <w:rPr>
          <w:rFonts w:hint="eastAsia" w:cs="宋体"/>
          <w:sz w:val="24"/>
          <w:szCs w:val="24"/>
          <w:highlight w:val="none"/>
          <w:lang w:val="en-US" w:eastAsia="zh-CN"/>
        </w:rPr>
        <w:t>15229797656</w:t>
      </w:r>
    </w:p>
    <w:p w14:paraId="64DC2FAC">
      <w:pPr>
        <w:pStyle w:val="79"/>
        <w:adjustRightInd w:val="0"/>
        <w:snapToGrid w:val="0"/>
        <w:spacing w:line="240" w:lineRule="auto"/>
        <w:ind w:firstLine="0" w:firstLineChars="0"/>
        <w:jc w:val="center"/>
        <w:outlineLvl w:val="0"/>
        <w:rPr>
          <w:rFonts w:hint="eastAsia" w:ascii="宋体" w:hAnsi="宋体"/>
          <w:b/>
          <w:color w:val="000000"/>
          <w:sz w:val="44"/>
          <w:szCs w:val="44"/>
          <w:highlight w:val="none"/>
        </w:rPr>
      </w:pPr>
      <w:r>
        <w:rPr>
          <w:rFonts w:hint="eastAsia" w:ascii="黑体" w:hAnsi="黑体" w:eastAsia="黑体" w:cs="黑体"/>
          <w:b/>
          <w:color w:val="000000"/>
          <w:sz w:val="32"/>
          <w:szCs w:val="32"/>
          <w:highlight w:val="none"/>
        </w:rPr>
        <w:t>第二章</w:t>
      </w:r>
      <w:r>
        <w:rPr>
          <w:rFonts w:hint="eastAsia" w:ascii="黑体" w:hAnsi="黑体" w:eastAsia="黑体" w:cs="黑体"/>
          <w:b/>
          <w:color w:val="000000"/>
          <w:sz w:val="32"/>
          <w:szCs w:val="32"/>
          <w:highlight w:val="none"/>
          <w:lang w:val="en-US" w:eastAsia="zh-CN"/>
        </w:rPr>
        <w:t xml:space="preserve">  </w:t>
      </w:r>
      <w:r>
        <w:rPr>
          <w:rFonts w:hint="eastAsia" w:ascii="黑体" w:hAnsi="黑体" w:eastAsia="黑体" w:cs="黑体"/>
          <w:b/>
          <w:color w:val="000000"/>
          <w:sz w:val="32"/>
          <w:szCs w:val="32"/>
          <w:highlight w:val="none"/>
        </w:rPr>
        <w:t>供应商须知前附表及</w:t>
      </w:r>
      <w:bookmarkEnd w:id="2"/>
      <w:bookmarkEnd w:id="3"/>
      <w:bookmarkEnd w:id="4"/>
      <w:bookmarkEnd w:id="5"/>
      <w:bookmarkEnd w:id="6"/>
      <w:bookmarkEnd w:id="7"/>
      <w:r>
        <w:rPr>
          <w:rFonts w:hint="eastAsia" w:ascii="黑体" w:hAnsi="黑体" w:eastAsia="黑体" w:cs="黑体"/>
          <w:b/>
          <w:color w:val="000000"/>
          <w:sz w:val="32"/>
          <w:szCs w:val="32"/>
          <w:highlight w:val="none"/>
        </w:rPr>
        <w:t>供应商须知</w:t>
      </w:r>
      <w:bookmarkEnd w:id="8"/>
      <w:bookmarkEnd w:id="9"/>
      <w:bookmarkEnd w:id="10"/>
    </w:p>
    <w:p w14:paraId="5C7E1C20">
      <w:pPr>
        <w:pStyle w:val="3"/>
        <w:bidi w:val="0"/>
        <w:spacing w:line="240" w:lineRule="auto"/>
        <w:jc w:val="center"/>
        <w:rPr>
          <w:rFonts w:hint="eastAsia"/>
          <w:highlight w:val="none"/>
        </w:rPr>
      </w:pPr>
      <w:bookmarkStart w:id="11" w:name="_Toc504605168"/>
      <w:bookmarkStart w:id="12" w:name="_Toc10563631"/>
      <w:bookmarkStart w:id="13" w:name="_Toc10621833"/>
      <w:bookmarkStart w:id="14" w:name="_Toc511316280"/>
      <w:bookmarkStart w:id="15" w:name="_Toc504605086"/>
      <w:bookmarkStart w:id="16" w:name="_Toc10563089"/>
      <w:bookmarkStart w:id="17" w:name="_Toc12377615"/>
      <w:r>
        <w:rPr>
          <w:rFonts w:hint="eastAsia"/>
          <w:highlight w:val="none"/>
        </w:rPr>
        <w:t>一、供应商须知前附表</w:t>
      </w:r>
      <w:bookmarkEnd w:id="11"/>
      <w:bookmarkEnd w:id="12"/>
      <w:bookmarkEnd w:id="13"/>
      <w:bookmarkEnd w:id="14"/>
      <w:bookmarkEnd w:id="15"/>
      <w:bookmarkEnd w:id="16"/>
      <w:bookmarkEnd w:id="17"/>
    </w:p>
    <w:tbl>
      <w:tblPr>
        <w:tblStyle w:val="39"/>
        <w:tblW w:w="8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5"/>
        <w:gridCol w:w="1512"/>
        <w:gridCol w:w="776"/>
        <w:gridCol w:w="2217"/>
        <w:gridCol w:w="2778"/>
      </w:tblGrid>
      <w:tr w14:paraId="64242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blHeader/>
          <w:jc w:val="center"/>
        </w:trPr>
        <w:tc>
          <w:tcPr>
            <w:tcW w:w="1175" w:type="dxa"/>
            <w:tcBorders>
              <w:tl2br w:val="nil"/>
              <w:tr2bl w:val="nil"/>
            </w:tcBorders>
            <w:noWrap w:val="0"/>
            <w:vAlign w:val="center"/>
          </w:tcPr>
          <w:p w14:paraId="222BDA30">
            <w:pPr>
              <w:adjustRightInd w:val="0"/>
              <w:snapToGrid w:val="0"/>
              <w:spacing w:line="240" w:lineRule="auto"/>
              <w:jc w:val="center"/>
              <w:rPr>
                <w:rFonts w:hint="eastAsia" w:ascii="宋体" w:hAnsi="宋体" w:cs="宋体"/>
                <w:b/>
                <w:bCs/>
                <w:color w:val="000000"/>
                <w:sz w:val="24"/>
                <w:szCs w:val="24"/>
                <w:highlight w:val="none"/>
              </w:rPr>
            </w:pPr>
            <w:bookmarkStart w:id="18" w:name="_Toc10563632"/>
            <w:bookmarkStart w:id="19" w:name="_Toc12377616"/>
            <w:bookmarkStart w:id="20" w:name="_Toc10621834"/>
            <w:bookmarkStart w:id="21" w:name="_Toc10563090"/>
            <w:bookmarkStart w:id="22" w:name="_Toc511316281"/>
            <w:bookmarkStart w:id="23" w:name="_Toc504605087"/>
            <w:bookmarkStart w:id="24" w:name="_Toc504605169"/>
            <w:r>
              <w:rPr>
                <w:rFonts w:hint="eastAsia" w:ascii="宋体" w:hAnsi="宋体" w:cs="宋体"/>
                <w:b/>
                <w:bCs/>
                <w:color w:val="000000"/>
                <w:sz w:val="24"/>
                <w:szCs w:val="24"/>
                <w:highlight w:val="none"/>
              </w:rPr>
              <w:t>条款号</w:t>
            </w:r>
          </w:p>
        </w:tc>
        <w:tc>
          <w:tcPr>
            <w:tcW w:w="1512" w:type="dxa"/>
            <w:tcBorders>
              <w:tl2br w:val="nil"/>
              <w:tr2bl w:val="nil"/>
            </w:tcBorders>
            <w:noWrap w:val="0"/>
            <w:vAlign w:val="center"/>
          </w:tcPr>
          <w:p w14:paraId="5BF51D94">
            <w:pPr>
              <w:adjustRightInd w:val="0"/>
              <w:snapToGrid w:val="0"/>
              <w:spacing w:line="240" w:lineRule="auto"/>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条款名称</w:t>
            </w:r>
          </w:p>
        </w:tc>
        <w:tc>
          <w:tcPr>
            <w:tcW w:w="5771" w:type="dxa"/>
            <w:gridSpan w:val="3"/>
            <w:tcBorders>
              <w:tl2br w:val="nil"/>
              <w:tr2bl w:val="nil"/>
            </w:tcBorders>
            <w:noWrap w:val="0"/>
            <w:vAlign w:val="center"/>
          </w:tcPr>
          <w:p w14:paraId="162E6552">
            <w:pPr>
              <w:adjustRightInd w:val="0"/>
              <w:snapToGrid w:val="0"/>
              <w:spacing w:line="240" w:lineRule="auto"/>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编列内容</w:t>
            </w:r>
          </w:p>
        </w:tc>
      </w:tr>
      <w:tr w14:paraId="19579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75" w:type="dxa"/>
            <w:tcBorders>
              <w:tl2br w:val="nil"/>
              <w:tr2bl w:val="nil"/>
            </w:tcBorders>
            <w:noWrap w:val="0"/>
            <w:vAlign w:val="center"/>
          </w:tcPr>
          <w:p w14:paraId="76CD3233">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1.1.5</w:t>
            </w:r>
          </w:p>
        </w:tc>
        <w:tc>
          <w:tcPr>
            <w:tcW w:w="1512" w:type="dxa"/>
            <w:tcBorders>
              <w:tl2br w:val="nil"/>
              <w:tr2bl w:val="nil"/>
            </w:tcBorders>
            <w:noWrap w:val="0"/>
            <w:vAlign w:val="center"/>
          </w:tcPr>
          <w:p w14:paraId="49AE3715">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服务地点</w:t>
            </w:r>
          </w:p>
        </w:tc>
        <w:tc>
          <w:tcPr>
            <w:tcW w:w="5771" w:type="dxa"/>
            <w:gridSpan w:val="3"/>
            <w:tcBorders>
              <w:tl2br w:val="nil"/>
              <w:tr2bl w:val="nil"/>
            </w:tcBorders>
            <w:noWrap w:val="0"/>
            <w:vAlign w:val="center"/>
          </w:tcPr>
          <w:p w14:paraId="29D43003">
            <w:pPr>
              <w:adjustRightInd w:val="0"/>
              <w:snapToGrid w:val="0"/>
              <w:spacing w:line="360" w:lineRule="auto"/>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陕西省肿瘤医院指定地点。</w:t>
            </w:r>
          </w:p>
        </w:tc>
      </w:tr>
      <w:tr w14:paraId="355FB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75" w:type="dxa"/>
            <w:tcBorders>
              <w:tl2br w:val="nil"/>
              <w:tr2bl w:val="nil"/>
            </w:tcBorders>
            <w:noWrap w:val="0"/>
            <w:vAlign w:val="center"/>
          </w:tcPr>
          <w:p w14:paraId="099450B5">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1.3.1</w:t>
            </w:r>
          </w:p>
        </w:tc>
        <w:tc>
          <w:tcPr>
            <w:tcW w:w="1512" w:type="dxa"/>
            <w:tcBorders>
              <w:tl2br w:val="nil"/>
              <w:tr2bl w:val="nil"/>
            </w:tcBorders>
            <w:noWrap w:val="0"/>
            <w:vAlign w:val="center"/>
          </w:tcPr>
          <w:p w14:paraId="64BE3876">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采购范围</w:t>
            </w:r>
          </w:p>
        </w:tc>
        <w:tc>
          <w:tcPr>
            <w:tcW w:w="5771" w:type="dxa"/>
            <w:gridSpan w:val="3"/>
            <w:tcBorders>
              <w:tl2br w:val="nil"/>
              <w:tr2bl w:val="nil"/>
            </w:tcBorders>
            <w:noWrap w:val="0"/>
            <w:vAlign w:val="center"/>
          </w:tcPr>
          <w:p w14:paraId="55FD308A">
            <w:pPr>
              <w:adjustRightInd w:val="0"/>
              <w:snapToGrid w:val="0"/>
              <w:spacing w:line="360" w:lineRule="auto"/>
              <w:jc w:val="lef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本项目拟选择1家单位为医院提供</w:t>
            </w:r>
            <w:r>
              <w:rPr>
                <w:rFonts w:hint="eastAsia" w:ascii="宋体" w:hAnsi="宋体" w:eastAsia="宋体" w:cs="宋体"/>
                <w:color w:val="000000"/>
                <w:sz w:val="24"/>
                <w:szCs w:val="24"/>
                <w:highlight w:val="none"/>
              </w:rPr>
              <w:t>清洁生产审核及实施</w:t>
            </w:r>
            <w:r>
              <w:rPr>
                <w:rFonts w:hint="eastAsia" w:ascii="宋体" w:hAnsi="宋体" w:eastAsia="宋体" w:cs="宋体"/>
                <w:color w:val="000000"/>
                <w:sz w:val="24"/>
                <w:szCs w:val="24"/>
                <w:highlight w:val="none"/>
                <w:lang w:val="en-US" w:eastAsia="zh-CN"/>
              </w:rPr>
              <w:t>服务</w:t>
            </w:r>
            <w:r>
              <w:rPr>
                <w:rFonts w:hint="eastAsia" w:ascii="宋体" w:hAnsi="宋体" w:eastAsia="宋体" w:cs="宋体"/>
                <w:color w:val="000000"/>
                <w:sz w:val="24"/>
                <w:szCs w:val="24"/>
                <w:highlight w:val="none"/>
              </w:rPr>
              <w:t>，服务范围覆盖医院全运营区域，包含诊疗区、办公区、后勤保障区、医疗废物贮存室、污水处理站、配电室等所有功能区域。项目以 “节能、降耗、减污、增效” 为核心，通过开展专业清洁生产审核，识别医院运营过程中资源能源浪费、污染物排放等问题，制定并实施针对性的清洁生产改造施工方案，建立长效清洁生产管理机制，全面提升医院绿色运营、低碳发展水平，符合三级甲等综合医院的环保与运营管理要求</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具体</w:t>
            </w:r>
            <w:r>
              <w:rPr>
                <w:rFonts w:hint="eastAsia" w:ascii="宋体" w:hAnsi="宋体" w:eastAsia="宋体" w:cs="宋体"/>
                <w:color w:val="000000"/>
                <w:sz w:val="24"/>
                <w:szCs w:val="24"/>
                <w:highlight w:val="none"/>
                <w:lang w:val="en-US" w:eastAsia="zh-CN"/>
              </w:rPr>
              <w:t>服务</w:t>
            </w:r>
            <w:r>
              <w:rPr>
                <w:rFonts w:hint="eastAsia" w:ascii="宋体" w:hAnsi="宋体" w:eastAsia="宋体" w:cs="宋体"/>
                <w:color w:val="000000"/>
                <w:sz w:val="24"/>
                <w:szCs w:val="24"/>
                <w:highlight w:val="none"/>
              </w:rPr>
              <w:t>内容及要求详见本竞争性磋商文件、答疑文件中所涵盖的全部服务</w:t>
            </w:r>
            <w:bookmarkStart w:id="526" w:name="_GoBack"/>
            <w:bookmarkEnd w:id="526"/>
            <w:r>
              <w:rPr>
                <w:rFonts w:hint="eastAsia" w:ascii="宋体" w:hAnsi="宋体" w:eastAsia="宋体" w:cs="宋体"/>
                <w:color w:val="000000"/>
                <w:sz w:val="24"/>
                <w:szCs w:val="24"/>
                <w:highlight w:val="none"/>
              </w:rPr>
              <w:t>内容。</w:t>
            </w:r>
          </w:p>
        </w:tc>
      </w:tr>
      <w:tr w14:paraId="2156B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75" w:type="dxa"/>
            <w:tcBorders>
              <w:tl2br w:val="nil"/>
              <w:tr2bl w:val="nil"/>
            </w:tcBorders>
            <w:noWrap w:val="0"/>
            <w:vAlign w:val="center"/>
          </w:tcPr>
          <w:p w14:paraId="2E8A3EDD">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1.3.2</w:t>
            </w:r>
          </w:p>
        </w:tc>
        <w:tc>
          <w:tcPr>
            <w:tcW w:w="1512" w:type="dxa"/>
            <w:tcBorders>
              <w:tl2br w:val="nil"/>
              <w:tr2bl w:val="nil"/>
            </w:tcBorders>
            <w:noWrap w:val="0"/>
            <w:vAlign w:val="center"/>
          </w:tcPr>
          <w:p w14:paraId="08D07E77">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服务期限</w:t>
            </w:r>
          </w:p>
        </w:tc>
        <w:tc>
          <w:tcPr>
            <w:tcW w:w="5771" w:type="dxa"/>
            <w:gridSpan w:val="3"/>
            <w:tcBorders>
              <w:tl2br w:val="nil"/>
              <w:tr2bl w:val="nil"/>
            </w:tcBorders>
            <w:noWrap w:val="0"/>
            <w:vAlign w:val="center"/>
          </w:tcPr>
          <w:p w14:paraId="1CC585B4">
            <w:pPr>
              <w:adjustRightInd w:val="0"/>
              <w:snapToGrid w:val="0"/>
              <w:spacing w:line="360" w:lineRule="auto"/>
              <w:jc w:val="left"/>
              <w:rPr>
                <w:rFonts w:hint="eastAsia" w:ascii="宋体" w:hAnsi="宋体" w:cs="宋体"/>
                <w:color w:val="000000"/>
                <w:sz w:val="24"/>
                <w:szCs w:val="24"/>
                <w:highlight w:val="none"/>
              </w:rPr>
            </w:pPr>
            <w:r>
              <w:rPr>
                <w:rFonts w:hint="eastAsia" w:cs="宋体"/>
                <w:sz w:val="24"/>
                <w:szCs w:val="24"/>
                <w:highlight w:val="none"/>
                <w:lang w:eastAsia="zh-CN"/>
              </w:rPr>
              <w:t>自合同签订之日起至项目验收合格之</w:t>
            </w:r>
            <w:r>
              <w:rPr>
                <w:rFonts w:hint="eastAsia" w:asciiTheme="minorEastAsia" w:hAnsiTheme="minorEastAsia" w:eastAsiaTheme="minorEastAsia" w:cstheme="minorEastAsia"/>
                <w:sz w:val="24"/>
                <w:szCs w:val="24"/>
                <w:highlight w:val="none"/>
                <w:lang w:eastAsia="zh-CN"/>
              </w:rPr>
              <w:t>日止</w:t>
            </w:r>
            <w:r>
              <w:rPr>
                <w:rFonts w:hint="eastAsia" w:asciiTheme="minorEastAsia" w:hAnsiTheme="minorEastAsia" w:eastAsiaTheme="minorEastAsia" w:cstheme="minorEastAsia"/>
                <w:sz w:val="24"/>
                <w:szCs w:val="24"/>
                <w:highlight w:val="none"/>
                <w:lang w:val="en-US" w:eastAsia="zh-CN"/>
              </w:rPr>
              <w:t>。其中，合同签订之日起3个月内完成经专家评审审核通过的高中低价整改方案；整改完成后3个月内完成专家验收并出具验收报告并取得政府验收批复。</w:t>
            </w:r>
          </w:p>
        </w:tc>
      </w:tr>
      <w:tr w14:paraId="297D1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75" w:type="dxa"/>
            <w:tcBorders>
              <w:tl2br w:val="nil"/>
              <w:tr2bl w:val="nil"/>
            </w:tcBorders>
            <w:noWrap w:val="0"/>
            <w:vAlign w:val="center"/>
          </w:tcPr>
          <w:p w14:paraId="13ED8590">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1.3.3</w:t>
            </w:r>
          </w:p>
        </w:tc>
        <w:tc>
          <w:tcPr>
            <w:tcW w:w="1512" w:type="dxa"/>
            <w:tcBorders>
              <w:tl2br w:val="nil"/>
              <w:tr2bl w:val="nil"/>
            </w:tcBorders>
            <w:noWrap w:val="0"/>
            <w:vAlign w:val="center"/>
          </w:tcPr>
          <w:p w14:paraId="134F1566">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质量要求</w:t>
            </w:r>
          </w:p>
        </w:tc>
        <w:tc>
          <w:tcPr>
            <w:tcW w:w="5771" w:type="dxa"/>
            <w:gridSpan w:val="3"/>
            <w:tcBorders>
              <w:tl2br w:val="nil"/>
              <w:tr2bl w:val="nil"/>
            </w:tcBorders>
            <w:noWrap w:val="0"/>
            <w:vAlign w:val="center"/>
          </w:tcPr>
          <w:p w14:paraId="6DFE3F53">
            <w:pPr>
              <w:adjustRightInd w:val="0"/>
              <w:snapToGrid w:val="0"/>
              <w:spacing w:line="360" w:lineRule="auto"/>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合格，符合国家强制性规范及采购人要求。</w:t>
            </w:r>
          </w:p>
        </w:tc>
      </w:tr>
      <w:tr w14:paraId="7BDD6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75" w:type="dxa"/>
            <w:tcBorders>
              <w:tl2br w:val="nil"/>
              <w:tr2bl w:val="nil"/>
            </w:tcBorders>
            <w:noWrap w:val="0"/>
            <w:vAlign w:val="center"/>
          </w:tcPr>
          <w:p w14:paraId="29EA08B4">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1.4.1</w:t>
            </w:r>
          </w:p>
        </w:tc>
        <w:tc>
          <w:tcPr>
            <w:tcW w:w="1512" w:type="dxa"/>
            <w:tcBorders>
              <w:tl2br w:val="nil"/>
              <w:tr2bl w:val="nil"/>
            </w:tcBorders>
            <w:noWrap w:val="0"/>
            <w:vAlign w:val="center"/>
          </w:tcPr>
          <w:p w14:paraId="31B67AFA">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供应商资质条件</w:t>
            </w:r>
          </w:p>
        </w:tc>
        <w:tc>
          <w:tcPr>
            <w:tcW w:w="5771" w:type="dxa"/>
            <w:gridSpan w:val="3"/>
            <w:tcBorders>
              <w:tl2br w:val="nil"/>
              <w:tr2bl w:val="nil"/>
            </w:tcBorders>
            <w:noWrap w:val="0"/>
            <w:vAlign w:val="center"/>
          </w:tcPr>
          <w:p w14:paraId="152955CB">
            <w:pPr>
              <w:adjustRightInd w:val="0"/>
              <w:snapToGrid w:val="0"/>
              <w:spacing w:line="360" w:lineRule="auto"/>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详见本文件“第一章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竞争性磋商公告”供应商资格要求。</w:t>
            </w:r>
          </w:p>
        </w:tc>
      </w:tr>
      <w:tr w14:paraId="19EA9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75" w:type="dxa"/>
            <w:tcBorders>
              <w:tl2br w:val="nil"/>
              <w:tr2bl w:val="nil"/>
            </w:tcBorders>
            <w:noWrap w:val="0"/>
            <w:vAlign w:val="center"/>
          </w:tcPr>
          <w:p w14:paraId="390CEAB1">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1.10</w:t>
            </w:r>
          </w:p>
        </w:tc>
        <w:tc>
          <w:tcPr>
            <w:tcW w:w="1512" w:type="dxa"/>
            <w:tcBorders>
              <w:tl2br w:val="nil"/>
              <w:tr2bl w:val="nil"/>
            </w:tcBorders>
            <w:noWrap w:val="0"/>
            <w:vAlign w:val="center"/>
          </w:tcPr>
          <w:p w14:paraId="3D36C510">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答疑</w:t>
            </w:r>
          </w:p>
        </w:tc>
        <w:tc>
          <w:tcPr>
            <w:tcW w:w="5771" w:type="dxa"/>
            <w:gridSpan w:val="3"/>
            <w:tcBorders>
              <w:tl2br w:val="nil"/>
              <w:tr2bl w:val="nil"/>
            </w:tcBorders>
            <w:noWrap w:val="0"/>
            <w:vAlign w:val="center"/>
          </w:tcPr>
          <w:p w14:paraId="70219E7C">
            <w:pPr>
              <w:adjustRightInd w:val="0"/>
              <w:snapToGrid w:val="0"/>
              <w:spacing w:line="360" w:lineRule="auto"/>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已领取本竞争性磋商文件的供应商若对本竞争性磋商文件有疑问，需要采购人或采购代理机构回复的，应在响应文件递交截止时间5天前向采购代理机构指定邮箱提交疑问问题word版电子文件以及加盖公章的PDF扫描件，如缺少上述要求的书面材料或逾期提交的，采购人或采购代理机构将依法不予进行回复。指定邮箱为</w:t>
            </w:r>
            <w:r>
              <w:rPr>
                <w:rFonts w:hint="eastAsia" w:ascii="宋体" w:hAnsi="宋体" w:cs="宋体"/>
                <w:color w:val="000000"/>
                <w:sz w:val="24"/>
                <w:szCs w:val="24"/>
                <w:highlight w:val="none"/>
                <w:lang w:eastAsia="zh-CN"/>
              </w:rPr>
              <w:t>2973608682@qq.com</w:t>
            </w:r>
          </w:p>
        </w:tc>
      </w:tr>
      <w:tr w14:paraId="3158E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175" w:type="dxa"/>
            <w:tcBorders>
              <w:tl2br w:val="nil"/>
              <w:tr2bl w:val="nil"/>
            </w:tcBorders>
            <w:noWrap w:val="0"/>
            <w:vAlign w:val="center"/>
          </w:tcPr>
          <w:p w14:paraId="4062D34F">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3.1.2</w:t>
            </w:r>
          </w:p>
        </w:tc>
        <w:tc>
          <w:tcPr>
            <w:tcW w:w="1512" w:type="dxa"/>
            <w:tcBorders>
              <w:tl2br w:val="nil"/>
              <w:tr2bl w:val="nil"/>
            </w:tcBorders>
            <w:noWrap w:val="0"/>
            <w:vAlign w:val="center"/>
          </w:tcPr>
          <w:p w14:paraId="14C81DFB">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响应文件的份数</w:t>
            </w:r>
          </w:p>
        </w:tc>
        <w:tc>
          <w:tcPr>
            <w:tcW w:w="5771" w:type="dxa"/>
            <w:gridSpan w:val="3"/>
            <w:tcBorders>
              <w:tl2br w:val="nil"/>
              <w:tr2bl w:val="nil"/>
            </w:tcBorders>
            <w:noWrap w:val="0"/>
            <w:vAlign w:val="center"/>
          </w:tcPr>
          <w:p w14:paraId="0F1A8885">
            <w:pPr>
              <w:adjustRightInd w:val="0"/>
              <w:snapToGrid w:val="0"/>
              <w:spacing w:line="360" w:lineRule="auto"/>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正本一份、副本二份、磋商一次报价表一份、电子版文件一份（电子版本文件为与纸质版本响应文件一致的word版本及盖章签字后扫描的PDF版本各一份，电子版内容仅作为后期留存资料，如后期核对中发现电子版本与纸质版本内容不一致或因故无法正常读取的，供应商应配合及时完成更换）</w:t>
            </w:r>
          </w:p>
          <w:p w14:paraId="00D2FF3E">
            <w:pPr>
              <w:adjustRightInd w:val="0"/>
              <w:snapToGrid w:val="0"/>
              <w:spacing w:line="360" w:lineRule="auto"/>
              <w:jc w:val="lef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备注：电子版文件存储介质：U盘，供应商所递交的U盘上用标签注明单位简称、项目名称。</w:t>
            </w:r>
          </w:p>
        </w:tc>
      </w:tr>
      <w:tr w14:paraId="62EC9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75" w:type="dxa"/>
            <w:tcBorders>
              <w:tl2br w:val="nil"/>
              <w:tr2bl w:val="nil"/>
            </w:tcBorders>
            <w:noWrap w:val="0"/>
            <w:vAlign w:val="center"/>
          </w:tcPr>
          <w:p w14:paraId="1DCA5512">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3.1.3</w:t>
            </w:r>
          </w:p>
        </w:tc>
        <w:tc>
          <w:tcPr>
            <w:tcW w:w="1512" w:type="dxa"/>
            <w:tcBorders>
              <w:tl2br w:val="nil"/>
              <w:tr2bl w:val="nil"/>
            </w:tcBorders>
            <w:noWrap w:val="0"/>
            <w:vAlign w:val="center"/>
          </w:tcPr>
          <w:p w14:paraId="7D9A8354">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响应文件的密封与包装</w:t>
            </w:r>
          </w:p>
        </w:tc>
        <w:tc>
          <w:tcPr>
            <w:tcW w:w="5771" w:type="dxa"/>
            <w:gridSpan w:val="3"/>
            <w:tcBorders>
              <w:tl2br w:val="nil"/>
              <w:tr2bl w:val="nil"/>
            </w:tcBorders>
            <w:noWrap w:val="0"/>
            <w:vAlign w:val="center"/>
          </w:tcPr>
          <w:p w14:paraId="68D608A1">
            <w:pPr>
              <w:adjustRightInd w:val="0"/>
              <w:snapToGrid w:val="0"/>
              <w:spacing w:line="360" w:lineRule="auto"/>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1.响应文件正、副本应分别胶装成册，装订应牢固、不易拆散和换页，不得采用活页装订。</w:t>
            </w:r>
          </w:p>
          <w:p w14:paraId="3228A628">
            <w:pPr>
              <w:adjustRightInd w:val="0"/>
              <w:snapToGrid w:val="0"/>
              <w:spacing w:line="360" w:lineRule="auto"/>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2.密封包装方式：</w:t>
            </w:r>
          </w:p>
          <w:p w14:paraId="7DCEC20D">
            <w:pPr>
              <w:adjustRightInd w:val="0"/>
              <w:snapToGrid w:val="0"/>
              <w:spacing w:line="360" w:lineRule="auto"/>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响应文件的正本与电子版文件（U盘）密封于一个密封袋内，副本密封于一个密封袋内，磋商一次报价表除在响应文件内装订外，还应再重复制作一份单独密封放于一个密封袋内（应与响应文件内的响应一次报价表一致且签章齐全）；封袋应加盖供应商单位公章，封袋正面要粘贴“响应一次报价表”的标识。</w:t>
            </w:r>
          </w:p>
          <w:p w14:paraId="541F2E9A">
            <w:pPr>
              <w:adjustRightInd w:val="0"/>
              <w:snapToGrid w:val="0"/>
              <w:spacing w:line="360" w:lineRule="auto"/>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3.封套上应载明的信息：按照本文件“第六章 响应文件格式”编制。</w:t>
            </w:r>
          </w:p>
        </w:tc>
      </w:tr>
      <w:tr w14:paraId="56FA8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75" w:type="dxa"/>
            <w:tcBorders>
              <w:tl2br w:val="nil"/>
              <w:tr2bl w:val="nil"/>
            </w:tcBorders>
            <w:noWrap w:val="0"/>
            <w:vAlign w:val="center"/>
          </w:tcPr>
          <w:p w14:paraId="438D9E6E">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3.2.3</w:t>
            </w:r>
          </w:p>
        </w:tc>
        <w:tc>
          <w:tcPr>
            <w:tcW w:w="1512" w:type="dxa"/>
            <w:tcBorders>
              <w:tl2br w:val="nil"/>
              <w:tr2bl w:val="nil"/>
            </w:tcBorders>
            <w:noWrap w:val="0"/>
            <w:vAlign w:val="center"/>
          </w:tcPr>
          <w:p w14:paraId="3509BABE">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竞争性磋商</w:t>
            </w:r>
          </w:p>
          <w:p w14:paraId="15341860">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报价要求</w:t>
            </w:r>
          </w:p>
        </w:tc>
        <w:tc>
          <w:tcPr>
            <w:tcW w:w="5771" w:type="dxa"/>
            <w:gridSpan w:val="3"/>
            <w:tcBorders>
              <w:tl2br w:val="nil"/>
              <w:tr2bl w:val="nil"/>
            </w:tcBorders>
            <w:noWrap w:val="0"/>
            <w:vAlign w:val="center"/>
          </w:tcPr>
          <w:p w14:paraId="1098A588">
            <w:pPr>
              <w:adjustRightInd w:val="0"/>
              <w:snapToGrid w:val="0"/>
              <w:spacing w:line="360" w:lineRule="auto"/>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各供应商在磋商时以填报</w:t>
            </w:r>
            <w:r>
              <w:rPr>
                <w:rFonts w:hint="eastAsia" w:ascii="宋体" w:hAnsi="宋体" w:eastAsia="宋体" w:cs="宋体"/>
                <w:color w:val="000000"/>
                <w:sz w:val="24"/>
                <w:szCs w:val="24"/>
                <w:highlight w:val="none"/>
                <w:lang w:eastAsia="zh-CN"/>
              </w:rPr>
              <w:t>“总价及单价”</w:t>
            </w:r>
            <w:r>
              <w:rPr>
                <w:rFonts w:hint="eastAsia" w:ascii="宋体" w:hAnsi="宋体" w:eastAsia="宋体" w:cs="宋体"/>
                <w:color w:val="000000"/>
                <w:sz w:val="24"/>
                <w:szCs w:val="24"/>
                <w:highlight w:val="none"/>
              </w:rPr>
              <w:t>的形式自主填报磋商报价，但不得超出本项目的磋商最高限价，否则将按照无效磋商处理</w:t>
            </w:r>
            <w:r>
              <w:rPr>
                <w:rFonts w:hint="eastAsia" w:ascii="宋体" w:hAnsi="宋体" w:cs="宋体"/>
                <w:color w:val="000000"/>
                <w:sz w:val="24"/>
                <w:szCs w:val="24"/>
                <w:highlight w:val="none"/>
                <w:lang w:eastAsia="zh-CN"/>
              </w:rPr>
              <w:t>，本项目以各供应商填报的总价参与磋商报价的评审，具体详见“第四章</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评审</w:t>
            </w:r>
            <w:r>
              <w:rPr>
                <w:rFonts w:hint="eastAsia" w:ascii="宋体" w:hAnsi="宋体" w:eastAsia="宋体" w:cs="宋体"/>
                <w:color w:val="000000"/>
                <w:sz w:val="24"/>
                <w:szCs w:val="24"/>
                <w:highlight w:val="none"/>
                <w:lang w:eastAsia="zh-CN"/>
              </w:rPr>
              <w:t>办法”。</w:t>
            </w:r>
          </w:p>
          <w:p w14:paraId="462D289E">
            <w:pPr>
              <w:adjustRightInd w:val="0"/>
              <w:snapToGrid w:val="0"/>
              <w:spacing w:line="360" w:lineRule="auto"/>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本项目为固定总价合同，供应商所填报的磋商报价应是完成本次服务范围内所需服务的相应全部费用，包括</w:t>
            </w:r>
            <w:r>
              <w:rPr>
                <w:rFonts w:hint="eastAsia" w:ascii="宋体" w:hAnsi="宋体" w:eastAsia="宋体" w:cs="宋体"/>
                <w:color w:val="000000"/>
                <w:sz w:val="24"/>
                <w:szCs w:val="24"/>
                <w:highlight w:val="none"/>
                <w:lang w:eastAsia="zh-CN"/>
              </w:rPr>
              <w:t>：审核报告编制费、</w:t>
            </w:r>
            <w:r>
              <w:rPr>
                <w:rFonts w:hint="eastAsia" w:ascii="宋体" w:hAnsi="宋体" w:cs="宋体"/>
                <w:color w:val="000000"/>
                <w:sz w:val="24"/>
                <w:szCs w:val="24"/>
                <w:highlight w:val="none"/>
                <w:lang w:val="en-US" w:eastAsia="zh-CN"/>
              </w:rPr>
              <w:t>评审费、评估费、</w:t>
            </w:r>
            <w:r>
              <w:rPr>
                <w:rFonts w:hint="eastAsia" w:ascii="宋体" w:hAnsi="宋体" w:eastAsia="宋体" w:cs="宋体"/>
                <w:color w:val="000000"/>
                <w:sz w:val="24"/>
                <w:szCs w:val="24"/>
                <w:highlight w:val="none"/>
                <w:lang w:eastAsia="zh-CN"/>
              </w:rPr>
              <w:t>人工费、检测</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检测</w:t>
            </w:r>
            <w:r>
              <w:rPr>
                <w:rFonts w:hint="eastAsia" w:ascii="宋体" w:hAnsi="宋体" w:eastAsia="宋体" w:cs="宋体"/>
                <w:color w:val="000000"/>
                <w:sz w:val="24"/>
                <w:szCs w:val="24"/>
                <w:highlight w:val="none"/>
                <w:lang w:eastAsia="zh-CN"/>
              </w:rPr>
              <w:t>费、</w:t>
            </w:r>
            <w:r>
              <w:rPr>
                <w:rFonts w:hint="eastAsia" w:ascii="宋体" w:hAnsi="宋体" w:cs="宋体"/>
                <w:color w:val="000000"/>
                <w:sz w:val="24"/>
                <w:szCs w:val="24"/>
                <w:highlight w:val="none"/>
                <w:lang w:val="en-US" w:eastAsia="zh-CN"/>
              </w:rPr>
              <w:t>培训费</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税金、利润等与之相关的一且直接费、间接费</w:t>
            </w:r>
            <w:r>
              <w:rPr>
                <w:rFonts w:hint="eastAsia" w:ascii="宋体" w:hAnsi="宋体" w:eastAsia="宋体" w:cs="宋体"/>
                <w:color w:val="000000"/>
                <w:sz w:val="24"/>
                <w:szCs w:val="24"/>
                <w:highlight w:val="none"/>
                <w:lang w:eastAsia="zh-CN"/>
              </w:rPr>
              <w:t>，采购人不再支付其他费用。</w:t>
            </w:r>
            <w:r>
              <w:rPr>
                <w:rFonts w:hint="eastAsia" w:ascii="宋体" w:hAnsi="宋体" w:eastAsia="宋体" w:cs="宋体"/>
                <w:color w:val="000000"/>
                <w:sz w:val="24"/>
                <w:szCs w:val="24"/>
                <w:highlight w:val="none"/>
              </w:rPr>
              <w:t>要求的其他相关费用以本采购文件的内容和要求作为磋商依据</w:t>
            </w:r>
            <w:r>
              <w:rPr>
                <w:rFonts w:hint="eastAsia" w:ascii="宋体" w:hAnsi="宋体" w:eastAsia="宋体" w:cs="宋体"/>
                <w:color w:val="000000"/>
                <w:sz w:val="24"/>
                <w:szCs w:val="24"/>
                <w:highlight w:val="none"/>
                <w:lang w:eastAsia="zh-CN"/>
              </w:rPr>
              <w:t>。</w:t>
            </w:r>
          </w:p>
        </w:tc>
      </w:tr>
      <w:tr w14:paraId="43D2B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75" w:type="dxa"/>
            <w:tcBorders>
              <w:tl2br w:val="nil"/>
              <w:tr2bl w:val="nil"/>
            </w:tcBorders>
            <w:noWrap w:val="0"/>
            <w:vAlign w:val="center"/>
          </w:tcPr>
          <w:p w14:paraId="201E7F30">
            <w:pPr>
              <w:adjustRightInd w:val="0"/>
              <w:snapToGrid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3.3.1</w:t>
            </w:r>
          </w:p>
        </w:tc>
        <w:tc>
          <w:tcPr>
            <w:tcW w:w="1512" w:type="dxa"/>
            <w:tcBorders>
              <w:tl2br w:val="nil"/>
              <w:tr2bl w:val="nil"/>
            </w:tcBorders>
            <w:noWrap w:val="0"/>
            <w:vAlign w:val="center"/>
          </w:tcPr>
          <w:p w14:paraId="2E764CCB">
            <w:pPr>
              <w:adjustRightInd w:val="0"/>
              <w:snapToGrid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磋商有效期</w:t>
            </w:r>
          </w:p>
        </w:tc>
        <w:tc>
          <w:tcPr>
            <w:tcW w:w="5771" w:type="dxa"/>
            <w:gridSpan w:val="3"/>
            <w:tcBorders>
              <w:tl2br w:val="nil"/>
              <w:tr2bl w:val="nil"/>
            </w:tcBorders>
            <w:noWrap w:val="0"/>
            <w:vAlign w:val="center"/>
          </w:tcPr>
          <w:p w14:paraId="5025DD48">
            <w:pPr>
              <w:adjustRightInd w:val="0"/>
              <w:snapToGrid w:val="0"/>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自响应文件递交截止之日起90天。</w:t>
            </w:r>
          </w:p>
        </w:tc>
      </w:tr>
      <w:tr w14:paraId="4376D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75" w:type="dxa"/>
            <w:tcBorders>
              <w:tl2br w:val="nil"/>
              <w:tr2bl w:val="nil"/>
            </w:tcBorders>
            <w:noWrap w:val="0"/>
            <w:vAlign w:val="center"/>
          </w:tcPr>
          <w:p w14:paraId="57AA7A2D">
            <w:pPr>
              <w:adjustRightInd w:val="0"/>
              <w:snapToGrid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3.4</w:t>
            </w:r>
          </w:p>
        </w:tc>
        <w:tc>
          <w:tcPr>
            <w:tcW w:w="1512" w:type="dxa"/>
            <w:tcBorders>
              <w:tl2br w:val="nil"/>
              <w:tr2bl w:val="nil"/>
            </w:tcBorders>
            <w:noWrap w:val="0"/>
            <w:vAlign w:val="center"/>
          </w:tcPr>
          <w:p w14:paraId="4F4B88F3">
            <w:pPr>
              <w:adjustRightInd w:val="0"/>
              <w:snapToGrid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磋商保证金</w:t>
            </w:r>
          </w:p>
        </w:tc>
        <w:tc>
          <w:tcPr>
            <w:tcW w:w="5771" w:type="dxa"/>
            <w:gridSpan w:val="3"/>
            <w:tcBorders>
              <w:tl2br w:val="nil"/>
              <w:tr2bl w:val="nil"/>
            </w:tcBorders>
            <w:noWrap w:val="0"/>
            <w:vAlign w:val="center"/>
          </w:tcPr>
          <w:p w14:paraId="21654AC9">
            <w:pPr>
              <w:pStyle w:val="37"/>
              <w:adjustRightInd w:val="0"/>
              <w:snapToGrid w:val="0"/>
              <w:spacing w:after="0" w:line="360" w:lineRule="auto"/>
              <w:ind w:firstLine="0" w:firstLineChars="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需要交纳。磋商保证金要求如下：</w:t>
            </w:r>
          </w:p>
          <w:p w14:paraId="2E087C50">
            <w:pPr>
              <w:pStyle w:val="37"/>
              <w:adjustRightInd w:val="0"/>
              <w:snapToGrid w:val="0"/>
              <w:spacing w:after="0" w:line="360" w:lineRule="auto"/>
              <w:ind w:firstLine="0" w:firstLineChars="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1.交纳金额：人民币</w:t>
            </w:r>
            <w:r>
              <w:rPr>
                <w:rFonts w:hint="eastAsia" w:ascii="宋体" w:hAnsi="宋体" w:cs="宋体"/>
                <w:color w:val="000000"/>
                <w:sz w:val="24"/>
                <w:highlight w:val="none"/>
                <w:lang w:eastAsia="zh-CN"/>
              </w:rPr>
              <w:t>贰仟元整</w:t>
            </w:r>
            <w:r>
              <w:rPr>
                <w:rFonts w:hint="eastAsia" w:ascii="宋体" w:hAnsi="宋体" w:eastAsia="宋体" w:cs="宋体"/>
                <w:color w:val="000000"/>
                <w:sz w:val="24"/>
                <w:highlight w:val="none"/>
              </w:rPr>
              <w:t>（￥</w:t>
            </w:r>
            <w:r>
              <w:rPr>
                <w:rFonts w:hint="eastAsia" w:ascii="宋体" w:hAnsi="宋体" w:cs="宋体"/>
                <w:color w:val="000000"/>
                <w:sz w:val="24"/>
                <w:highlight w:val="none"/>
                <w:lang w:val="en-US" w:eastAsia="zh-CN"/>
              </w:rPr>
              <w:t>2000.00</w:t>
            </w:r>
            <w:r>
              <w:rPr>
                <w:rFonts w:hint="eastAsia" w:ascii="宋体" w:hAnsi="宋体" w:eastAsia="宋体" w:cs="宋体"/>
                <w:color w:val="000000"/>
                <w:sz w:val="24"/>
                <w:highlight w:val="none"/>
              </w:rPr>
              <w:t>元）</w:t>
            </w:r>
          </w:p>
          <w:p w14:paraId="41EB74A4">
            <w:pPr>
              <w:pStyle w:val="37"/>
              <w:adjustRightInd w:val="0"/>
              <w:snapToGrid w:val="0"/>
              <w:spacing w:after="0" w:line="360" w:lineRule="auto"/>
              <w:ind w:firstLine="0" w:firstLineChars="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2.交纳时间：以到账时间为准，由于转账当天不一定能够到账，为避免因保证金未到账而导致采购被拒绝，建议提前转账；缴纳截止时间以响应文件递交截止时间为准。</w:t>
            </w:r>
          </w:p>
          <w:p w14:paraId="4C376375">
            <w:pPr>
              <w:pStyle w:val="37"/>
              <w:adjustRightInd w:val="0"/>
              <w:snapToGrid w:val="0"/>
              <w:spacing w:after="0" w:line="360" w:lineRule="auto"/>
              <w:ind w:firstLine="0" w:firstLineChars="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3.磋商保证金的交纳形式</w:t>
            </w:r>
            <w:r>
              <w:rPr>
                <w:rFonts w:hint="eastAsia" w:ascii="宋体" w:hAnsi="宋体" w:eastAsia="宋体" w:cs="宋体"/>
                <w:color w:val="000000"/>
                <w:sz w:val="24"/>
                <w:szCs w:val="24"/>
                <w:highlight w:val="none"/>
                <w:lang w:val="en-US" w:eastAsia="zh-CN"/>
              </w:rPr>
              <w:t>：本项目接受所有符合国家相关规定形式的保证金缴纳（包括但不限于现金转账、银行保函、担保公司出具的保函或保险机构出具的保证保险保单、电子保函等)，鼓励采用电子保函形式缴纳</w:t>
            </w:r>
            <w:r>
              <w:rPr>
                <w:rFonts w:hint="eastAsia" w:ascii="宋体" w:hAnsi="宋体" w:eastAsia="宋体" w:cs="宋体"/>
                <w:color w:val="000000"/>
                <w:sz w:val="24"/>
                <w:szCs w:val="24"/>
                <w:highlight w:val="none"/>
              </w:rPr>
              <w:t>。</w:t>
            </w:r>
          </w:p>
          <w:p w14:paraId="6338E9E5">
            <w:pPr>
              <w:pStyle w:val="37"/>
              <w:adjustRightInd w:val="0"/>
              <w:snapToGrid w:val="0"/>
              <w:spacing w:after="0" w:line="360" w:lineRule="auto"/>
              <w:ind w:firstLine="0" w:firstLineChars="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4.指定账户名称：开瑞项目管理有限公司</w:t>
            </w:r>
          </w:p>
          <w:p w14:paraId="4990A020">
            <w:pPr>
              <w:pStyle w:val="37"/>
              <w:adjustRightInd w:val="0"/>
              <w:snapToGrid w:val="0"/>
              <w:spacing w:after="0" w:line="360" w:lineRule="auto"/>
              <w:ind w:firstLine="0" w:firstLineChars="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账</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号：129905724510703</w:t>
            </w:r>
          </w:p>
          <w:p w14:paraId="1D46E5C2">
            <w:pPr>
              <w:pStyle w:val="37"/>
              <w:adjustRightInd w:val="0"/>
              <w:snapToGrid w:val="0"/>
              <w:spacing w:after="0" w:line="360" w:lineRule="auto"/>
              <w:ind w:firstLine="0" w:firstLineChars="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开户行：招商银行股份有限公司西安分行营业部</w:t>
            </w:r>
          </w:p>
          <w:p w14:paraId="08619D22">
            <w:pPr>
              <w:pStyle w:val="37"/>
              <w:adjustRightInd w:val="0"/>
              <w:snapToGrid w:val="0"/>
              <w:spacing w:after="0" w:line="360" w:lineRule="auto"/>
              <w:ind w:firstLine="0" w:firstLineChars="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转账事由：【项目编号（或项目名称）磋商保证金】</w:t>
            </w:r>
          </w:p>
          <w:p w14:paraId="019779BB">
            <w:pPr>
              <w:pStyle w:val="37"/>
              <w:adjustRightInd w:val="0"/>
              <w:snapToGrid w:val="0"/>
              <w:spacing w:after="0" w:line="360" w:lineRule="auto"/>
              <w:ind w:firstLine="0" w:firstLineChars="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注：供应商必须将上述转账事由填写清楚，否则所带来的不利后果由其自行承担。</w:t>
            </w:r>
          </w:p>
          <w:p w14:paraId="1D5E29AE">
            <w:pPr>
              <w:pStyle w:val="37"/>
              <w:adjustRightInd w:val="0"/>
              <w:snapToGrid w:val="0"/>
              <w:spacing w:after="0" w:line="360" w:lineRule="auto"/>
              <w:ind w:firstLine="0" w:firstLineChars="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注：①对公转账、电汇时必须写明【项目编号（或项目名称）磋商保证金】等字样，便于采购代理机构查询登记。</w:t>
            </w:r>
          </w:p>
          <w:p w14:paraId="1CA22B4F">
            <w:pPr>
              <w:pStyle w:val="37"/>
              <w:adjustRightInd w:val="0"/>
              <w:snapToGrid w:val="0"/>
              <w:spacing w:after="0" w:line="360" w:lineRule="auto"/>
              <w:ind w:firstLine="0" w:firstLineChars="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②磋商保证金交纳时间以到达指定账户时间为准。各供应商在银行转账（电汇）时，须充分考虑银行转账（电汇）的时间差风险，如同城转账、异地转账或汇款、跨行转账或电汇的时间要求，确保在本文件规定的交纳截止时间之前交纳进入到指定账户内的磋商保证金，如果在本文件规定的交纳截止时间之前未能收到磋商保证金，则视为未响应本磋商文件要求，按照为无效响应处理，不得进入后续评审环节。</w:t>
            </w:r>
          </w:p>
          <w:p w14:paraId="04E22EF1">
            <w:pPr>
              <w:pStyle w:val="37"/>
              <w:adjustRightInd w:val="0"/>
              <w:snapToGrid w:val="0"/>
              <w:spacing w:after="0" w:line="360" w:lineRule="auto"/>
              <w:ind w:firstLine="0" w:firstLineChars="0"/>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5.供应商以保函形式交纳响应保证金的，须在响应文件递交截止时间前一个工作日将担保机构保函正本原件提交至采购代理机构备案，并将保函正本复印件附在响应文件规定处</w:t>
            </w:r>
            <w:r>
              <w:rPr>
                <w:rFonts w:hint="eastAsia" w:ascii="宋体" w:hAnsi="宋体" w:cs="宋体"/>
                <w:color w:val="000000"/>
                <w:sz w:val="24"/>
                <w:szCs w:val="24"/>
                <w:highlight w:val="none"/>
                <w:lang w:val="en-US" w:eastAsia="zh-CN"/>
              </w:rPr>
              <w:t>。</w:t>
            </w:r>
          </w:p>
        </w:tc>
      </w:tr>
      <w:tr w14:paraId="0A1B9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75" w:type="dxa"/>
            <w:vMerge w:val="restart"/>
            <w:tcBorders>
              <w:tl2br w:val="nil"/>
              <w:tr2bl w:val="nil"/>
            </w:tcBorders>
            <w:noWrap w:val="0"/>
            <w:vAlign w:val="center"/>
          </w:tcPr>
          <w:p w14:paraId="598BBFD1">
            <w:pPr>
              <w:adjustRightInd w:val="0"/>
              <w:snapToGrid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3.5</w:t>
            </w:r>
          </w:p>
        </w:tc>
        <w:tc>
          <w:tcPr>
            <w:tcW w:w="1512" w:type="dxa"/>
            <w:vMerge w:val="restart"/>
            <w:tcBorders>
              <w:tl2br w:val="nil"/>
              <w:tr2bl w:val="nil"/>
            </w:tcBorders>
            <w:noWrap w:val="0"/>
            <w:vAlign w:val="center"/>
          </w:tcPr>
          <w:p w14:paraId="22638F55">
            <w:pPr>
              <w:adjustRightInd w:val="0"/>
              <w:snapToGrid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资格审查要求及审查依据</w:t>
            </w:r>
          </w:p>
        </w:tc>
        <w:tc>
          <w:tcPr>
            <w:tcW w:w="776" w:type="dxa"/>
            <w:tcBorders>
              <w:tl2br w:val="nil"/>
              <w:tr2bl w:val="nil"/>
            </w:tcBorders>
            <w:noWrap w:val="0"/>
            <w:vAlign w:val="center"/>
          </w:tcPr>
          <w:p w14:paraId="2021006E">
            <w:pPr>
              <w:adjustRightInd w:val="0"/>
              <w:snapToGrid w:val="0"/>
              <w:spacing w:line="24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序号</w:t>
            </w:r>
          </w:p>
        </w:tc>
        <w:tc>
          <w:tcPr>
            <w:tcW w:w="2217" w:type="dxa"/>
            <w:tcBorders>
              <w:tl2br w:val="nil"/>
              <w:tr2bl w:val="nil"/>
            </w:tcBorders>
            <w:noWrap w:val="0"/>
            <w:vAlign w:val="center"/>
          </w:tcPr>
          <w:p w14:paraId="17156E8E">
            <w:pPr>
              <w:adjustRightInd w:val="0"/>
              <w:snapToGrid w:val="0"/>
              <w:spacing w:line="24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资格审查要求</w:t>
            </w:r>
          </w:p>
        </w:tc>
        <w:tc>
          <w:tcPr>
            <w:tcW w:w="2778" w:type="dxa"/>
            <w:tcBorders>
              <w:tl2br w:val="nil"/>
              <w:tr2bl w:val="nil"/>
            </w:tcBorders>
            <w:noWrap w:val="0"/>
            <w:vAlign w:val="center"/>
          </w:tcPr>
          <w:p w14:paraId="35C25FB9">
            <w:pPr>
              <w:adjustRightInd w:val="0"/>
              <w:snapToGrid w:val="0"/>
              <w:spacing w:line="24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审查内容及依据</w:t>
            </w:r>
          </w:p>
        </w:tc>
      </w:tr>
      <w:tr w14:paraId="386E5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75" w:type="dxa"/>
            <w:vMerge w:val="continue"/>
            <w:tcBorders>
              <w:tl2br w:val="nil"/>
              <w:tr2bl w:val="nil"/>
            </w:tcBorders>
            <w:noWrap w:val="0"/>
            <w:vAlign w:val="center"/>
          </w:tcPr>
          <w:p w14:paraId="56D7EC51">
            <w:pPr>
              <w:adjustRightInd w:val="0"/>
              <w:snapToGrid w:val="0"/>
              <w:spacing w:line="360" w:lineRule="auto"/>
              <w:jc w:val="center"/>
              <w:rPr>
                <w:rFonts w:hint="eastAsia" w:ascii="宋体" w:hAnsi="宋体" w:eastAsia="宋体" w:cs="宋体"/>
                <w:color w:val="000000"/>
                <w:sz w:val="24"/>
                <w:szCs w:val="24"/>
                <w:highlight w:val="none"/>
              </w:rPr>
            </w:pPr>
          </w:p>
        </w:tc>
        <w:tc>
          <w:tcPr>
            <w:tcW w:w="1512" w:type="dxa"/>
            <w:vMerge w:val="continue"/>
            <w:tcBorders>
              <w:tl2br w:val="nil"/>
              <w:tr2bl w:val="nil"/>
            </w:tcBorders>
            <w:noWrap w:val="0"/>
            <w:vAlign w:val="center"/>
          </w:tcPr>
          <w:p w14:paraId="3AD2299F">
            <w:pPr>
              <w:adjustRightInd w:val="0"/>
              <w:snapToGrid w:val="0"/>
              <w:spacing w:line="360" w:lineRule="auto"/>
              <w:jc w:val="center"/>
              <w:rPr>
                <w:rFonts w:hint="eastAsia" w:ascii="宋体" w:hAnsi="宋体" w:eastAsia="宋体" w:cs="宋体"/>
                <w:color w:val="000000"/>
                <w:sz w:val="24"/>
                <w:szCs w:val="24"/>
                <w:highlight w:val="none"/>
              </w:rPr>
            </w:pPr>
          </w:p>
        </w:tc>
        <w:tc>
          <w:tcPr>
            <w:tcW w:w="776" w:type="dxa"/>
            <w:tcBorders>
              <w:tl2br w:val="nil"/>
              <w:tr2bl w:val="nil"/>
            </w:tcBorders>
            <w:shd w:val="clear" w:color="auto" w:fill="auto"/>
            <w:noWrap w:val="0"/>
            <w:vAlign w:val="center"/>
          </w:tcPr>
          <w:p w14:paraId="1B3BDE56">
            <w:pPr>
              <w:adjustRightInd w:val="0"/>
              <w:snapToGrid w:val="0"/>
              <w:spacing w:line="360" w:lineRule="auto"/>
              <w:jc w:val="center"/>
              <w:rPr>
                <w:rFonts w:hint="eastAsia" w:ascii="宋体" w:hAnsi="宋体" w:eastAsia="宋体" w:cs="宋体"/>
                <w:color w:val="000000"/>
                <w:kern w:val="2"/>
                <w:sz w:val="24"/>
                <w:szCs w:val="24"/>
                <w:highlight w:val="none"/>
                <w:lang w:val="en-US" w:eastAsia="zh-CN" w:bidi="ar-SA"/>
              </w:rPr>
            </w:pPr>
            <w:r>
              <w:rPr>
                <w:rFonts w:hint="eastAsia" w:ascii="宋体" w:hAnsi="宋体" w:cs="宋体"/>
                <w:color w:val="000000"/>
                <w:sz w:val="24"/>
                <w:szCs w:val="24"/>
                <w:highlight w:val="none"/>
                <w:lang w:val="en-US" w:eastAsia="zh-CN"/>
              </w:rPr>
              <w:t>1</w:t>
            </w:r>
          </w:p>
        </w:tc>
        <w:tc>
          <w:tcPr>
            <w:tcW w:w="2217" w:type="dxa"/>
            <w:tcBorders>
              <w:tl2br w:val="nil"/>
              <w:tr2bl w:val="nil"/>
            </w:tcBorders>
            <w:shd w:val="clear" w:color="auto" w:fill="auto"/>
            <w:noWrap w:val="0"/>
            <w:vAlign w:val="center"/>
          </w:tcPr>
          <w:p w14:paraId="4B1BD843">
            <w:pPr>
              <w:adjustRightInd w:val="0"/>
              <w:snapToGrid w:val="0"/>
              <w:spacing w:line="360" w:lineRule="auto"/>
              <w:jc w:val="left"/>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rPr>
              <w:t>符合《中华人民共和国政府采购法》第二十二条的规定</w:t>
            </w:r>
            <w:r>
              <w:rPr>
                <w:rFonts w:hint="eastAsia" w:ascii="宋体" w:hAnsi="宋体" w:cs="宋体"/>
                <w:color w:val="000000"/>
                <w:sz w:val="24"/>
                <w:szCs w:val="24"/>
                <w:highlight w:val="none"/>
                <w:lang w:eastAsia="zh-CN"/>
              </w:rPr>
              <w:t>；</w:t>
            </w:r>
          </w:p>
        </w:tc>
        <w:tc>
          <w:tcPr>
            <w:tcW w:w="2778" w:type="dxa"/>
            <w:tcBorders>
              <w:tl2br w:val="nil"/>
              <w:tr2bl w:val="nil"/>
            </w:tcBorders>
            <w:shd w:val="clear" w:color="auto" w:fill="auto"/>
            <w:noWrap w:val="0"/>
            <w:vAlign w:val="center"/>
          </w:tcPr>
          <w:p w14:paraId="2F41C5C7">
            <w:pPr>
              <w:adjustRightInd w:val="0"/>
              <w:snapToGrid w:val="0"/>
              <w:spacing w:line="360" w:lineRule="auto"/>
              <w:jc w:val="left"/>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b/>
                <w:bCs/>
                <w:color w:val="000000"/>
                <w:sz w:val="24"/>
                <w:szCs w:val="24"/>
                <w:highlight w:val="none"/>
              </w:rPr>
              <w:t>评审依据：</w:t>
            </w:r>
            <w:r>
              <w:rPr>
                <w:rFonts w:hint="eastAsia" w:ascii="宋体" w:hAnsi="宋体" w:eastAsia="宋体" w:cs="宋体"/>
                <w:color w:val="000000"/>
                <w:sz w:val="24"/>
                <w:szCs w:val="24"/>
                <w:highlight w:val="none"/>
              </w:rPr>
              <w:t>供应商应在响应文件中附符合本条要求的承诺书并加盖公章，格式及内容详见本项目竞争性磋商文件“第六章</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响应文件格式”</w:t>
            </w:r>
          </w:p>
        </w:tc>
      </w:tr>
      <w:tr w14:paraId="6EAC8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75" w:type="dxa"/>
            <w:vMerge w:val="continue"/>
            <w:tcBorders>
              <w:tl2br w:val="nil"/>
              <w:tr2bl w:val="nil"/>
            </w:tcBorders>
            <w:noWrap w:val="0"/>
            <w:vAlign w:val="center"/>
          </w:tcPr>
          <w:p w14:paraId="537757E4">
            <w:pPr>
              <w:adjustRightInd w:val="0"/>
              <w:snapToGrid w:val="0"/>
              <w:spacing w:line="360" w:lineRule="auto"/>
              <w:jc w:val="center"/>
              <w:rPr>
                <w:rFonts w:hint="eastAsia" w:ascii="宋体" w:hAnsi="宋体" w:eastAsia="宋体" w:cs="宋体"/>
                <w:color w:val="000000"/>
                <w:sz w:val="24"/>
                <w:szCs w:val="24"/>
                <w:highlight w:val="none"/>
              </w:rPr>
            </w:pPr>
          </w:p>
        </w:tc>
        <w:tc>
          <w:tcPr>
            <w:tcW w:w="1512" w:type="dxa"/>
            <w:vMerge w:val="continue"/>
            <w:tcBorders>
              <w:tl2br w:val="nil"/>
              <w:tr2bl w:val="nil"/>
            </w:tcBorders>
            <w:noWrap w:val="0"/>
            <w:vAlign w:val="center"/>
          </w:tcPr>
          <w:p w14:paraId="32644C87">
            <w:pPr>
              <w:adjustRightInd w:val="0"/>
              <w:snapToGrid w:val="0"/>
              <w:spacing w:line="360" w:lineRule="auto"/>
              <w:jc w:val="center"/>
              <w:rPr>
                <w:rFonts w:hint="eastAsia" w:ascii="宋体" w:hAnsi="宋体" w:eastAsia="宋体" w:cs="宋体"/>
                <w:color w:val="000000"/>
                <w:sz w:val="24"/>
                <w:szCs w:val="24"/>
                <w:highlight w:val="none"/>
              </w:rPr>
            </w:pPr>
          </w:p>
        </w:tc>
        <w:tc>
          <w:tcPr>
            <w:tcW w:w="776" w:type="dxa"/>
            <w:tcBorders>
              <w:tl2br w:val="nil"/>
              <w:tr2bl w:val="nil"/>
            </w:tcBorders>
            <w:noWrap w:val="0"/>
            <w:vAlign w:val="center"/>
          </w:tcPr>
          <w:p w14:paraId="468D02AF">
            <w:pPr>
              <w:adjustRightInd w:val="0"/>
              <w:snapToGrid w:val="0"/>
              <w:spacing w:line="360" w:lineRule="auto"/>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2</w:t>
            </w:r>
          </w:p>
        </w:tc>
        <w:tc>
          <w:tcPr>
            <w:tcW w:w="2217" w:type="dxa"/>
            <w:tcBorders>
              <w:tl2br w:val="nil"/>
              <w:tr2bl w:val="nil"/>
            </w:tcBorders>
            <w:noWrap w:val="0"/>
            <w:vAlign w:val="center"/>
          </w:tcPr>
          <w:p w14:paraId="160A88C8">
            <w:pPr>
              <w:adjustRightInd w:val="0"/>
              <w:snapToGrid w:val="0"/>
              <w:spacing w:line="360" w:lineRule="auto"/>
              <w:jc w:val="left"/>
              <w:rPr>
                <w:rFonts w:hint="eastAsia" w:ascii="宋体" w:hAnsi="宋体" w:eastAsia="宋体" w:cs="宋体"/>
                <w:color w:val="000000"/>
                <w:sz w:val="24"/>
                <w:szCs w:val="24"/>
                <w:highlight w:val="none"/>
                <w:lang w:eastAsia="zh-CN"/>
              </w:rPr>
            </w:pPr>
            <w:r>
              <w:rPr>
                <w:rFonts w:hint="eastAsia" w:ascii="宋体" w:hAnsi="宋体" w:cs="宋体"/>
                <w:sz w:val="24"/>
                <w:szCs w:val="24"/>
                <w:highlight w:val="none"/>
              </w:rPr>
              <w:t>落实政府采购政策需满足的资格要求</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本项目专门面向中小企业；</w:t>
            </w:r>
          </w:p>
        </w:tc>
        <w:tc>
          <w:tcPr>
            <w:tcW w:w="2778" w:type="dxa"/>
            <w:tcBorders>
              <w:tl2br w:val="nil"/>
              <w:tr2bl w:val="nil"/>
            </w:tcBorders>
            <w:noWrap w:val="0"/>
            <w:vAlign w:val="center"/>
          </w:tcPr>
          <w:p w14:paraId="0FEE0EF4">
            <w:pPr>
              <w:adjustRightInd w:val="0"/>
              <w:snapToGrid w:val="0"/>
              <w:spacing w:line="360" w:lineRule="auto"/>
              <w:jc w:val="lef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评审依据：</w:t>
            </w:r>
            <w:r>
              <w:rPr>
                <w:rFonts w:hint="eastAsia" w:ascii="宋体" w:hAnsi="宋体" w:eastAsia="宋体" w:cs="宋体"/>
                <w:color w:val="000000"/>
                <w:sz w:val="24"/>
                <w:szCs w:val="24"/>
                <w:highlight w:val="none"/>
              </w:rPr>
              <w:t>供应商应在响应文件中附符合本条要求的</w:t>
            </w:r>
            <w:r>
              <w:rPr>
                <w:rFonts w:hint="eastAsia" w:ascii="宋体" w:hAnsi="宋体" w:cs="宋体"/>
                <w:color w:val="000000"/>
                <w:sz w:val="24"/>
                <w:szCs w:val="24"/>
                <w:highlight w:val="none"/>
                <w:lang w:val="en-US" w:eastAsia="zh-CN"/>
              </w:rPr>
              <w:t>中小声明函</w:t>
            </w:r>
            <w:r>
              <w:rPr>
                <w:rFonts w:hint="eastAsia" w:ascii="宋体" w:hAnsi="宋体" w:eastAsia="宋体" w:cs="宋体"/>
                <w:color w:val="000000"/>
                <w:sz w:val="24"/>
                <w:szCs w:val="24"/>
                <w:highlight w:val="none"/>
              </w:rPr>
              <w:t>并加盖公章，格式及内容详见本项目竞争性磋商文件“第六章</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响应文件格式”</w:t>
            </w:r>
          </w:p>
        </w:tc>
      </w:tr>
      <w:tr w14:paraId="49FE0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75" w:type="dxa"/>
            <w:vMerge w:val="continue"/>
            <w:tcBorders>
              <w:tl2br w:val="nil"/>
              <w:tr2bl w:val="nil"/>
            </w:tcBorders>
            <w:noWrap w:val="0"/>
            <w:vAlign w:val="center"/>
          </w:tcPr>
          <w:p w14:paraId="541E895F">
            <w:pPr>
              <w:adjustRightInd w:val="0"/>
              <w:snapToGrid w:val="0"/>
              <w:spacing w:line="360" w:lineRule="auto"/>
              <w:jc w:val="center"/>
              <w:rPr>
                <w:rFonts w:hint="eastAsia" w:ascii="宋体" w:hAnsi="宋体" w:eastAsia="宋体" w:cs="宋体"/>
                <w:color w:val="000000"/>
                <w:sz w:val="24"/>
                <w:szCs w:val="24"/>
                <w:highlight w:val="none"/>
              </w:rPr>
            </w:pPr>
          </w:p>
        </w:tc>
        <w:tc>
          <w:tcPr>
            <w:tcW w:w="1512" w:type="dxa"/>
            <w:vMerge w:val="continue"/>
            <w:tcBorders>
              <w:tl2br w:val="nil"/>
              <w:tr2bl w:val="nil"/>
            </w:tcBorders>
            <w:noWrap w:val="0"/>
            <w:vAlign w:val="center"/>
          </w:tcPr>
          <w:p w14:paraId="4830692E">
            <w:pPr>
              <w:adjustRightInd w:val="0"/>
              <w:snapToGrid w:val="0"/>
              <w:spacing w:line="360" w:lineRule="auto"/>
              <w:jc w:val="center"/>
              <w:rPr>
                <w:rFonts w:hint="eastAsia" w:ascii="宋体" w:hAnsi="宋体" w:eastAsia="宋体" w:cs="宋体"/>
                <w:color w:val="000000"/>
                <w:sz w:val="24"/>
                <w:szCs w:val="24"/>
                <w:highlight w:val="none"/>
              </w:rPr>
            </w:pPr>
          </w:p>
        </w:tc>
        <w:tc>
          <w:tcPr>
            <w:tcW w:w="776" w:type="dxa"/>
            <w:tcBorders>
              <w:tl2br w:val="nil"/>
              <w:tr2bl w:val="nil"/>
            </w:tcBorders>
            <w:shd w:val="clear" w:color="auto" w:fill="auto"/>
            <w:noWrap w:val="0"/>
            <w:vAlign w:val="center"/>
          </w:tcPr>
          <w:p w14:paraId="0C0E2441">
            <w:pPr>
              <w:adjustRightInd w:val="0"/>
              <w:snapToGrid w:val="0"/>
              <w:spacing w:line="360" w:lineRule="auto"/>
              <w:jc w:val="center"/>
              <w:rPr>
                <w:rFonts w:hint="eastAsia" w:ascii="宋体" w:hAnsi="宋体" w:eastAsia="宋体" w:cs="宋体"/>
                <w:color w:val="000000"/>
                <w:kern w:val="2"/>
                <w:sz w:val="24"/>
                <w:szCs w:val="24"/>
                <w:highlight w:val="none"/>
                <w:lang w:val="en-US" w:eastAsia="zh-CN" w:bidi="ar-SA"/>
              </w:rPr>
            </w:pPr>
            <w:r>
              <w:rPr>
                <w:rFonts w:hint="eastAsia" w:ascii="宋体" w:hAnsi="宋体" w:cs="宋体"/>
                <w:color w:val="000000"/>
                <w:sz w:val="24"/>
                <w:szCs w:val="24"/>
                <w:highlight w:val="none"/>
                <w:lang w:val="en-US" w:eastAsia="zh-CN"/>
              </w:rPr>
              <w:t>3</w:t>
            </w:r>
          </w:p>
        </w:tc>
        <w:tc>
          <w:tcPr>
            <w:tcW w:w="2217" w:type="dxa"/>
            <w:tcBorders>
              <w:tl2br w:val="nil"/>
              <w:tr2bl w:val="nil"/>
            </w:tcBorders>
            <w:shd w:val="clear" w:color="auto" w:fill="auto"/>
            <w:noWrap w:val="0"/>
            <w:vAlign w:val="center"/>
          </w:tcPr>
          <w:p w14:paraId="3820C483">
            <w:pPr>
              <w:adjustRightInd w:val="0"/>
              <w:snapToGrid w:val="0"/>
              <w:spacing w:line="360" w:lineRule="auto"/>
              <w:jc w:val="left"/>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rPr>
              <w:t>供应商为向采购人提供服务的法人或其他组织</w:t>
            </w:r>
            <w:r>
              <w:rPr>
                <w:rFonts w:hint="eastAsia" w:ascii="宋体" w:hAnsi="宋体" w:cs="宋体"/>
                <w:color w:val="000000"/>
                <w:sz w:val="24"/>
                <w:szCs w:val="24"/>
                <w:highlight w:val="none"/>
                <w:lang w:eastAsia="zh-CN"/>
              </w:rPr>
              <w:t>；</w:t>
            </w:r>
          </w:p>
        </w:tc>
        <w:tc>
          <w:tcPr>
            <w:tcW w:w="2778" w:type="dxa"/>
            <w:tcBorders>
              <w:tl2br w:val="nil"/>
              <w:tr2bl w:val="nil"/>
            </w:tcBorders>
            <w:shd w:val="clear" w:color="auto" w:fill="auto"/>
            <w:noWrap w:val="0"/>
            <w:vAlign w:val="center"/>
          </w:tcPr>
          <w:p w14:paraId="7457150C">
            <w:pPr>
              <w:adjustRightInd w:val="0"/>
              <w:snapToGrid w:val="0"/>
              <w:spacing w:line="360" w:lineRule="auto"/>
              <w:jc w:val="left"/>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b/>
                <w:bCs/>
                <w:color w:val="000000"/>
                <w:sz w:val="24"/>
                <w:szCs w:val="24"/>
                <w:highlight w:val="none"/>
              </w:rPr>
              <w:t>评审依据：</w:t>
            </w:r>
            <w:r>
              <w:rPr>
                <w:rFonts w:hint="eastAsia" w:ascii="宋体" w:hAnsi="宋体" w:eastAsia="宋体" w:cs="宋体"/>
                <w:color w:val="000000"/>
                <w:sz w:val="24"/>
                <w:szCs w:val="24"/>
                <w:highlight w:val="none"/>
              </w:rPr>
              <w:t>供应商应提供营业执照复印件或扫描件，其他组织提供相应证明材料。</w:t>
            </w:r>
          </w:p>
        </w:tc>
      </w:tr>
      <w:tr w14:paraId="4DB4B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75" w:type="dxa"/>
            <w:vMerge w:val="continue"/>
            <w:tcBorders>
              <w:tl2br w:val="nil"/>
              <w:tr2bl w:val="nil"/>
            </w:tcBorders>
            <w:noWrap w:val="0"/>
            <w:vAlign w:val="center"/>
          </w:tcPr>
          <w:p w14:paraId="29C789C9">
            <w:pPr>
              <w:adjustRightInd w:val="0"/>
              <w:snapToGrid w:val="0"/>
              <w:spacing w:line="360" w:lineRule="auto"/>
              <w:jc w:val="center"/>
              <w:rPr>
                <w:rFonts w:hint="eastAsia" w:ascii="宋体" w:hAnsi="宋体" w:eastAsia="宋体" w:cs="宋体"/>
                <w:color w:val="000000"/>
                <w:sz w:val="24"/>
                <w:szCs w:val="24"/>
                <w:highlight w:val="none"/>
              </w:rPr>
            </w:pPr>
          </w:p>
        </w:tc>
        <w:tc>
          <w:tcPr>
            <w:tcW w:w="1512" w:type="dxa"/>
            <w:vMerge w:val="continue"/>
            <w:tcBorders>
              <w:tl2br w:val="nil"/>
              <w:tr2bl w:val="nil"/>
            </w:tcBorders>
            <w:noWrap w:val="0"/>
            <w:vAlign w:val="center"/>
          </w:tcPr>
          <w:p w14:paraId="206540D8">
            <w:pPr>
              <w:adjustRightInd w:val="0"/>
              <w:snapToGrid w:val="0"/>
              <w:spacing w:line="360" w:lineRule="auto"/>
              <w:jc w:val="center"/>
              <w:rPr>
                <w:rFonts w:hint="eastAsia" w:ascii="宋体" w:hAnsi="宋体" w:eastAsia="宋体" w:cs="宋体"/>
                <w:color w:val="000000"/>
                <w:sz w:val="24"/>
                <w:szCs w:val="24"/>
                <w:highlight w:val="none"/>
              </w:rPr>
            </w:pPr>
          </w:p>
        </w:tc>
        <w:tc>
          <w:tcPr>
            <w:tcW w:w="776" w:type="dxa"/>
            <w:tcBorders>
              <w:tl2br w:val="nil"/>
              <w:tr2bl w:val="nil"/>
            </w:tcBorders>
            <w:shd w:val="clear" w:color="auto" w:fill="auto"/>
            <w:noWrap w:val="0"/>
            <w:vAlign w:val="center"/>
          </w:tcPr>
          <w:p w14:paraId="50CF79F9">
            <w:pPr>
              <w:adjustRightInd w:val="0"/>
              <w:snapToGrid w:val="0"/>
              <w:spacing w:line="360" w:lineRule="auto"/>
              <w:jc w:val="center"/>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4</w:t>
            </w:r>
          </w:p>
        </w:tc>
        <w:tc>
          <w:tcPr>
            <w:tcW w:w="2217" w:type="dxa"/>
            <w:tcBorders>
              <w:tl2br w:val="nil"/>
              <w:tr2bl w:val="nil"/>
            </w:tcBorders>
            <w:shd w:val="clear" w:color="auto" w:fill="auto"/>
            <w:noWrap w:val="0"/>
            <w:vAlign w:val="center"/>
          </w:tcPr>
          <w:p w14:paraId="2497A58F">
            <w:pPr>
              <w:adjustRightInd w:val="0"/>
              <w:snapToGrid w:val="0"/>
              <w:spacing w:line="360" w:lineRule="auto"/>
              <w:jc w:val="left"/>
              <w:rPr>
                <w:rFonts w:hint="eastAsia" w:ascii="宋体" w:hAnsi="宋体" w:eastAsia="宋体" w:cs="宋体"/>
                <w:color w:val="000000"/>
                <w:sz w:val="24"/>
                <w:szCs w:val="24"/>
                <w:highlight w:val="none"/>
              </w:rPr>
            </w:pPr>
            <w:r>
              <w:rPr>
                <w:rFonts w:hint="eastAsia" w:cs="宋体"/>
                <w:color w:val="0000FF"/>
                <w:kern w:val="0"/>
                <w:sz w:val="24"/>
                <w:szCs w:val="24"/>
                <w:highlight w:val="none"/>
                <w:lang w:val="en-US" w:eastAsia="zh-CN" w:bidi="ar-SA"/>
              </w:rPr>
              <w:t>供应商未被“信用中国”网站列入“重大税收违法失信主体名单”</w:t>
            </w:r>
            <w:r>
              <w:rPr>
                <w:rFonts w:hint="eastAsia" w:cs="宋体"/>
                <w:color w:val="000000"/>
                <w:kern w:val="0"/>
                <w:sz w:val="24"/>
                <w:szCs w:val="24"/>
                <w:highlight w:val="none"/>
                <w:lang w:val="en-US" w:eastAsia="zh-CN" w:bidi="ar-SA"/>
              </w:rPr>
              <w:t>；</w:t>
            </w:r>
            <w:r>
              <w:rPr>
                <w:rFonts w:hint="eastAsia" w:cs="宋体"/>
                <w:color w:val="C00000"/>
                <w:kern w:val="0"/>
                <w:sz w:val="24"/>
                <w:szCs w:val="24"/>
                <w:highlight w:val="none"/>
                <w:lang w:val="en-US" w:eastAsia="zh-CN" w:bidi="ar-SA"/>
              </w:rPr>
              <w:t>未被“中国执行信息公开网”列入“失信被执行人”</w:t>
            </w:r>
            <w:r>
              <w:rPr>
                <w:rFonts w:hint="eastAsia" w:cs="宋体"/>
                <w:color w:val="000000"/>
                <w:kern w:val="0"/>
                <w:sz w:val="24"/>
                <w:szCs w:val="24"/>
                <w:highlight w:val="none"/>
                <w:lang w:val="en-US" w:eastAsia="zh-CN" w:bidi="ar-SA"/>
              </w:rPr>
              <w:t>；</w:t>
            </w:r>
            <w:r>
              <w:rPr>
                <w:rFonts w:hint="eastAsia" w:cs="宋体"/>
                <w:color w:val="4F81BD" w:themeColor="accent1"/>
                <w:kern w:val="0"/>
                <w:sz w:val="24"/>
                <w:szCs w:val="24"/>
                <w:highlight w:val="none"/>
                <w:lang w:val="en-US" w:eastAsia="zh-CN" w:bidi="ar-SA"/>
                <w14:textFill>
                  <w14:solidFill>
                    <w14:schemeClr w14:val="accent1"/>
                  </w14:solidFill>
                </w14:textFill>
              </w:rPr>
              <w:t>未被“中国政府采购网”网站列入“政府采购严重违法失信行为记录名单”</w:t>
            </w:r>
            <w:r>
              <w:rPr>
                <w:rFonts w:hint="eastAsia" w:cs="宋体"/>
                <w:color w:val="000000"/>
                <w:kern w:val="0"/>
                <w:sz w:val="24"/>
                <w:szCs w:val="24"/>
                <w:highlight w:val="none"/>
                <w:lang w:val="en-US" w:eastAsia="zh-CN" w:bidi="ar-SA"/>
              </w:rPr>
              <w:t>；</w:t>
            </w:r>
            <w:r>
              <w:rPr>
                <w:rFonts w:hint="eastAsia" w:cs="宋体"/>
                <w:color w:val="4F81BD" w:themeColor="accent1"/>
                <w:kern w:val="0"/>
                <w:sz w:val="24"/>
                <w:szCs w:val="24"/>
                <w:highlight w:val="none"/>
                <w:lang w:val="en-US" w:eastAsia="zh-CN" w:bidi="ar-SA"/>
                <w14:textFill>
                  <w14:solidFill>
                    <w14:schemeClr w14:val="accent1"/>
                  </w14:solidFill>
                </w14:textFill>
              </w:rPr>
              <w:t>未被“国家企业信用信息公示系统”网站“列入严重违法失信名单（黑名单）信息”</w:t>
            </w:r>
            <w:r>
              <w:rPr>
                <w:rFonts w:hint="eastAsia" w:cs="宋体"/>
                <w:color w:val="000000"/>
                <w:kern w:val="0"/>
                <w:sz w:val="24"/>
                <w:szCs w:val="24"/>
                <w:highlight w:val="none"/>
                <w:lang w:val="en-US" w:eastAsia="zh-CN" w:bidi="ar-SA"/>
              </w:rPr>
              <w:t>；</w:t>
            </w:r>
          </w:p>
        </w:tc>
        <w:tc>
          <w:tcPr>
            <w:tcW w:w="2778" w:type="dxa"/>
            <w:tcBorders>
              <w:tl2br w:val="nil"/>
              <w:tr2bl w:val="nil"/>
            </w:tcBorders>
            <w:shd w:val="clear" w:color="auto" w:fill="auto"/>
            <w:noWrap w:val="0"/>
            <w:vAlign w:val="center"/>
          </w:tcPr>
          <w:p w14:paraId="36E8AA7E">
            <w:pPr>
              <w:adjustRightInd w:val="0"/>
              <w:snapToGrid w:val="0"/>
              <w:spacing w:line="360" w:lineRule="auto"/>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评审依据：</w:t>
            </w:r>
            <w:r>
              <w:rPr>
                <w:rFonts w:hint="eastAsia" w:ascii="宋体" w:hAnsi="宋体" w:eastAsia="宋体" w:cs="宋体"/>
                <w:color w:val="000000"/>
                <w:sz w:val="24"/>
                <w:szCs w:val="24"/>
                <w:highlight w:val="none"/>
              </w:rPr>
              <w:t>供应商应在响应文件中附符合本条要求的承诺书并加盖公章，格式及内容详见本项目竞争性磋商文件“第六章</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响应文件格式”</w:t>
            </w:r>
          </w:p>
        </w:tc>
      </w:tr>
      <w:tr w14:paraId="008A6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75" w:type="dxa"/>
            <w:vMerge w:val="continue"/>
            <w:tcBorders>
              <w:tl2br w:val="nil"/>
              <w:tr2bl w:val="nil"/>
            </w:tcBorders>
            <w:noWrap w:val="0"/>
            <w:vAlign w:val="center"/>
          </w:tcPr>
          <w:p w14:paraId="013BF8C6">
            <w:pPr>
              <w:adjustRightInd w:val="0"/>
              <w:snapToGrid w:val="0"/>
              <w:spacing w:line="360" w:lineRule="auto"/>
              <w:jc w:val="center"/>
              <w:rPr>
                <w:rFonts w:hint="eastAsia" w:ascii="宋体" w:hAnsi="宋体" w:eastAsia="宋体" w:cs="宋体"/>
                <w:color w:val="000000"/>
                <w:sz w:val="24"/>
                <w:szCs w:val="24"/>
                <w:highlight w:val="none"/>
              </w:rPr>
            </w:pPr>
          </w:p>
        </w:tc>
        <w:tc>
          <w:tcPr>
            <w:tcW w:w="1512" w:type="dxa"/>
            <w:vMerge w:val="continue"/>
            <w:tcBorders>
              <w:tl2br w:val="nil"/>
              <w:tr2bl w:val="nil"/>
            </w:tcBorders>
            <w:noWrap w:val="0"/>
            <w:vAlign w:val="center"/>
          </w:tcPr>
          <w:p w14:paraId="20D900FB">
            <w:pPr>
              <w:adjustRightInd w:val="0"/>
              <w:snapToGrid w:val="0"/>
              <w:spacing w:line="360" w:lineRule="auto"/>
              <w:jc w:val="center"/>
              <w:rPr>
                <w:rFonts w:hint="eastAsia" w:ascii="宋体" w:hAnsi="宋体" w:eastAsia="宋体" w:cs="宋体"/>
                <w:color w:val="000000"/>
                <w:sz w:val="24"/>
                <w:szCs w:val="24"/>
                <w:highlight w:val="none"/>
              </w:rPr>
            </w:pPr>
          </w:p>
        </w:tc>
        <w:tc>
          <w:tcPr>
            <w:tcW w:w="776" w:type="dxa"/>
            <w:tcBorders>
              <w:tl2br w:val="nil"/>
              <w:tr2bl w:val="nil"/>
            </w:tcBorders>
            <w:noWrap w:val="0"/>
            <w:vAlign w:val="center"/>
          </w:tcPr>
          <w:p w14:paraId="12ED15D7">
            <w:pPr>
              <w:adjustRightInd w:val="0"/>
              <w:snapToGrid w:val="0"/>
              <w:spacing w:line="360" w:lineRule="auto"/>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5</w:t>
            </w:r>
          </w:p>
        </w:tc>
        <w:tc>
          <w:tcPr>
            <w:tcW w:w="2217" w:type="dxa"/>
            <w:tcBorders>
              <w:tl2br w:val="nil"/>
              <w:tr2bl w:val="nil"/>
            </w:tcBorders>
            <w:noWrap w:val="0"/>
            <w:vAlign w:val="center"/>
          </w:tcPr>
          <w:p w14:paraId="10D83D43">
            <w:pPr>
              <w:adjustRightInd w:val="0"/>
              <w:snapToGrid w:val="0"/>
              <w:spacing w:line="360" w:lineRule="auto"/>
              <w:jc w:val="left"/>
              <w:rPr>
                <w:rFonts w:hint="eastAsia" w:ascii="宋体" w:hAnsi="宋体" w:eastAsia="宋体" w:cs="宋体"/>
                <w:color w:val="000000"/>
                <w:sz w:val="24"/>
                <w:szCs w:val="24"/>
                <w:highlight w:val="none"/>
              </w:rPr>
            </w:pPr>
            <w:r>
              <w:rPr>
                <w:rFonts w:hint="eastAsia" w:ascii="宋体" w:hAnsi="宋体" w:cs="宋体"/>
                <w:color w:val="auto"/>
                <w:sz w:val="24"/>
                <w:szCs w:val="24"/>
                <w:highlight w:val="none"/>
                <w:lang w:eastAsia="zh-CN"/>
              </w:rPr>
              <w:t>单位负责人为同一人或者存在直接控股、管理关系的不同供应商，不得参加同一合同项下的采购活动；</w:t>
            </w:r>
          </w:p>
        </w:tc>
        <w:tc>
          <w:tcPr>
            <w:tcW w:w="2778" w:type="dxa"/>
            <w:tcBorders>
              <w:tl2br w:val="nil"/>
              <w:tr2bl w:val="nil"/>
            </w:tcBorders>
            <w:noWrap w:val="0"/>
            <w:vAlign w:val="center"/>
          </w:tcPr>
          <w:p w14:paraId="1C86E003">
            <w:pPr>
              <w:adjustRightInd w:val="0"/>
              <w:snapToGrid w:val="0"/>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b/>
                <w:bCs/>
                <w:color w:val="auto"/>
                <w:sz w:val="24"/>
                <w:szCs w:val="24"/>
                <w:highlight w:val="none"/>
              </w:rPr>
              <w:t>评审依据：</w:t>
            </w:r>
            <w:r>
              <w:rPr>
                <w:rFonts w:hint="eastAsia" w:ascii="宋体" w:hAnsi="宋体" w:eastAsia="宋体" w:cs="宋体"/>
                <w:color w:val="auto"/>
                <w:sz w:val="24"/>
                <w:szCs w:val="24"/>
                <w:highlight w:val="none"/>
              </w:rPr>
              <w:t>供应商应在响应文件中附符合本条要求的承诺书并加盖公章，格式及内容详见本项目竞争性磋商文件“第六章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响应文件格式”</w:t>
            </w:r>
          </w:p>
        </w:tc>
      </w:tr>
      <w:tr w14:paraId="535DB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75" w:type="dxa"/>
            <w:vMerge w:val="continue"/>
            <w:tcBorders>
              <w:tl2br w:val="nil"/>
              <w:tr2bl w:val="nil"/>
            </w:tcBorders>
            <w:noWrap w:val="0"/>
            <w:vAlign w:val="center"/>
          </w:tcPr>
          <w:p w14:paraId="1FC6E6F7">
            <w:pPr>
              <w:adjustRightInd w:val="0"/>
              <w:snapToGrid w:val="0"/>
              <w:spacing w:line="360" w:lineRule="auto"/>
              <w:jc w:val="center"/>
              <w:rPr>
                <w:rFonts w:hint="eastAsia" w:ascii="宋体" w:hAnsi="宋体" w:eastAsia="宋体" w:cs="宋体"/>
                <w:color w:val="000000"/>
                <w:sz w:val="24"/>
                <w:szCs w:val="24"/>
                <w:highlight w:val="none"/>
              </w:rPr>
            </w:pPr>
          </w:p>
        </w:tc>
        <w:tc>
          <w:tcPr>
            <w:tcW w:w="1512" w:type="dxa"/>
            <w:vMerge w:val="continue"/>
            <w:tcBorders>
              <w:tl2br w:val="nil"/>
              <w:tr2bl w:val="nil"/>
            </w:tcBorders>
            <w:noWrap w:val="0"/>
            <w:vAlign w:val="center"/>
          </w:tcPr>
          <w:p w14:paraId="7DDA9E41">
            <w:pPr>
              <w:adjustRightInd w:val="0"/>
              <w:snapToGrid w:val="0"/>
              <w:spacing w:line="360" w:lineRule="auto"/>
              <w:jc w:val="center"/>
              <w:rPr>
                <w:rFonts w:hint="eastAsia" w:ascii="宋体" w:hAnsi="宋体" w:eastAsia="宋体" w:cs="宋体"/>
                <w:color w:val="000000"/>
                <w:sz w:val="24"/>
                <w:szCs w:val="24"/>
                <w:highlight w:val="none"/>
              </w:rPr>
            </w:pPr>
          </w:p>
        </w:tc>
        <w:tc>
          <w:tcPr>
            <w:tcW w:w="5771" w:type="dxa"/>
            <w:gridSpan w:val="3"/>
            <w:tcBorders>
              <w:tl2br w:val="nil"/>
              <w:tr2bl w:val="nil"/>
            </w:tcBorders>
            <w:noWrap w:val="0"/>
            <w:vAlign w:val="center"/>
          </w:tcPr>
          <w:p w14:paraId="316BBEA1">
            <w:pPr>
              <w:adjustRightInd w:val="0"/>
              <w:snapToGrid w:val="0"/>
              <w:spacing w:line="360" w:lineRule="auto"/>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备注：</w:t>
            </w:r>
          </w:p>
          <w:p w14:paraId="2B008C2C">
            <w:pPr>
              <w:adjustRightInd w:val="0"/>
              <w:snapToGrid w:val="0"/>
              <w:spacing w:line="360" w:lineRule="auto"/>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①以上资格证明材料需提供合格有效的证明材料，证明材料提供不全或签字盖章不符合要求的，均属于未按竞争性磋商文件要求提供证明文件，不得通过资格审查。</w:t>
            </w:r>
          </w:p>
          <w:p w14:paraId="3AD4CA59">
            <w:pPr>
              <w:adjustRightInd w:val="0"/>
              <w:snapToGrid w:val="0"/>
              <w:spacing w:line="360" w:lineRule="auto"/>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②信用信息查询渠道：</w:t>
            </w:r>
            <w:r>
              <w:rPr>
                <w:rFonts w:hint="eastAsia" w:ascii="宋体" w:hAnsi="宋体" w:eastAsia="宋体" w:cs="宋体"/>
                <w:b/>
                <w:bCs/>
                <w:color w:val="000000"/>
                <w:sz w:val="24"/>
                <w:szCs w:val="24"/>
                <w:highlight w:val="none"/>
                <w:lang w:val="en-US" w:eastAsia="zh-CN"/>
              </w:rPr>
              <w:t>“信用中国”、“中国执行信息公开网”、“中国政府采购”、““国家企业信用信息公示系统”为供应商信用信息查询渠道</w:t>
            </w:r>
            <w:r>
              <w:rPr>
                <w:rFonts w:hint="eastAsia" w:ascii="宋体" w:hAnsi="宋体" w:eastAsia="宋体" w:cs="宋体"/>
                <w:b/>
                <w:bCs/>
                <w:color w:val="000000"/>
                <w:sz w:val="24"/>
                <w:szCs w:val="24"/>
                <w:highlight w:val="none"/>
              </w:rPr>
              <w:t>。</w:t>
            </w:r>
          </w:p>
          <w:p w14:paraId="03E7E359">
            <w:pPr>
              <w:adjustRightInd w:val="0"/>
              <w:snapToGrid w:val="0"/>
              <w:spacing w:line="360" w:lineRule="auto"/>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③供应商在参加政府采购活动前3年内因违法经营被禁止在一定期限内参加政府采购活动，期限届满的，可以参加政府采购活动，但应提供期限届满的证明材料。</w:t>
            </w:r>
          </w:p>
          <w:p w14:paraId="1DFE3F57">
            <w:pPr>
              <w:adjustRightInd w:val="0"/>
              <w:snapToGrid w:val="0"/>
              <w:spacing w:line="360" w:lineRule="auto"/>
              <w:jc w:val="left"/>
              <w:rPr>
                <w:rFonts w:hint="eastAsia" w:ascii="宋体" w:hAnsi="宋体" w:cs="宋体"/>
                <w:b w:val="0"/>
                <w:bCs w:val="0"/>
                <w:color w:val="000000"/>
                <w:sz w:val="24"/>
                <w:szCs w:val="24"/>
                <w:highlight w:val="none"/>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color w:val="000000"/>
                <w:sz w:val="24"/>
                <w:szCs w:val="24"/>
                <w:highlight w:val="none"/>
              </w:rPr>
              <w:instrText xml:space="preserve"> = 4 \* GB3 \* MERGEFORMAT </w:instrText>
            </w:r>
            <w:r>
              <w:rPr>
                <w:rFonts w:hint="eastAsia" w:ascii="宋体" w:hAnsi="宋体" w:eastAsia="宋体" w:cs="宋体"/>
                <w:b/>
                <w:bCs/>
                <w:color w:val="000000"/>
                <w:sz w:val="24"/>
                <w:szCs w:val="24"/>
                <w:highlight w:val="none"/>
              </w:rPr>
              <w:fldChar w:fldCharType="separate"/>
            </w:r>
            <w:r>
              <w:rPr>
                <w:rFonts w:hint="eastAsia" w:ascii="宋体" w:hAnsi="宋体" w:eastAsia="宋体" w:cs="宋体"/>
                <w:b/>
                <w:bCs/>
                <w:color w:val="000000"/>
                <w:sz w:val="24"/>
                <w:szCs w:val="24"/>
                <w:highlight w:val="none"/>
              </w:rPr>
              <w:t>④</w:t>
            </w:r>
            <w:r>
              <w:rPr>
                <w:rFonts w:hint="eastAsia" w:ascii="宋体" w:hAnsi="宋体" w:eastAsia="宋体" w:cs="宋体"/>
                <w:b/>
                <w:bCs/>
                <w:color w:val="000000"/>
                <w:sz w:val="24"/>
                <w:szCs w:val="24"/>
                <w:highlight w:val="none"/>
              </w:rPr>
              <w:fldChar w:fldCharType="end"/>
            </w:r>
            <w:r>
              <w:rPr>
                <w:rFonts w:hint="eastAsia" w:ascii="宋体" w:hAnsi="宋体" w:eastAsia="宋体" w:cs="宋体"/>
                <w:b/>
                <w:bCs/>
                <w:color w:val="000000"/>
                <w:sz w:val="24"/>
                <w:szCs w:val="24"/>
                <w:highlight w:val="none"/>
              </w:rPr>
              <w:t>磋商小组或者采购人有权在评审过程中对供应商提供的证明材料进行复核，若发现复核结果与供应商提供的证明材料不符的，供应商自行承担相关不利风险。</w:t>
            </w:r>
          </w:p>
        </w:tc>
      </w:tr>
      <w:tr w14:paraId="6BCA7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75" w:type="dxa"/>
            <w:tcBorders>
              <w:tl2br w:val="nil"/>
              <w:tr2bl w:val="nil"/>
            </w:tcBorders>
            <w:noWrap w:val="0"/>
            <w:vAlign w:val="center"/>
          </w:tcPr>
          <w:p w14:paraId="4780500C">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4.2.1</w:t>
            </w:r>
          </w:p>
        </w:tc>
        <w:tc>
          <w:tcPr>
            <w:tcW w:w="1512" w:type="dxa"/>
            <w:tcBorders>
              <w:tl2br w:val="nil"/>
              <w:tr2bl w:val="nil"/>
            </w:tcBorders>
            <w:noWrap w:val="0"/>
            <w:vAlign w:val="center"/>
          </w:tcPr>
          <w:p w14:paraId="5CEF611E">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递交响应文件截止时间</w:t>
            </w:r>
          </w:p>
        </w:tc>
        <w:tc>
          <w:tcPr>
            <w:tcW w:w="5771" w:type="dxa"/>
            <w:gridSpan w:val="3"/>
            <w:tcBorders>
              <w:tl2br w:val="nil"/>
              <w:tr2bl w:val="nil"/>
            </w:tcBorders>
            <w:noWrap w:val="0"/>
            <w:vAlign w:val="center"/>
          </w:tcPr>
          <w:p w14:paraId="19793E9D">
            <w:pPr>
              <w:adjustRightInd w:val="0"/>
              <w:snapToGrid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2026年</w:t>
            </w:r>
            <w:r>
              <w:rPr>
                <w:rFonts w:hint="eastAsia" w:ascii="宋体" w:hAnsi="宋体" w:cs="宋体"/>
                <w:color w:val="000000"/>
                <w:sz w:val="24"/>
                <w:szCs w:val="24"/>
                <w:highlight w:val="none"/>
                <w:u w:val="single"/>
                <w:lang w:val="en-US" w:eastAsia="zh-CN"/>
              </w:rPr>
              <w:t>08</w:t>
            </w:r>
            <w:r>
              <w:rPr>
                <w:rFonts w:hint="eastAsia" w:ascii="宋体" w:hAnsi="宋体" w:cs="宋体"/>
                <w:color w:val="000000"/>
                <w:sz w:val="24"/>
                <w:szCs w:val="24"/>
                <w:highlight w:val="none"/>
              </w:rPr>
              <w:t>月</w:t>
            </w:r>
            <w:r>
              <w:rPr>
                <w:rFonts w:hint="eastAsia" w:ascii="宋体" w:hAnsi="宋体" w:cs="宋体"/>
                <w:color w:val="000000"/>
                <w:sz w:val="24"/>
                <w:szCs w:val="24"/>
                <w:highlight w:val="none"/>
                <w:u w:val="single"/>
                <w:lang w:val="en-US" w:eastAsia="zh-CN"/>
              </w:rPr>
              <w:t>27</w:t>
            </w:r>
            <w:r>
              <w:rPr>
                <w:rFonts w:hint="eastAsia" w:ascii="宋体" w:hAnsi="宋体" w:cs="宋体"/>
                <w:color w:val="000000"/>
                <w:sz w:val="24"/>
                <w:szCs w:val="24"/>
                <w:highlight w:val="none"/>
              </w:rPr>
              <w:t>日</w:t>
            </w:r>
            <w:r>
              <w:rPr>
                <w:rFonts w:hint="eastAsia" w:ascii="宋体" w:hAnsi="宋体" w:cs="宋体"/>
                <w:color w:val="000000"/>
                <w:sz w:val="24"/>
                <w:szCs w:val="24"/>
                <w:highlight w:val="none"/>
                <w:u w:val="single"/>
                <w:lang w:val="en-US" w:eastAsia="zh-CN"/>
              </w:rPr>
              <w:t>15</w:t>
            </w:r>
            <w:r>
              <w:rPr>
                <w:rFonts w:hint="eastAsia" w:ascii="宋体" w:hAnsi="宋体" w:cs="宋体"/>
                <w:color w:val="000000"/>
                <w:sz w:val="24"/>
                <w:szCs w:val="24"/>
                <w:highlight w:val="none"/>
              </w:rPr>
              <w:t>时</w:t>
            </w:r>
            <w:r>
              <w:rPr>
                <w:rFonts w:hint="eastAsia" w:ascii="宋体" w:hAnsi="宋体" w:cs="宋体"/>
                <w:color w:val="000000"/>
                <w:sz w:val="24"/>
                <w:szCs w:val="24"/>
                <w:highlight w:val="none"/>
                <w:u w:val="single"/>
                <w:lang w:val="en-US" w:eastAsia="zh-CN"/>
              </w:rPr>
              <w:t>00</w:t>
            </w:r>
            <w:r>
              <w:rPr>
                <w:rFonts w:hint="eastAsia" w:ascii="宋体" w:hAnsi="宋体" w:cs="宋体"/>
                <w:color w:val="000000"/>
                <w:sz w:val="24"/>
                <w:szCs w:val="24"/>
                <w:highlight w:val="none"/>
              </w:rPr>
              <w:t>分（北京时间）</w:t>
            </w:r>
          </w:p>
        </w:tc>
      </w:tr>
      <w:tr w14:paraId="3184B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75" w:type="dxa"/>
            <w:tcBorders>
              <w:tl2br w:val="nil"/>
              <w:tr2bl w:val="nil"/>
            </w:tcBorders>
            <w:noWrap w:val="0"/>
            <w:vAlign w:val="center"/>
          </w:tcPr>
          <w:p w14:paraId="6D0167A2">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4.2.2</w:t>
            </w:r>
          </w:p>
        </w:tc>
        <w:tc>
          <w:tcPr>
            <w:tcW w:w="1512" w:type="dxa"/>
            <w:tcBorders>
              <w:tl2br w:val="nil"/>
              <w:tr2bl w:val="nil"/>
            </w:tcBorders>
            <w:noWrap w:val="0"/>
            <w:vAlign w:val="center"/>
          </w:tcPr>
          <w:p w14:paraId="14820A21">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递交响应文件地点</w:t>
            </w:r>
          </w:p>
        </w:tc>
        <w:tc>
          <w:tcPr>
            <w:tcW w:w="5771" w:type="dxa"/>
            <w:gridSpan w:val="3"/>
            <w:tcBorders>
              <w:tl2br w:val="nil"/>
              <w:tr2bl w:val="nil"/>
            </w:tcBorders>
            <w:noWrap w:val="0"/>
            <w:vAlign w:val="center"/>
          </w:tcPr>
          <w:p w14:paraId="263AD32B">
            <w:pPr>
              <w:adjustRightInd w:val="0"/>
              <w:snapToGrid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陕西省西安市莲湖区高新二路一号招商银行大厦19层第</w:t>
            </w:r>
            <w:r>
              <w:rPr>
                <w:rFonts w:hint="eastAsia" w:ascii="宋体" w:hAnsi="宋体" w:cs="宋体"/>
                <w:color w:val="000000"/>
                <w:sz w:val="24"/>
                <w:szCs w:val="24"/>
                <w:highlight w:val="none"/>
                <w:u w:val="single"/>
                <w:lang w:val="en-US" w:eastAsia="zh-CN"/>
              </w:rPr>
              <w:t>1</w:t>
            </w:r>
            <w:r>
              <w:rPr>
                <w:rFonts w:hint="eastAsia" w:ascii="宋体" w:hAnsi="宋体" w:eastAsia="宋体" w:cs="宋体"/>
                <w:color w:val="000000"/>
                <w:sz w:val="24"/>
                <w:szCs w:val="24"/>
                <w:highlight w:val="none"/>
              </w:rPr>
              <w:t>会议室</w:t>
            </w:r>
          </w:p>
        </w:tc>
      </w:tr>
      <w:tr w14:paraId="2323A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75" w:type="dxa"/>
            <w:tcBorders>
              <w:tl2br w:val="nil"/>
              <w:tr2bl w:val="nil"/>
            </w:tcBorders>
            <w:noWrap w:val="0"/>
            <w:vAlign w:val="center"/>
          </w:tcPr>
          <w:p w14:paraId="4E16ED5D">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5.2</w:t>
            </w:r>
          </w:p>
        </w:tc>
        <w:tc>
          <w:tcPr>
            <w:tcW w:w="1512" w:type="dxa"/>
            <w:tcBorders>
              <w:tl2br w:val="nil"/>
              <w:tr2bl w:val="nil"/>
            </w:tcBorders>
            <w:noWrap w:val="0"/>
            <w:vAlign w:val="center"/>
          </w:tcPr>
          <w:p w14:paraId="0895A43C">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磋商程序</w:t>
            </w:r>
          </w:p>
        </w:tc>
        <w:tc>
          <w:tcPr>
            <w:tcW w:w="5771" w:type="dxa"/>
            <w:gridSpan w:val="3"/>
            <w:tcBorders>
              <w:tl2br w:val="nil"/>
              <w:tr2bl w:val="nil"/>
            </w:tcBorders>
            <w:noWrap w:val="0"/>
            <w:vAlign w:val="center"/>
          </w:tcPr>
          <w:p w14:paraId="1343CDD2">
            <w:pPr>
              <w:adjustRightInd w:val="0"/>
              <w:snapToGrid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本次磋商项目原则上采用二次报价。</w:t>
            </w:r>
          </w:p>
          <w:p w14:paraId="4AC1C83B">
            <w:pPr>
              <w:adjustRightInd w:val="0"/>
              <w:snapToGrid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（1）对供应商的响应文件的密封性进行审查；</w:t>
            </w:r>
          </w:p>
          <w:p w14:paraId="4B6A6A44">
            <w:pPr>
              <w:adjustRightInd w:val="0"/>
              <w:snapToGrid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（2）由工作人员拆封供应商的响应文件；</w:t>
            </w:r>
          </w:p>
          <w:p w14:paraId="0C686456">
            <w:pPr>
              <w:adjustRightInd w:val="0"/>
              <w:snapToGrid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（3）核验供应商的资格证明材料，资格审查不合格的不进入下一步评审环节；</w:t>
            </w:r>
          </w:p>
          <w:p w14:paraId="6F011286">
            <w:pPr>
              <w:adjustRightInd w:val="0"/>
              <w:snapToGrid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（4）对供应商的响应文件进行符合性审查，对通过符合性审查的供应商进行下一步评审；</w:t>
            </w:r>
          </w:p>
          <w:p w14:paraId="5BDA1DB6">
            <w:pPr>
              <w:adjustRightInd w:val="0"/>
              <w:snapToGrid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（5）对有效供应商分别进行磋商；</w:t>
            </w:r>
          </w:p>
          <w:p w14:paraId="65E1EB48">
            <w:pPr>
              <w:adjustRightInd w:val="0"/>
              <w:snapToGrid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（6）对有效供应商要求提交第二次商务报价，在磋商小组未对磋商文件进行实质性修改的情况下，第二次报价不得超过一次报价；</w:t>
            </w:r>
          </w:p>
          <w:p w14:paraId="23681ECF">
            <w:pPr>
              <w:adjustRightInd w:val="0"/>
              <w:snapToGrid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（7）磋商小组评审。</w:t>
            </w:r>
          </w:p>
          <w:p w14:paraId="31A035B6">
            <w:pPr>
              <w:adjustRightInd w:val="0"/>
              <w:snapToGrid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注：在本项目竞争性磋商过程中，磋商小组可根据本竞争性磋商文件要求和磋商情况实质性变动服务要求中的技术、服务要求以及合同草案条款。根据政府采购的相关规定，所有报价在公示前均不公开宣布。</w:t>
            </w:r>
          </w:p>
        </w:tc>
      </w:tr>
      <w:tr w14:paraId="3726F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75" w:type="dxa"/>
            <w:tcBorders>
              <w:tl2br w:val="nil"/>
              <w:tr2bl w:val="nil"/>
            </w:tcBorders>
            <w:noWrap w:val="0"/>
            <w:vAlign w:val="center"/>
          </w:tcPr>
          <w:p w14:paraId="5707A53A">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6.1.1</w:t>
            </w:r>
          </w:p>
        </w:tc>
        <w:tc>
          <w:tcPr>
            <w:tcW w:w="1512" w:type="dxa"/>
            <w:tcBorders>
              <w:tl2br w:val="nil"/>
              <w:tr2bl w:val="nil"/>
            </w:tcBorders>
            <w:noWrap w:val="0"/>
            <w:vAlign w:val="center"/>
          </w:tcPr>
          <w:p w14:paraId="7110A8E7">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磋商小组</w:t>
            </w:r>
          </w:p>
          <w:p w14:paraId="5B89FA0E">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的组建</w:t>
            </w:r>
          </w:p>
        </w:tc>
        <w:tc>
          <w:tcPr>
            <w:tcW w:w="5771" w:type="dxa"/>
            <w:gridSpan w:val="3"/>
            <w:tcBorders>
              <w:tl2br w:val="nil"/>
              <w:tr2bl w:val="nil"/>
            </w:tcBorders>
            <w:noWrap w:val="0"/>
            <w:vAlign w:val="center"/>
          </w:tcPr>
          <w:p w14:paraId="30CB5D92">
            <w:pPr>
              <w:adjustRightInd w:val="0"/>
              <w:snapToGrid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磋商小组构成：</w:t>
            </w:r>
            <w:r>
              <w:rPr>
                <w:rFonts w:hint="eastAsia" w:ascii="宋体" w:hAnsi="宋体" w:cs="宋体"/>
                <w:color w:val="000000"/>
                <w:sz w:val="24"/>
                <w:szCs w:val="24"/>
                <w:highlight w:val="none"/>
                <w:u w:val="single"/>
              </w:rPr>
              <w:t>3</w:t>
            </w:r>
            <w:r>
              <w:rPr>
                <w:rFonts w:hint="eastAsia" w:ascii="宋体" w:hAnsi="宋体" w:cs="宋体"/>
                <w:color w:val="000000"/>
                <w:sz w:val="24"/>
                <w:szCs w:val="24"/>
                <w:highlight w:val="none"/>
              </w:rPr>
              <w:t>人。其中专家</w:t>
            </w:r>
            <w:r>
              <w:rPr>
                <w:rFonts w:hint="eastAsia" w:ascii="宋体" w:hAnsi="宋体" w:cs="宋体"/>
                <w:color w:val="000000"/>
                <w:sz w:val="24"/>
                <w:szCs w:val="24"/>
                <w:highlight w:val="none"/>
                <w:u w:val="single"/>
              </w:rPr>
              <w:t>2</w:t>
            </w:r>
            <w:r>
              <w:rPr>
                <w:rFonts w:hint="eastAsia" w:ascii="宋体" w:hAnsi="宋体" w:cs="宋体"/>
                <w:color w:val="000000"/>
                <w:sz w:val="24"/>
                <w:szCs w:val="24"/>
                <w:highlight w:val="none"/>
              </w:rPr>
              <w:t>人，采购人</w:t>
            </w:r>
            <w:r>
              <w:rPr>
                <w:rFonts w:hint="eastAsia" w:ascii="宋体" w:hAnsi="宋体" w:cs="宋体"/>
                <w:color w:val="000000"/>
                <w:sz w:val="24"/>
                <w:szCs w:val="24"/>
                <w:highlight w:val="none"/>
                <w:u w:val="single"/>
              </w:rPr>
              <w:t>1</w:t>
            </w:r>
            <w:r>
              <w:rPr>
                <w:rFonts w:hint="eastAsia" w:ascii="宋体" w:hAnsi="宋体" w:cs="宋体"/>
                <w:color w:val="000000"/>
                <w:sz w:val="24"/>
                <w:szCs w:val="24"/>
                <w:highlight w:val="none"/>
              </w:rPr>
              <w:t>人。</w:t>
            </w:r>
          </w:p>
          <w:p w14:paraId="51D097CC">
            <w:pPr>
              <w:adjustRightInd w:val="0"/>
              <w:snapToGrid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磋商小组确定方式：评审前24小时内在法律认可的专家库中随机抽取专家。</w:t>
            </w:r>
          </w:p>
        </w:tc>
      </w:tr>
      <w:tr w14:paraId="7E892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75" w:type="dxa"/>
            <w:tcBorders>
              <w:tl2br w:val="nil"/>
              <w:tr2bl w:val="nil"/>
            </w:tcBorders>
            <w:noWrap w:val="0"/>
            <w:vAlign w:val="center"/>
          </w:tcPr>
          <w:p w14:paraId="1B480EFA">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7.1</w:t>
            </w:r>
          </w:p>
        </w:tc>
        <w:tc>
          <w:tcPr>
            <w:tcW w:w="1512" w:type="dxa"/>
            <w:tcBorders>
              <w:tl2br w:val="nil"/>
              <w:tr2bl w:val="nil"/>
            </w:tcBorders>
            <w:noWrap w:val="0"/>
            <w:vAlign w:val="center"/>
          </w:tcPr>
          <w:p w14:paraId="5B628BB9">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定标方式</w:t>
            </w:r>
          </w:p>
        </w:tc>
        <w:tc>
          <w:tcPr>
            <w:tcW w:w="5771" w:type="dxa"/>
            <w:gridSpan w:val="3"/>
            <w:tcBorders>
              <w:tl2br w:val="nil"/>
              <w:tr2bl w:val="nil"/>
            </w:tcBorders>
            <w:noWrap w:val="0"/>
            <w:vAlign w:val="center"/>
          </w:tcPr>
          <w:p w14:paraId="4CBE1F5A">
            <w:pPr>
              <w:adjustRightInd w:val="0"/>
              <w:snapToGrid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是否授权磋商小组确定成交供应商：</w:t>
            </w:r>
          </w:p>
          <w:p w14:paraId="03324AC8">
            <w:pPr>
              <w:adjustRightInd w:val="0"/>
              <w:snapToGrid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□是  ☑否</w:t>
            </w:r>
          </w:p>
          <w:p w14:paraId="07333F17">
            <w:pPr>
              <w:adjustRightInd w:val="0"/>
              <w:snapToGrid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采购人依据磋商小组推荐的成交候选人确定成交供应商，磋商小组推荐成交候选人的人数：</w:t>
            </w:r>
            <w:r>
              <w:rPr>
                <w:rFonts w:hint="eastAsia" w:ascii="宋体" w:hAnsi="宋体" w:cs="宋体"/>
                <w:color w:val="000000"/>
                <w:sz w:val="24"/>
                <w:szCs w:val="24"/>
                <w:highlight w:val="none"/>
                <w:u w:val="single"/>
              </w:rPr>
              <w:t xml:space="preserve"> 3 </w:t>
            </w:r>
            <w:r>
              <w:rPr>
                <w:rFonts w:hint="eastAsia" w:ascii="宋体" w:hAnsi="宋体" w:cs="宋体"/>
                <w:color w:val="000000"/>
                <w:sz w:val="24"/>
                <w:szCs w:val="24"/>
                <w:highlight w:val="none"/>
              </w:rPr>
              <w:t>；</w:t>
            </w:r>
          </w:p>
        </w:tc>
      </w:tr>
      <w:tr w14:paraId="7A2B3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75" w:type="dxa"/>
            <w:tcBorders>
              <w:tl2br w:val="nil"/>
              <w:tr2bl w:val="nil"/>
            </w:tcBorders>
            <w:noWrap w:val="0"/>
            <w:vAlign w:val="center"/>
          </w:tcPr>
          <w:p w14:paraId="67E6F5EC">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7.3</w:t>
            </w:r>
          </w:p>
        </w:tc>
        <w:tc>
          <w:tcPr>
            <w:tcW w:w="1512" w:type="dxa"/>
            <w:tcBorders>
              <w:tl2br w:val="nil"/>
              <w:tr2bl w:val="nil"/>
            </w:tcBorders>
            <w:noWrap w:val="0"/>
            <w:vAlign w:val="center"/>
          </w:tcPr>
          <w:p w14:paraId="3905BCDD">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履约担保</w:t>
            </w:r>
          </w:p>
        </w:tc>
        <w:tc>
          <w:tcPr>
            <w:tcW w:w="5771" w:type="dxa"/>
            <w:gridSpan w:val="3"/>
            <w:tcBorders>
              <w:tl2br w:val="nil"/>
              <w:tr2bl w:val="nil"/>
            </w:tcBorders>
            <w:noWrap w:val="0"/>
            <w:vAlign w:val="center"/>
          </w:tcPr>
          <w:p w14:paraId="6AFFB8B6">
            <w:pPr>
              <w:adjustRightInd w:val="0"/>
              <w:snapToGrid w:val="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☑不要求</w:t>
            </w:r>
          </w:p>
          <w:p w14:paraId="4C1A2FF6">
            <w:pPr>
              <w:adjustRightInd w:val="0"/>
              <w:snapToGrid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本项目不要求供应商进行履约担保</w:t>
            </w:r>
          </w:p>
        </w:tc>
      </w:tr>
      <w:tr w14:paraId="2E4AB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75" w:type="dxa"/>
            <w:tcBorders>
              <w:tl2br w:val="nil"/>
              <w:tr2bl w:val="nil"/>
            </w:tcBorders>
            <w:noWrap w:val="0"/>
            <w:vAlign w:val="center"/>
          </w:tcPr>
          <w:p w14:paraId="26964445">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10.1</w:t>
            </w:r>
          </w:p>
        </w:tc>
        <w:tc>
          <w:tcPr>
            <w:tcW w:w="1512" w:type="dxa"/>
            <w:tcBorders>
              <w:tl2br w:val="nil"/>
              <w:tr2bl w:val="nil"/>
            </w:tcBorders>
            <w:noWrap w:val="0"/>
            <w:vAlign w:val="center"/>
          </w:tcPr>
          <w:p w14:paraId="0C180D7C">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需要补充的</w:t>
            </w:r>
          </w:p>
          <w:p w14:paraId="62FAC0A8">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其他内容</w:t>
            </w:r>
          </w:p>
        </w:tc>
        <w:tc>
          <w:tcPr>
            <w:tcW w:w="5771" w:type="dxa"/>
            <w:gridSpan w:val="3"/>
            <w:tcBorders>
              <w:tl2br w:val="nil"/>
              <w:tr2bl w:val="nil"/>
            </w:tcBorders>
            <w:noWrap w:val="0"/>
            <w:vAlign w:val="center"/>
          </w:tcPr>
          <w:p w14:paraId="54E48050">
            <w:pPr>
              <w:keepNext w:val="0"/>
              <w:keepLines w:val="0"/>
              <w:pageBreakBefore w:val="0"/>
              <w:widowControl w:val="0"/>
              <w:numPr>
                <w:ilvl w:val="0"/>
                <w:numId w:val="0"/>
              </w:numPr>
              <w:kinsoku/>
              <w:wordWrap w:val="0"/>
              <w:overflowPunct/>
              <w:topLinePunct w:val="0"/>
              <w:autoSpaceDE/>
              <w:autoSpaceDN/>
              <w:bidi w:val="0"/>
              <w:adjustRightInd w:val="0"/>
              <w:snapToGrid w:val="0"/>
              <w:spacing w:line="360" w:lineRule="auto"/>
              <w:textAlignment w:val="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lang w:val="en-US" w:eastAsia="zh-CN"/>
              </w:rPr>
              <w:t>本项目采购预算：人民币</w:t>
            </w:r>
            <w:r>
              <w:rPr>
                <w:rFonts w:hint="eastAsia" w:ascii="宋体" w:hAnsi="宋体" w:cs="宋体"/>
                <w:color w:val="000000"/>
                <w:sz w:val="24"/>
                <w:szCs w:val="24"/>
                <w:highlight w:val="none"/>
                <w:lang w:val="en-US" w:eastAsia="zh-CN"/>
              </w:rPr>
              <w:t>贰拾万元整</w:t>
            </w:r>
            <w:r>
              <w:rPr>
                <w:rFonts w:hint="eastAsia" w:ascii="宋体" w:hAnsi="宋体" w:eastAsia="宋体" w:cs="宋体"/>
                <w:color w:val="000000"/>
                <w:sz w:val="24"/>
                <w:szCs w:val="24"/>
                <w:highlight w:val="none"/>
                <w:lang w:val="en-US" w:eastAsia="zh-CN"/>
              </w:rPr>
              <w:t>（¥</w:t>
            </w:r>
            <w:r>
              <w:rPr>
                <w:rFonts w:hint="eastAsia" w:ascii="宋体" w:hAnsi="宋体" w:cs="宋体"/>
                <w:color w:val="000000"/>
                <w:sz w:val="24"/>
                <w:szCs w:val="24"/>
                <w:highlight w:val="none"/>
                <w:lang w:val="en-US" w:eastAsia="zh-CN"/>
              </w:rPr>
              <w:t>200000.00</w:t>
            </w:r>
            <w:r>
              <w:rPr>
                <w:rFonts w:hint="eastAsia" w:ascii="宋体" w:hAnsi="宋体" w:eastAsia="宋体" w:cs="宋体"/>
                <w:color w:val="000000"/>
                <w:sz w:val="24"/>
                <w:szCs w:val="24"/>
                <w:highlight w:val="none"/>
                <w:lang w:val="en-US" w:eastAsia="zh-CN"/>
              </w:rPr>
              <w:t>元）</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eastAsia="zh-CN"/>
              </w:rPr>
              <w:t>最高限价</w:t>
            </w:r>
            <w:r>
              <w:rPr>
                <w:rFonts w:hint="eastAsia" w:ascii="宋体" w:hAnsi="宋体" w:cs="宋体"/>
                <w:color w:val="000000"/>
                <w:sz w:val="24"/>
                <w:szCs w:val="24"/>
                <w:highlight w:val="none"/>
                <w:lang w:val="en-US" w:eastAsia="zh-CN"/>
              </w:rPr>
              <w:t>为</w:t>
            </w:r>
            <w:r>
              <w:rPr>
                <w:rFonts w:hint="eastAsia" w:ascii="宋体" w:hAnsi="宋体" w:eastAsia="宋体" w:cs="宋体"/>
                <w:color w:val="000000"/>
                <w:sz w:val="24"/>
                <w:szCs w:val="24"/>
                <w:highlight w:val="none"/>
                <w:lang w:val="en-US" w:eastAsia="zh-CN"/>
              </w:rPr>
              <w:t>：</w:t>
            </w:r>
            <w:r>
              <w:rPr>
                <w:rFonts w:hint="eastAsia" w:ascii="宋体" w:hAnsi="宋体" w:cs="宋体"/>
                <w:color w:val="000000"/>
                <w:sz w:val="24"/>
                <w:szCs w:val="24"/>
                <w:highlight w:val="none"/>
                <w:lang w:val="en-US" w:eastAsia="zh-CN"/>
              </w:rPr>
              <w:t>壹拾万元整</w:t>
            </w:r>
            <w:r>
              <w:rPr>
                <w:rFonts w:hint="eastAsia" w:ascii="宋体" w:hAnsi="宋体" w:eastAsia="宋体" w:cs="宋体"/>
                <w:color w:val="000000"/>
                <w:sz w:val="24"/>
                <w:szCs w:val="24"/>
                <w:highlight w:val="none"/>
                <w:lang w:val="en-US" w:eastAsia="zh-CN"/>
              </w:rPr>
              <w:t>（¥</w:t>
            </w:r>
            <w:r>
              <w:rPr>
                <w:rFonts w:hint="eastAsia" w:ascii="宋体" w:hAnsi="宋体" w:cs="宋体"/>
                <w:color w:val="000000"/>
                <w:sz w:val="24"/>
                <w:szCs w:val="24"/>
                <w:highlight w:val="none"/>
                <w:lang w:val="en-US" w:eastAsia="zh-CN"/>
              </w:rPr>
              <w:t>100000.00</w:t>
            </w:r>
            <w:r>
              <w:rPr>
                <w:rFonts w:hint="eastAsia" w:ascii="宋体" w:hAnsi="宋体" w:eastAsia="宋体" w:cs="宋体"/>
                <w:color w:val="000000"/>
                <w:sz w:val="24"/>
                <w:szCs w:val="24"/>
                <w:highlight w:val="none"/>
                <w:lang w:val="en-US" w:eastAsia="zh-CN"/>
              </w:rPr>
              <w:t>元）</w:t>
            </w:r>
          </w:p>
          <w:p w14:paraId="47B4645A">
            <w:pPr>
              <w:keepNext w:val="0"/>
              <w:keepLines w:val="0"/>
              <w:pageBreakBefore w:val="0"/>
              <w:widowControl w:val="0"/>
              <w:kinsoku/>
              <w:wordWrap w:val="0"/>
              <w:overflowPunct/>
              <w:topLinePunct w:val="0"/>
              <w:autoSpaceDE/>
              <w:autoSpaceDN/>
              <w:bidi w:val="0"/>
              <w:adjustRightInd w:val="0"/>
              <w:snapToGrid w:val="0"/>
              <w:spacing w:line="360" w:lineRule="auto"/>
              <w:textAlignment w:va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备注：各供应商磋商报价不得超过上述最高响应限价，否则将按照无效磋商处理。</w:t>
            </w:r>
          </w:p>
          <w:p w14:paraId="7B75F5AB">
            <w:pPr>
              <w:adjustRightInd w:val="0"/>
              <w:snapToGrid w:val="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2.本项目标的所属</w:t>
            </w:r>
            <w:r>
              <w:rPr>
                <w:rFonts w:hint="eastAsia" w:ascii="宋体" w:hAnsi="宋体" w:cs="宋体"/>
                <w:b/>
                <w:bCs/>
                <w:color w:val="000000"/>
                <w:sz w:val="24"/>
                <w:szCs w:val="24"/>
                <w:highlight w:val="none"/>
                <w:u w:val="single"/>
                <w:lang w:val="en-US" w:eastAsia="zh-CN"/>
              </w:rPr>
              <w:t xml:space="preserve"> </w:t>
            </w:r>
            <w:r>
              <w:rPr>
                <w:rFonts w:hint="eastAsia" w:ascii="宋体" w:hAnsi="宋体" w:cs="宋体"/>
                <w:b w:val="0"/>
                <w:bCs w:val="0"/>
                <w:color w:val="000000"/>
                <w:sz w:val="24"/>
                <w:szCs w:val="24"/>
                <w:highlight w:val="none"/>
                <w:u w:val="single"/>
                <w:lang w:val="en-US" w:eastAsia="zh-CN"/>
              </w:rPr>
              <w:t xml:space="preserve">其他未列明 </w:t>
            </w:r>
            <w:r>
              <w:rPr>
                <w:rFonts w:hint="eastAsia" w:ascii="宋体" w:hAnsi="宋体" w:cs="宋体"/>
                <w:b w:val="0"/>
                <w:bCs w:val="0"/>
                <w:color w:val="000000"/>
                <w:sz w:val="24"/>
                <w:szCs w:val="24"/>
                <w:highlight w:val="none"/>
                <w:u w:val="none"/>
                <w:lang w:val="en-US" w:eastAsia="zh-CN"/>
              </w:rPr>
              <w:t>行业</w:t>
            </w:r>
            <w:r>
              <w:rPr>
                <w:rFonts w:hint="eastAsia" w:ascii="宋体" w:hAnsi="宋体" w:cs="宋体"/>
                <w:b w:val="0"/>
                <w:bCs w:val="0"/>
                <w:color w:val="000000"/>
                <w:sz w:val="24"/>
                <w:szCs w:val="24"/>
                <w:highlight w:val="none"/>
                <w:lang w:eastAsia="zh-CN"/>
              </w:rPr>
              <w:t>；</w:t>
            </w:r>
          </w:p>
          <w:p w14:paraId="19010BB2">
            <w:pPr>
              <w:adjustRightInd w:val="0"/>
              <w:snapToGrid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rPr>
              <w:t>知识产权：构成本竞争性磋商文件各个组成部分的文件，未经采购人书面同意，供应商不得擅自复印和用于非本采购项目所需的其他目的。采购人全部或者部分使用未成交的响应文件中的技术成果或技术方案时，需征得其书面同意，并不得擅自复印或提供给第三人。</w:t>
            </w:r>
          </w:p>
          <w:p w14:paraId="61BE604F">
            <w:pPr>
              <w:adjustRightInd w:val="0"/>
              <w:snapToGrid w:val="0"/>
              <w:spacing w:line="360" w:lineRule="auto"/>
              <w:jc w:val="lef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4.</w:t>
            </w:r>
            <w:r>
              <w:rPr>
                <w:rFonts w:hint="eastAsia" w:ascii="宋体" w:hAnsi="宋体" w:cs="宋体"/>
                <w:color w:val="000000"/>
                <w:sz w:val="24"/>
                <w:szCs w:val="24"/>
                <w:highlight w:val="none"/>
              </w:rPr>
              <w:t>确定成交供应商后3日内，由成交供应商参照国家计委颁发的《采购代理服务收费管理暂行办法》（计价格〔2002〕1980号）和国家发展和改革委员会办公厅</w:t>
            </w:r>
            <w:r>
              <w:rPr>
                <w:rFonts w:hint="eastAsia" w:ascii="宋体" w:hAnsi="宋体" w:eastAsia="宋体" w:cs="宋体"/>
                <w:color w:val="000000"/>
                <w:sz w:val="24"/>
                <w:szCs w:val="24"/>
                <w:highlight w:val="none"/>
              </w:rPr>
              <w:t>颁发的《关于采购代理服务收费有关问题的通知》（发改办价格〔2003〕857号）的有关规定的标准定额人民币</w:t>
            </w:r>
            <w:r>
              <w:rPr>
                <w:rFonts w:hint="eastAsia" w:ascii="宋体" w:hAnsi="宋体" w:cs="宋体"/>
                <w:color w:val="000000"/>
                <w:sz w:val="24"/>
                <w:szCs w:val="24"/>
                <w:highlight w:val="none"/>
                <w:lang w:val="en-US" w:eastAsia="zh-CN"/>
              </w:rPr>
              <w:t>肆</w:t>
            </w:r>
            <w:r>
              <w:rPr>
                <w:rFonts w:hint="eastAsia" w:ascii="宋体" w:hAnsi="宋体" w:eastAsia="宋体" w:cs="宋体"/>
                <w:color w:val="000000"/>
                <w:sz w:val="24"/>
                <w:szCs w:val="24"/>
                <w:highlight w:val="none"/>
              </w:rPr>
              <w:t>仟元整（￥</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000.00元）</w:t>
            </w:r>
            <w:r>
              <w:rPr>
                <w:rFonts w:hint="eastAsia" w:ascii="宋体" w:hAnsi="宋体" w:eastAsia="宋体" w:cs="宋体"/>
                <w:color w:val="000000"/>
                <w:sz w:val="24"/>
                <w:szCs w:val="24"/>
                <w:highlight w:val="none"/>
                <w:lang w:val="en-US" w:eastAsia="zh-CN"/>
              </w:rPr>
              <w:t>计取</w:t>
            </w:r>
            <w:r>
              <w:rPr>
                <w:rFonts w:hint="eastAsia" w:ascii="宋体" w:hAnsi="宋体" w:eastAsia="宋体" w:cs="宋体"/>
                <w:color w:val="000000"/>
                <w:sz w:val="24"/>
                <w:szCs w:val="24"/>
                <w:highlight w:val="none"/>
              </w:rPr>
              <w:t>，向采购代理机构一次付清代理服务费。</w:t>
            </w:r>
          </w:p>
          <w:p w14:paraId="27CC6D0D">
            <w:pPr>
              <w:adjustRightInd w:val="0"/>
              <w:snapToGrid w:val="0"/>
              <w:spacing w:line="360" w:lineRule="auto"/>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本竞争性磋商文件未明确的其他事项，按照有关法律、法规或省市有关规定执行。本竞争性磋商文件</w:t>
            </w:r>
            <w:r>
              <w:rPr>
                <w:rFonts w:hint="eastAsia" w:ascii="宋体" w:hAnsi="宋体" w:cs="宋体"/>
                <w:color w:val="000000"/>
                <w:sz w:val="24"/>
                <w:szCs w:val="24"/>
                <w:highlight w:val="none"/>
              </w:rPr>
              <w:t>由采购人和采购代理机构负责解释。</w:t>
            </w:r>
          </w:p>
        </w:tc>
      </w:tr>
      <w:tr w14:paraId="0A445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8458" w:type="dxa"/>
            <w:gridSpan w:val="5"/>
            <w:tcBorders>
              <w:tl2br w:val="nil"/>
              <w:tr2bl w:val="nil"/>
            </w:tcBorders>
            <w:noWrap w:val="0"/>
            <w:vAlign w:val="center"/>
          </w:tcPr>
          <w:p w14:paraId="4FACE56A">
            <w:pPr>
              <w:adjustRightInd w:val="0"/>
              <w:snapToGrid w:val="0"/>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本表是对供应商须知的提示和说明，如有矛盾，应以本表为准。如本表未说明的，以本竞争性磋商文件内容为准。</w:t>
            </w:r>
          </w:p>
        </w:tc>
      </w:tr>
      <w:bookmarkEnd w:id="18"/>
      <w:bookmarkEnd w:id="19"/>
      <w:bookmarkEnd w:id="20"/>
      <w:bookmarkEnd w:id="21"/>
    </w:tbl>
    <w:p w14:paraId="6E6CCC1F">
      <w:pPr>
        <w:pStyle w:val="3"/>
        <w:bidi w:val="0"/>
        <w:jc w:val="center"/>
        <w:rPr>
          <w:rFonts w:hint="eastAsia" w:ascii="宋体" w:hAnsi="宋体"/>
          <w:color w:val="000000"/>
          <w:highlight w:val="none"/>
        </w:rPr>
      </w:pPr>
      <w:bookmarkStart w:id="25" w:name="_Toc10563633"/>
      <w:bookmarkStart w:id="26" w:name="_Toc10563091"/>
      <w:bookmarkStart w:id="27" w:name="_Toc12377617"/>
      <w:bookmarkStart w:id="28" w:name="_Toc10621835"/>
      <w:r>
        <w:rPr>
          <w:rFonts w:hint="eastAsia" w:ascii="宋体" w:hAnsi="宋体"/>
          <w:color w:val="000000"/>
          <w:highlight w:val="none"/>
        </w:rPr>
        <w:br w:type="page"/>
      </w:r>
      <w:r>
        <w:rPr>
          <w:rFonts w:hint="eastAsia"/>
          <w:highlight w:val="none"/>
        </w:rPr>
        <w:t>二、供应商须知</w:t>
      </w:r>
      <w:bookmarkEnd w:id="22"/>
      <w:bookmarkEnd w:id="25"/>
      <w:bookmarkEnd w:id="26"/>
      <w:bookmarkEnd w:id="27"/>
      <w:bookmarkEnd w:id="28"/>
    </w:p>
    <w:bookmarkEnd w:id="23"/>
    <w:bookmarkEnd w:id="24"/>
    <w:p w14:paraId="7B8340FE">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textAlignment w:val="auto"/>
        <w:rPr>
          <w:rFonts w:hint="eastAsia" w:ascii="宋体" w:hAnsi="宋体" w:cs="宋体"/>
          <w:b/>
          <w:color w:val="000000"/>
          <w:sz w:val="24"/>
          <w:szCs w:val="24"/>
          <w:highlight w:val="none"/>
        </w:rPr>
      </w:pPr>
      <w:bookmarkStart w:id="29" w:name="_Toc13857"/>
      <w:bookmarkStart w:id="30" w:name="_Toc10621842"/>
      <w:bookmarkStart w:id="31" w:name="_Toc10563098"/>
      <w:bookmarkStart w:id="32" w:name="_Toc511316288"/>
      <w:bookmarkStart w:id="33" w:name="_Toc10563640"/>
      <w:bookmarkStart w:id="34" w:name="_Toc12377624"/>
      <w:bookmarkStart w:id="35" w:name="_Toc23014"/>
      <w:bookmarkStart w:id="36" w:name="_Toc1459"/>
      <w:bookmarkStart w:id="37" w:name="_Toc504605093"/>
      <w:r>
        <w:rPr>
          <w:rFonts w:hint="eastAsia" w:ascii="宋体" w:hAnsi="宋体" w:cs="宋体"/>
          <w:b/>
          <w:color w:val="000000"/>
          <w:sz w:val="24"/>
          <w:szCs w:val="24"/>
          <w:highlight w:val="none"/>
        </w:rPr>
        <w:t>1.总则</w:t>
      </w:r>
    </w:p>
    <w:p w14:paraId="3691E5F3">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38" w:name="_Toc152045530"/>
      <w:bookmarkStart w:id="39" w:name="_Toc152042306"/>
      <w:bookmarkStart w:id="40" w:name="_Toc179632547"/>
      <w:bookmarkStart w:id="41" w:name="_Toc11972"/>
      <w:bookmarkStart w:id="42" w:name="_Toc144974498"/>
      <w:r>
        <w:rPr>
          <w:rFonts w:hint="eastAsia" w:ascii="宋体" w:hAnsi="宋体" w:cs="宋体"/>
          <w:color w:val="000000"/>
          <w:sz w:val="24"/>
          <w:szCs w:val="24"/>
          <w:highlight w:val="none"/>
        </w:rPr>
        <w:t>1.1 项目概况</w:t>
      </w:r>
      <w:bookmarkEnd w:id="38"/>
      <w:bookmarkEnd w:id="39"/>
      <w:bookmarkEnd w:id="40"/>
      <w:bookmarkEnd w:id="41"/>
      <w:bookmarkEnd w:id="42"/>
    </w:p>
    <w:p w14:paraId="41E6912D">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43" w:name="_Toc24898"/>
      <w:r>
        <w:rPr>
          <w:rFonts w:hint="eastAsia" w:ascii="宋体" w:hAnsi="宋体" w:cs="宋体"/>
          <w:color w:val="000000"/>
          <w:sz w:val="24"/>
          <w:szCs w:val="24"/>
          <w:highlight w:val="none"/>
        </w:rPr>
        <w:t>1.1.1依据《中华人民共和国政府采购法》《中华人民共和国政府采购法实施条例》和《政府采购竞争性磋商采购方式管理暂行办法》以及陕西省关于政府采购的有关法律、法规，本采购项目已具备采购条件，现对本项目进行竞争性磋商。</w:t>
      </w:r>
      <w:bookmarkEnd w:id="43"/>
    </w:p>
    <w:p w14:paraId="51D01223">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44" w:name="_Toc14474"/>
      <w:r>
        <w:rPr>
          <w:rFonts w:hint="eastAsia" w:ascii="宋体" w:hAnsi="宋体" w:cs="宋体"/>
          <w:color w:val="000000"/>
          <w:sz w:val="24"/>
          <w:szCs w:val="24"/>
          <w:highlight w:val="none"/>
        </w:rPr>
        <w:t>1.1.2 采购人：详见“第一章 竞争性磋商公告”</w:t>
      </w:r>
      <w:bookmarkEnd w:id="44"/>
    </w:p>
    <w:p w14:paraId="74AF8B0B">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45" w:name="_Toc30938"/>
      <w:r>
        <w:rPr>
          <w:rFonts w:hint="eastAsia" w:ascii="宋体" w:hAnsi="宋体" w:cs="宋体"/>
          <w:color w:val="000000"/>
          <w:sz w:val="24"/>
          <w:szCs w:val="24"/>
          <w:highlight w:val="none"/>
        </w:rPr>
        <w:t>1.1.3 采购代理机构：详见“第一章 竞争性磋商公告”</w:t>
      </w:r>
      <w:bookmarkEnd w:id="45"/>
    </w:p>
    <w:p w14:paraId="34C0BEB1">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46" w:name="_Toc28187"/>
      <w:r>
        <w:rPr>
          <w:rFonts w:hint="eastAsia" w:ascii="宋体" w:hAnsi="宋体" w:cs="宋体"/>
          <w:color w:val="000000"/>
          <w:sz w:val="24"/>
          <w:szCs w:val="24"/>
          <w:highlight w:val="none"/>
        </w:rPr>
        <w:t>1.1.4 项目名称：详见“第一章 竞争性磋商公告”</w:t>
      </w:r>
      <w:bookmarkEnd w:id="46"/>
    </w:p>
    <w:p w14:paraId="0B363977">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47" w:name="_Toc4535"/>
      <w:r>
        <w:rPr>
          <w:rFonts w:hint="eastAsia" w:ascii="宋体" w:hAnsi="宋体" w:cs="宋体"/>
          <w:color w:val="000000"/>
          <w:sz w:val="24"/>
          <w:szCs w:val="24"/>
          <w:highlight w:val="none"/>
        </w:rPr>
        <w:t>1.1.5 服务地点：</w:t>
      </w:r>
      <w:bookmarkEnd w:id="47"/>
      <w:r>
        <w:rPr>
          <w:rFonts w:hint="eastAsia" w:ascii="宋体" w:hAnsi="宋体" w:cs="宋体"/>
          <w:color w:val="000000"/>
          <w:sz w:val="24"/>
          <w:szCs w:val="24"/>
          <w:highlight w:val="none"/>
        </w:rPr>
        <w:t>详见供应商须知前附表。</w:t>
      </w:r>
    </w:p>
    <w:p w14:paraId="43DE060B">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48" w:name="_Toc144974499"/>
      <w:bookmarkStart w:id="49" w:name="_Toc152042307"/>
      <w:bookmarkStart w:id="50" w:name="_Toc152045531"/>
      <w:bookmarkStart w:id="51" w:name="_Toc179632548"/>
      <w:bookmarkStart w:id="52" w:name="_Toc27387"/>
      <w:r>
        <w:rPr>
          <w:rFonts w:hint="eastAsia" w:ascii="宋体" w:hAnsi="宋体" w:cs="宋体"/>
          <w:color w:val="000000"/>
          <w:sz w:val="24"/>
          <w:szCs w:val="24"/>
          <w:highlight w:val="none"/>
        </w:rPr>
        <w:t>1.2 资金来源和落实情况</w:t>
      </w:r>
      <w:bookmarkEnd w:id="48"/>
      <w:bookmarkEnd w:id="49"/>
      <w:bookmarkEnd w:id="50"/>
      <w:bookmarkEnd w:id="51"/>
      <w:bookmarkEnd w:id="52"/>
    </w:p>
    <w:p w14:paraId="1AC503BF">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53" w:name="_Toc26715"/>
      <w:r>
        <w:rPr>
          <w:rFonts w:hint="eastAsia" w:ascii="宋体" w:hAnsi="宋体" w:cs="宋体"/>
          <w:color w:val="000000"/>
          <w:sz w:val="24"/>
          <w:szCs w:val="24"/>
          <w:highlight w:val="none"/>
        </w:rPr>
        <w:t>1.2.1 资金来源：财政性资金</w:t>
      </w:r>
      <w:bookmarkEnd w:id="53"/>
      <w:r>
        <w:rPr>
          <w:rFonts w:hint="eastAsia" w:ascii="宋体" w:hAnsi="宋体" w:cs="宋体"/>
          <w:color w:val="000000"/>
          <w:sz w:val="24"/>
          <w:szCs w:val="24"/>
          <w:highlight w:val="none"/>
        </w:rPr>
        <w:t>。</w:t>
      </w:r>
    </w:p>
    <w:p w14:paraId="27CF747D">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54" w:name="_Toc5223"/>
      <w:r>
        <w:rPr>
          <w:rFonts w:hint="eastAsia" w:ascii="宋体" w:hAnsi="宋体" w:cs="宋体"/>
          <w:color w:val="000000"/>
          <w:sz w:val="24"/>
          <w:szCs w:val="24"/>
          <w:highlight w:val="none"/>
        </w:rPr>
        <w:t>1.2.2 资金落实情况：已落实</w:t>
      </w:r>
      <w:bookmarkEnd w:id="54"/>
      <w:r>
        <w:rPr>
          <w:rFonts w:hint="eastAsia" w:ascii="宋体" w:hAnsi="宋体" w:cs="宋体"/>
          <w:color w:val="000000"/>
          <w:sz w:val="24"/>
          <w:szCs w:val="24"/>
          <w:highlight w:val="none"/>
        </w:rPr>
        <w:t>。</w:t>
      </w:r>
    </w:p>
    <w:p w14:paraId="451C68B0">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55" w:name="_Toc152045532"/>
      <w:bookmarkStart w:id="56" w:name="_Toc179632549"/>
      <w:bookmarkStart w:id="57" w:name="_Toc9392"/>
      <w:bookmarkStart w:id="58" w:name="_Toc144974500"/>
      <w:bookmarkStart w:id="59" w:name="_Toc152042308"/>
      <w:r>
        <w:rPr>
          <w:rFonts w:hint="eastAsia" w:ascii="宋体" w:hAnsi="宋体" w:cs="宋体"/>
          <w:color w:val="000000"/>
          <w:sz w:val="24"/>
          <w:szCs w:val="24"/>
          <w:highlight w:val="none"/>
        </w:rPr>
        <w:t>1.3 采购范围、服务期限和质量要求</w:t>
      </w:r>
      <w:bookmarkEnd w:id="55"/>
      <w:bookmarkEnd w:id="56"/>
      <w:bookmarkEnd w:id="57"/>
      <w:bookmarkEnd w:id="58"/>
      <w:bookmarkEnd w:id="59"/>
    </w:p>
    <w:p w14:paraId="53A5901B">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60" w:name="_Toc29629"/>
      <w:r>
        <w:rPr>
          <w:rFonts w:hint="eastAsia" w:ascii="宋体" w:hAnsi="宋体" w:cs="宋体"/>
          <w:color w:val="000000"/>
          <w:sz w:val="24"/>
          <w:szCs w:val="24"/>
          <w:highlight w:val="none"/>
        </w:rPr>
        <w:t>1.3.1 采购范围：</w:t>
      </w:r>
      <w:bookmarkEnd w:id="60"/>
      <w:r>
        <w:rPr>
          <w:rFonts w:hint="eastAsia" w:ascii="宋体" w:hAnsi="宋体" w:cs="宋体"/>
          <w:color w:val="000000"/>
          <w:sz w:val="24"/>
          <w:szCs w:val="24"/>
          <w:highlight w:val="none"/>
        </w:rPr>
        <w:t>详见供应商须知前附表。</w:t>
      </w:r>
    </w:p>
    <w:p w14:paraId="047E1D31">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61" w:name="_Toc3919"/>
      <w:r>
        <w:rPr>
          <w:rFonts w:hint="eastAsia" w:ascii="宋体" w:hAnsi="宋体" w:cs="宋体"/>
          <w:color w:val="000000"/>
          <w:sz w:val="24"/>
          <w:szCs w:val="24"/>
          <w:highlight w:val="none"/>
        </w:rPr>
        <w:t>1.3.2 服务期限：</w:t>
      </w:r>
      <w:bookmarkEnd w:id="61"/>
      <w:r>
        <w:rPr>
          <w:rFonts w:hint="eastAsia" w:ascii="宋体" w:hAnsi="宋体" w:cs="宋体"/>
          <w:color w:val="000000"/>
          <w:sz w:val="24"/>
          <w:szCs w:val="24"/>
          <w:highlight w:val="none"/>
        </w:rPr>
        <w:t>详见供应商须知前附表。</w:t>
      </w:r>
    </w:p>
    <w:p w14:paraId="532F358C">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62" w:name="_Toc18714"/>
      <w:r>
        <w:rPr>
          <w:rFonts w:hint="eastAsia" w:ascii="宋体" w:hAnsi="宋体" w:cs="宋体"/>
          <w:color w:val="000000"/>
          <w:sz w:val="24"/>
          <w:szCs w:val="24"/>
          <w:highlight w:val="none"/>
        </w:rPr>
        <w:t>1.3.3 质量要求：</w:t>
      </w:r>
      <w:bookmarkEnd w:id="62"/>
      <w:r>
        <w:rPr>
          <w:rFonts w:hint="eastAsia" w:ascii="宋体" w:hAnsi="宋体" w:cs="宋体"/>
          <w:color w:val="000000"/>
          <w:sz w:val="24"/>
          <w:szCs w:val="24"/>
          <w:highlight w:val="none"/>
        </w:rPr>
        <w:t>详见供应商须知前附表。</w:t>
      </w:r>
    </w:p>
    <w:p w14:paraId="24C61666">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63" w:name="_Toc152045533"/>
      <w:bookmarkStart w:id="64" w:name="_Toc144974501"/>
      <w:bookmarkStart w:id="65" w:name="_Toc16930"/>
      <w:bookmarkStart w:id="66" w:name="_Toc179632550"/>
      <w:bookmarkStart w:id="67" w:name="_Toc152042309"/>
      <w:r>
        <w:rPr>
          <w:rFonts w:hint="eastAsia" w:ascii="宋体" w:hAnsi="宋体" w:cs="宋体"/>
          <w:color w:val="000000"/>
          <w:sz w:val="24"/>
          <w:szCs w:val="24"/>
          <w:highlight w:val="none"/>
        </w:rPr>
        <w:t>1.4 供应商资格要求</w:t>
      </w:r>
      <w:bookmarkEnd w:id="63"/>
      <w:bookmarkEnd w:id="64"/>
      <w:bookmarkEnd w:id="65"/>
      <w:bookmarkEnd w:id="66"/>
      <w:bookmarkEnd w:id="67"/>
    </w:p>
    <w:p w14:paraId="73045176">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68" w:name="_Toc16382"/>
      <w:r>
        <w:rPr>
          <w:rFonts w:hint="eastAsia" w:ascii="宋体" w:hAnsi="宋体" w:cs="宋体"/>
          <w:color w:val="000000"/>
          <w:sz w:val="24"/>
          <w:szCs w:val="24"/>
          <w:highlight w:val="none"/>
        </w:rPr>
        <w:t>1.4.1</w:t>
      </w:r>
      <w:bookmarkEnd w:id="68"/>
      <w:r>
        <w:rPr>
          <w:rFonts w:hint="eastAsia" w:ascii="宋体" w:hAnsi="宋体" w:cs="宋体"/>
          <w:color w:val="000000"/>
          <w:sz w:val="24"/>
          <w:szCs w:val="24"/>
          <w:highlight w:val="none"/>
        </w:rPr>
        <w:t>供应商资质条件</w:t>
      </w:r>
      <w:bookmarkStart w:id="69" w:name="_Toc14078"/>
      <w:r>
        <w:rPr>
          <w:rFonts w:hint="eastAsia" w:ascii="宋体" w:hAnsi="宋体" w:cs="宋体"/>
          <w:color w:val="000000"/>
          <w:sz w:val="24"/>
          <w:szCs w:val="24"/>
          <w:highlight w:val="none"/>
        </w:rPr>
        <w:t>：</w:t>
      </w:r>
      <w:bookmarkEnd w:id="69"/>
      <w:r>
        <w:rPr>
          <w:rFonts w:hint="eastAsia" w:ascii="宋体" w:hAnsi="宋体" w:cs="宋体"/>
          <w:color w:val="000000"/>
          <w:sz w:val="24"/>
          <w:szCs w:val="24"/>
          <w:highlight w:val="none"/>
        </w:rPr>
        <w:t>详见“第一章 竞争性磋商公告”</w:t>
      </w:r>
    </w:p>
    <w:p w14:paraId="3CFE853C">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70" w:name="_Toc15859"/>
      <w:r>
        <w:rPr>
          <w:rFonts w:hint="eastAsia" w:ascii="宋体" w:hAnsi="宋体" w:cs="宋体"/>
          <w:color w:val="000000"/>
          <w:sz w:val="24"/>
          <w:szCs w:val="24"/>
          <w:highlight w:val="none"/>
        </w:rPr>
        <w:t>1.4.2 供应商不得存在下列情形之一，否则其磋商无效：</w:t>
      </w:r>
      <w:bookmarkEnd w:id="70"/>
    </w:p>
    <w:p w14:paraId="798C3BDE">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71" w:name="_Toc27686"/>
      <w:r>
        <w:rPr>
          <w:rFonts w:hint="eastAsia" w:ascii="宋体" w:hAnsi="宋体" w:cs="宋体"/>
          <w:color w:val="000000"/>
          <w:sz w:val="24"/>
          <w:szCs w:val="24"/>
          <w:highlight w:val="none"/>
        </w:rPr>
        <w:t>（1）为采购人不具有独立法人资格的附属机构；</w:t>
      </w:r>
      <w:bookmarkEnd w:id="71"/>
      <w:r>
        <w:rPr>
          <w:rFonts w:hint="eastAsia" w:ascii="宋体" w:hAnsi="宋体" w:cs="宋体"/>
          <w:color w:val="000000"/>
          <w:sz w:val="24"/>
          <w:szCs w:val="24"/>
          <w:highlight w:val="none"/>
        </w:rPr>
        <w:t xml:space="preserve"> </w:t>
      </w:r>
    </w:p>
    <w:p w14:paraId="4CCB1B32">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72" w:name="_Toc17289"/>
      <w:r>
        <w:rPr>
          <w:rFonts w:hint="eastAsia" w:ascii="宋体" w:hAnsi="宋体" w:cs="宋体"/>
          <w:color w:val="000000"/>
          <w:sz w:val="24"/>
          <w:szCs w:val="24"/>
          <w:highlight w:val="none"/>
        </w:rPr>
        <w:t>（2）</w:t>
      </w:r>
      <w:bookmarkEnd w:id="72"/>
      <w:r>
        <w:rPr>
          <w:rFonts w:hint="eastAsia" w:ascii="宋体" w:hAnsi="宋体" w:cs="宋体"/>
          <w:color w:val="000000"/>
          <w:sz w:val="24"/>
          <w:szCs w:val="24"/>
          <w:highlight w:val="none"/>
        </w:rPr>
        <w:t>财产被接管或冻结的；</w:t>
      </w:r>
    </w:p>
    <w:p w14:paraId="7250888E">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73" w:name="_Toc21977"/>
      <w:r>
        <w:rPr>
          <w:rFonts w:hint="eastAsia" w:ascii="宋体" w:hAnsi="宋体" w:cs="宋体"/>
          <w:color w:val="000000"/>
          <w:sz w:val="24"/>
          <w:szCs w:val="24"/>
          <w:highlight w:val="none"/>
        </w:rPr>
        <w:t>（3）为本采购项目提供采购代理服务的；</w:t>
      </w:r>
      <w:bookmarkEnd w:id="73"/>
    </w:p>
    <w:p w14:paraId="3667134F">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74" w:name="_Toc23085"/>
      <w:r>
        <w:rPr>
          <w:rFonts w:hint="eastAsia" w:ascii="宋体" w:hAnsi="宋体" w:cs="宋体"/>
          <w:color w:val="000000"/>
          <w:sz w:val="24"/>
          <w:szCs w:val="24"/>
          <w:highlight w:val="none"/>
        </w:rPr>
        <w:t>（4）与本采购项目的采购代理机构同为一个法定代表人的；</w:t>
      </w:r>
      <w:bookmarkEnd w:id="74"/>
      <w:r>
        <w:rPr>
          <w:rFonts w:hint="eastAsia" w:ascii="宋体" w:hAnsi="宋体" w:cs="宋体"/>
          <w:color w:val="000000"/>
          <w:sz w:val="24"/>
          <w:szCs w:val="24"/>
          <w:highlight w:val="none"/>
        </w:rPr>
        <w:t xml:space="preserve"> </w:t>
      </w:r>
    </w:p>
    <w:p w14:paraId="052B8733">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75" w:name="_Toc19800"/>
      <w:r>
        <w:rPr>
          <w:rFonts w:hint="eastAsia" w:ascii="宋体" w:hAnsi="宋体" w:cs="宋体"/>
          <w:color w:val="000000"/>
          <w:sz w:val="24"/>
          <w:szCs w:val="24"/>
          <w:highlight w:val="none"/>
        </w:rPr>
        <w:t>（5）与本采购项目的采购代理机构相互控股或参股的；</w:t>
      </w:r>
      <w:bookmarkEnd w:id="75"/>
      <w:r>
        <w:rPr>
          <w:rFonts w:hint="eastAsia" w:ascii="宋体" w:hAnsi="宋体" w:cs="宋体"/>
          <w:color w:val="000000"/>
          <w:sz w:val="24"/>
          <w:szCs w:val="24"/>
          <w:highlight w:val="none"/>
        </w:rPr>
        <w:t xml:space="preserve"> </w:t>
      </w:r>
    </w:p>
    <w:p w14:paraId="75B93D21">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76" w:name="_Toc7576"/>
      <w:r>
        <w:rPr>
          <w:rFonts w:hint="eastAsia" w:ascii="宋体" w:hAnsi="宋体" w:cs="宋体"/>
          <w:color w:val="000000"/>
          <w:sz w:val="24"/>
          <w:szCs w:val="24"/>
          <w:highlight w:val="none"/>
        </w:rPr>
        <w:t>（6）与本采购项目的采购代理机构相互任职或工作的；</w:t>
      </w:r>
      <w:bookmarkEnd w:id="76"/>
    </w:p>
    <w:p w14:paraId="15C115CA">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77" w:name="_Toc28929"/>
      <w:r>
        <w:rPr>
          <w:rFonts w:hint="eastAsia" w:ascii="宋体" w:hAnsi="宋体" w:cs="宋体"/>
          <w:color w:val="000000"/>
          <w:sz w:val="24"/>
          <w:szCs w:val="24"/>
          <w:highlight w:val="none"/>
        </w:rPr>
        <w:t>（7）供应商之间负责人为同一人或者存在控股、管理关系的不同单位的；</w:t>
      </w:r>
      <w:bookmarkEnd w:id="77"/>
    </w:p>
    <w:p w14:paraId="69D9E050">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78" w:name="_Toc9718"/>
      <w:r>
        <w:rPr>
          <w:rFonts w:hint="eastAsia" w:ascii="宋体" w:hAnsi="宋体" w:cs="宋体"/>
          <w:color w:val="000000"/>
          <w:sz w:val="24"/>
          <w:szCs w:val="24"/>
          <w:highlight w:val="none"/>
        </w:rPr>
        <w:t>（8）被政府有关部门责令停业的；</w:t>
      </w:r>
      <w:bookmarkEnd w:id="78"/>
    </w:p>
    <w:p w14:paraId="7B96411B">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79" w:name="_Toc18044"/>
      <w:r>
        <w:rPr>
          <w:rFonts w:hint="eastAsia" w:ascii="宋体" w:hAnsi="宋体" w:cs="宋体"/>
          <w:color w:val="000000"/>
          <w:sz w:val="24"/>
          <w:szCs w:val="24"/>
          <w:highlight w:val="none"/>
        </w:rPr>
        <w:t>（9）被暂停或取消磋商资格的；</w:t>
      </w:r>
      <w:bookmarkEnd w:id="79"/>
    </w:p>
    <w:p w14:paraId="1759E3B0">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80" w:name="_Toc32746"/>
      <w:r>
        <w:rPr>
          <w:rFonts w:hint="eastAsia" w:ascii="宋体" w:hAnsi="宋体" w:cs="宋体"/>
          <w:color w:val="000000"/>
          <w:sz w:val="24"/>
          <w:szCs w:val="24"/>
          <w:highlight w:val="none"/>
        </w:rPr>
        <w:t>（10）</w:t>
      </w:r>
      <w:bookmarkEnd w:id="80"/>
      <w:r>
        <w:rPr>
          <w:rFonts w:hint="eastAsia" w:ascii="宋体" w:hAnsi="宋体" w:cs="宋体"/>
          <w:color w:val="000000"/>
          <w:sz w:val="24"/>
          <w:szCs w:val="24"/>
          <w:highlight w:val="none"/>
        </w:rPr>
        <w:t xml:space="preserve">法律法规规定的其他情形； </w:t>
      </w:r>
    </w:p>
    <w:p w14:paraId="07E801B7">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81" w:name="_Toc2594"/>
      <w:r>
        <w:rPr>
          <w:rFonts w:hint="eastAsia" w:ascii="宋体" w:hAnsi="宋体" w:cs="宋体"/>
          <w:color w:val="000000"/>
          <w:sz w:val="24"/>
          <w:szCs w:val="24"/>
          <w:highlight w:val="none"/>
        </w:rPr>
        <w:t>1.4.3 是否接受联合体磋商：</w:t>
      </w:r>
      <w:bookmarkEnd w:id="81"/>
      <w:bookmarkStart w:id="82" w:name="_Toc152045535"/>
      <w:bookmarkStart w:id="83" w:name="_Toc32616"/>
      <w:bookmarkStart w:id="84" w:name="_Toc152042311"/>
      <w:bookmarkStart w:id="85" w:name="_Toc144974503"/>
      <w:bookmarkStart w:id="86" w:name="_Toc179632552"/>
      <w:r>
        <w:rPr>
          <w:rFonts w:hint="eastAsia" w:ascii="宋体" w:hAnsi="宋体" w:cs="宋体"/>
          <w:color w:val="000000"/>
          <w:sz w:val="24"/>
          <w:szCs w:val="24"/>
          <w:highlight w:val="none"/>
        </w:rPr>
        <w:t>详见“第一章 竞争性磋商公告”</w:t>
      </w:r>
    </w:p>
    <w:p w14:paraId="23B9AB8E">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1.5 费用承担</w:t>
      </w:r>
      <w:bookmarkEnd w:id="82"/>
      <w:bookmarkEnd w:id="83"/>
      <w:bookmarkEnd w:id="84"/>
      <w:bookmarkEnd w:id="85"/>
      <w:bookmarkEnd w:id="86"/>
      <w:r>
        <w:rPr>
          <w:rFonts w:hint="eastAsia" w:ascii="宋体" w:hAnsi="宋体" w:cs="宋体"/>
          <w:color w:val="000000"/>
          <w:sz w:val="24"/>
          <w:szCs w:val="24"/>
          <w:highlight w:val="none"/>
        </w:rPr>
        <w:t>：供应商参与本项目所有发生的费用，不论成交与否均由供应商自行承担。</w:t>
      </w:r>
    </w:p>
    <w:p w14:paraId="6F999857">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87" w:name="_Toc152045536"/>
      <w:bookmarkStart w:id="88" w:name="_Toc14333"/>
      <w:bookmarkStart w:id="89" w:name="_Toc152042312"/>
      <w:bookmarkStart w:id="90" w:name="_Toc179632553"/>
      <w:bookmarkStart w:id="91" w:name="_Toc144974504"/>
      <w:r>
        <w:rPr>
          <w:rFonts w:hint="eastAsia" w:ascii="宋体" w:hAnsi="宋体" w:cs="宋体"/>
          <w:color w:val="000000"/>
          <w:sz w:val="24"/>
          <w:szCs w:val="24"/>
          <w:highlight w:val="none"/>
        </w:rPr>
        <w:t>1.6 保密</w:t>
      </w:r>
      <w:bookmarkEnd w:id="87"/>
      <w:bookmarkEnd w:id="88"/>
      <w:bookmarkEnd w:id="89"/>
      <w:bookmarkEnd w:id="90"/>
      <w:bookmarkEnd w:id="91"/>
      <w:r>
        <w:rPr>
          <w:rFonts w:hint="eastAsia" w:ascii="宋体" w:hAnsi="宋体" w:cs="宋体"/>
          <w:color w:val="000000"/>
          <w:sz w:val="24"/>
          <w:szCs w:val="24"/>
          <w:highlight w:val="none"/>
        </w:rPr>
        <w:t>：</w:t>
      </w:r>
      <w:bookmarkStart w:id="92" w:name="_Toc14369"/>
      <w:r>
        <w:rPr>
          <w:rFonts w:hint="eastAsia" w:ascii="宋体" w:hAnsi="宋体" w:cs="宋体"/>
          <w:color w:val="000000"/>
          <w:sz w:val="24"/>
          <w:szCs w:val="24"/>
          <w:highlight w:val="none"/>
        </w:rPr>
        <w:t>参与采购磋商活动的各方均应对竞争性磋商文件和响应文件中的商业和技术等秘密保密，违者应对由此造成的后果承担责任。</w:t>
      </w:r>
      <w:bookmarkEnd w:id="92"/>
      <w:r>
        <w:rPr>
          <w:rFonts w:hint="eastAsia" w:ascii="宋体" w:hAnsi="宋体" w:cs="宋体"/>
          <w:color w:val="000000"/>
          <w:sz w:val="24"/>
          <w:szCs w:val="24"/>
          <w:highlight w:val="none"/>
        </w:rPr>
        <w:t xml:space="preserve"> </w:t>
      </w:r>
    </w:p>
    <w:p w14:paraId="2C134E95">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93" w:name="_Toc144974505"/>
      <w:bookmarkStart w:id="94" w:name="_Toc179632554"/>
      <w:bookmarkStart w:id="95" w:name="_Toc152042313"/>
      <w:bookmarkStart w:id="96" w:name="_Toc32542"/>
      <w:bookmarkStart w:id="97" w:name="_Toc152045537"/>
      <w:r>
        <w:rPr>
          <w:rFonts w:hint="eastAsia" w:ascii="宋体" w:hAnsi="宋体" w:cs="宋体"/>
          <w:color w:val="000000"/>
          <w:sz w:val="24"/>
          <w:szCs w:val="24"/>
          <w:highlight w:val="none"/>
        </w:rPr>
        <w:t>1.7 语言</w:t>
      </w:r>
      <w:bookmarkEnd w:id="93"/>
      <w:r>
        <w:rPr>
          <w:rFonts w:hint="eastAsia" w:ascii="宋体" w:hAnsi="宋体" w:cs="宋体"/>
          <w:color w:val="000000"/>
          <w:sz w:val="24"/>
          <w:szCs w:val="24"/>
          <w:highlight w:val="none"/>
        </w:rPr>
        <w:t>文字</w:t>
      </w:r>
      <w:bookmarkEnd w:id="94"/>
      <w:bookmarkEnd w:id="95"/>
      <w:bookmarkEnd w:id="96"/>
      <w:bookmarkEnd w:id="97"/>
      <w:r>
        <w:rPr>
          <w:rFonts w:hint="eastAsia" w:ascii="宋体" w:hAnsi="宋体" w:cs="宋体"/>
          <w:color w:val="000000"/>
          <w:sz w:val="24"/>
          <w:szCs w:val="24"/>
          <w:highlight w:val="none"/>
        </w:rPr>
        <w:t>：</w:t>
      </w:r>
      <w:bookmarkStart w:id="98" w:name="_Toc6943"/>
      <w:r>
        <w:rPr>
          <w:rFonts w:hint="eastAsia" w:ascii="宋体" w:hAnsi="宋体" w:cs="宋体"/>
          <w:color w:val="000000"/>
          <w:sz w:val="24"/>
          <w:szCs w:val="24"/>
          <w:highlight w:val="none"/>
        </w:rPr>
        <w:t>除专用术语外，与采购磋商有关的语言均使用中文。必要时专用术语应附有中文注释。</w:t>
      </w:r>
      <w:bookmarkEnd w:id="98"/>
    </w:p>
    <w:p w14:paraId="3918C081">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99" w:name="_Toc144974506"/>
      <w:bookmarkStart w:id="100" w:name="_Toc152045538"/>
      <w:bookmarkStart w:id="101" w:name="_Toc152042314"/>
      <w:bookmarkStart w:id="102" w:name="_Toc24227"/>
      <w:bookmarkStart w:id="103" w:name="_Toc179632555"/>
      <w:r>
        <w:rPr>
          <w:rFonts w:hint="eastAsia" w:ascii="宋体" w:hAnsi="宋体" w:cs="宋体"/>
          <w:color w:val="000000"/>
          <w:sz w:val="24"/>
          <w:szCs w:val="24"/>
          <w:highlight w:val="none"/>
        </w:rPr>
        <w:t>1.8 计量单位</w:t>
      </w:r>
      <w:bookmarkEnd w:id="99"/>
      <w:bookmarkEnd w:id="100"/>
      <w:bookmarkEnd w:id="101"/>
      <w:bookmarkEnd w:id="102"/>
      <w:bookmarkEnd w:id="103"/>
      <w:r>
        <w:rPr>
          <w:rFonts w:hint="eastAsia" w:ascii="宋体" w:hAnsi="宋体" w:cs="宋体"/>
          <w:color w:val="000000"/>
          <w:sz w:val="24"/>
          <w:szCs w:val="24"/>
          <w:highlight w:val="none"/>
        </w:rPr>
        <w:t>：</w:t>
      </w:r>
      <w:bookmarkStart w:id="104" w:name="_Toc20014"/>
      <w:r>
        <w:rPr>
          <w:rFonts w:hint="eastAsia" w:ascii="宋体" w:hAnsi="宋体" w:cs="宋体"/>
          <w:color w:val="000000"/>
          <w:sz w:val="24"/>
          <w:szCs w:val="24"/>
          <w:highlight w:val="none"/>
        </w:rPr>
        <w:t>所有计量均采用中华人民共和国法定计量单位。</w:t>
      </w:r>
      <w:bookmarkEnd w:id="104"/>
    </w:p>
    <w:p w14:paraId="12F03C31">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ascii="宋体" w:hAnsi="宋体" w:cs="宋体"/>
          <w:color w:val="000000"/>
          <w:sz w:val="24"/>
          <w:szCs w:val="24"/>
          <w:highlight w:val="none"/>
        </w:rPr>
      </w:pPr>
      <w:bookmarkStart w:id="105" w:name="_Toc179632556"/>
      <w:bookmarkStart w:id="106" w:name="_Toc152045539"/>
      <w:bookmarkStart w:id="107" w:name="_Toc144974507"/>
      <w:bookmarkStart w:id="108" w:name="_Toc152042315"/>
      <w:bookmarkStart w:id="109" w:name="_Toc3896"/>
      <w:r>
        <w:rPr>
          <w:rFonts w:hint="eastAsia" w:ascii="宋体" w:hAnsi="宋体" w:cs="宋体"/>
          <w:color w:val="000000"/>
          <w:sz w:val="24"/>
          <w:szCs w:val="24"/>
          <w:highlight w:val="none"/>
        </w:rPr>
        <w:t>1.9 踏勘现场</w:t>
      </w:r>
      <w:bookmarkEnd w:id="105"/>
      <w:bookmarkEnd w:id="106"/>
      <w:bookmarkEnd w:id="107"/>
      <w:bookmarkEnd w:id="108"/>
      <w:bookmarkEnd w:id="109"/>
      <w:r>
        <w:rPr>
          <w:rFonts w:hint="eastAsia" w:ascii="宋体" w:hAnsi="宋体" w:cs="宋体"/>
          <w:color w:val="000000"/>
          <w:sz w:val="24"/>
          <w:szCs w:val="24"/>
          <w:highlight w:val="none"/>
        </w:rPr>
        <w:t>：</w:t>
      </w:r>
      <w:bookmarkStart w:id="110" w:name="_Toc12330"/>
      <w:bookmarkStart w:id="111" w:name="_Toc152045540"/>
      <w:bookmarkStart w:id="112" w:name="_Toc179632557"/>
      <w:bookmarkStart w:id="113" w:name="_Toc152042316"/>
      <w:bookmarkStart w:id="114" w:name="_Toc144974508"/>
      <w:r>
        <w:rPr>
          <w:rFonts w:hint="eastAsia" w:ascii="宋体" w:hAnsi="宋体" w:cs="宋体"/>
          <w:color w:val="000000"/>
          <w:sz w:val="24"/>
          <w:szCs w:val="24"/>
          <w:highlight w:val="none"/>
        </w:rPr>
        <w:t>除供应商须知前附表10.1需要补充的其他内容特殊要求外，不组织统一踏勘现场，各供应商可自行前往项目所在地进行踏勘。过程中所产生的任何费用及安全问题由供应商自行承担。不论供应商是否踏勘，与本项目实施的所有因素、细节由供应商自行考虑并承担相关不利风险。</w:t>
      </w:r>
    </w:p>
    <w:p w14:paraId="0167D4D1">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1.10 答疑</w:t>
      </w:r>
      <w:bookmarkEnd w:id="110"/>
      <w:bookmarkEnd w:id="111"/>
      <w:bookmarkEnd w:id="112"/>
      <w:bookmarkEnd w:id="113"/>
      <w:bookmarkEnd w:id="114"/>
      <w:r>
        <w:rPr>
          <w:rFonts w:hint="eastAsia" w:ascii="宋体" w:hAnsi="宋体" w:cs="宋体"/>
          <w:color w:val="000000"/>
          <w:sz w:val="24"/>
          <w:szCs w:val="24"/>
          <w:highlight w:val="none"/>
        </w:rPr>
        <w:t>：详见供应商须知前附表。</w:t>
      </w:r>
    </w:p>
    <w:p w14:paraId="7769DF71">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115" w:name="_Toc152042317"/>
      <w:bookmarkStart w:id="116" w:name="_Toc152045541"/>
      <w:bookmarkStart w:id="117" w:name="_Toc144974509"/>
      <w:bookmarkStart w:id="118" w:name="_Toc5889"/>
      <w:bookmarkStart w:id="119" w:name="_Toc179632558"/>
      <w:r>
        <w:rPr>
          <w:rFonts w:hint="eastAsia" w:ascii="宋体" w:hAnsi="宋体" w:cs="宋体"/>
          <w:color w:val="000000"/>
          <w:sz w:val="24"/>
          <w:szCs w:val="24"/>
          <w:highlight w:val="none"/>
        </w:rPr>
        <w:t>1.11 转包</w:t>
      </w:r>
      <w:bookmarkEnd w:id="115"/>
      <w:bookmarkEnd w:id="116"/>
      <w:bookmarkEnd w:id="117"/>
      <w:bookmarkEnd w:id="118"/>
      <w:bookmarkEnd w:id="119"/>
      <w:bookmarkStart w:id="120" w:name="_Toc179632559"/>
      <w:r>
        <w:rPr>
          <w:rFonts w:hint="eastAsia" w:ascii="宋体" w:hAnsi="宋体" w:cs="宋体"/>
          <w:color w:val="000000"/>
          <w:sz w:val="24"/>
          <w:szCs w:val="24"/>
          <w:highlight w:val="none"/>
        </w:rPr>
        <w:t>：本项目不允许成交后转包。</w:t>
      </w:r>
    </w:p>
    <w:bookmarkEnd w:id="120"/>
    <w:p w14:paraId="06B7B6F6">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2.竞争性磋商文件的组成</w:t>
      </w:r>
    </w:p>
    <w:p w14:paraId="0F768210">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121" w:name="_Toc152045543"/>
      <w:bookmarkStart w:id="122" w:name="_Toc179632561"/>
      <w:bookmarkStart w:id="123" w:name="_Toc152042319"/>
      <w:bookmarkStart w:id="124" w:name="_Toc6865"/>
      <w:bookmarkStart w:id="125" w:name="_Toc144974511"/>
      <w:r>
        <w:rPr>
          <w:rFonts w:hint="eastAsia" w:ascii="宋体" w:hAnsi="宋体" w:cs="宋体"/>
          <w:color w:val="000000"/>
          <w:sz w:val="24"/>
          <w:szCs w:val="24"/>
          <w:highlight w:val="none"/>
        </w:rPr>
        <w:t>2.1 竞争性磋商文件的组成</w:t>
      </w:r>
      <w:bookmarkEnd w:id="121"/>
      <w:bookmarkEnd w:id="122"/>
      <w:bookmarkEnd w:id="123"/>
      <w:bookmarkEnd w:id="124"/>
      <w:bookmarkEnd w:id="125"/>
    </w:p>
    <w:p w14:paraId="37AA95F2">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126" w:name="_Toc8529"/>
      <w:r>
        <w:rPr>
          <w:rFonts w:hint="eastAsia" w:ascii="宋体" w:hAnsi="宋体" w:cs="宋体"/>
          <w:color w:val="000000"/>
          <w:sz w:val="24"/>
          <w:szCs w:val="24"/>
          <w:highlight w:val="none"/>
        </w:rPr>
        <w:t>2.1.1本竞争性磋商文件包括：</w:t>
      </w:r>
      <w:bookmarkEnd w:id="126"/>
    </w:p>
    <w:p w14:paraId="4B0045E1">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127" w:name="_Toc16680"/>
      <w:r>
        <w:rPr>
          <w:rFonts w:hint="eastAsia" w:ascii="宋体" w:hAnsi="宋体" w:cs="宋体"/>
          <w:color w:val="000000"/>
          <w:sz w:val="24"/>
          <w:szCs w:val="24"/>
          <w:highlight w:val="none"/>
        </w:rPr>
        <w:t>（1）竞争性磋商公告；</w:t>
      </w:r>
      <w:bookmarkEnd w:id="127"/>
    </w:p>
    <w:p w14:paraId="60DB3157">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128" w:name="_Toc17485"/>
      <w:bookmarkStart w:id="129" w:name="_Toc10269"/>
      <w:r>
        <w:rPr>
          <w:rFonts w:hint="eastAsia" w:ascii="宋体" w:hAnsi="宋体" w:cs="宋体"/>
          <w:color w:val="000000"/>
          <w:sz w:val="24"/>
          <w:szCs w:val="24"/>
          <w:highlight w:val="none"/>
        </w:rPr>
        <w:t>（2）供应商须知前附表及供应商须知；</w:t>
      </w:r>
      <w:bookmarkEnd w:id="128"/>
    </w:p>
    <w:p w14:paraId="6FDC04EC">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（3）</w:t>
      </w:r>
      <w:r>
        <w:rPr>
          <w:rFonts w:hint="eastAsia" w:ascii="宋体" w:hAnsi="宋体" w:cs="宋体"/>
          <w:color w:val="000000"/>
          <w:sz w:val="24"/>
          <w:szCs w:val="24"/>
          <w:highlight w:val="none"/>
          <w:lang w:val="en-US" w:eastAsia="zh-CN"/>
        </w:rPr>
        <w:t>服务</w:t>
      </w:r>
      <w:r>
        <w:rPr>
          <w:rFonts w:hint="eastAsia" w:ascii="宋体" w:hAnsi="宋体" w:cs="宋体"/>
          <w:color w:val="000000"/>
          <w:sz w:val="24"/>
          <w:szCs w:val="24"/>
          <w:highlight w:val="none"/>
        </w:rPr>
        <w:t>需求及商务要求；</w:t>
      </w:r>
    </w:p>
    <w:p w14:paraId="448E8510">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130" w:name="_Toc23760"/>
      <w:r>
        <w:rPr>
          <w:rFonts w:hint="eastAsia" w:ascii="宋体" w:hAnsi="宋体" w:cs="宋体"/>
          <w:color w:val="000000"/>
          <w:sz w:val="24"/>
          <w:szCs w:val="24"/>
          <w:highlight w:val="none"/>
        </w:rPr>
        <w:t>（4）评审办法；</w:t>
      </w:r>
      <w:bookmarkEnd w:id="130"/>
    </w:p>
    <w:p w14:paraId="5AE5EED3">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131" w:name="_Toc4000"/>
      <w:r>
        <w:rPr>
          <w:rFonts w:hint="eastAsia" w:ascii="宋体" w:hAnsi="宋体" w:cs="宋体"/>
          <w:color w:val="000000"/>
          <w:sz w:val="24"/>
          <w:szCs w:val="24"/>
          <w:highlight w:val="none"/>
        </w:rPr>
        <w:t>（5）拟签订的合同文本；</w:t>
      </w:r>
      <w:bookmarkEnd w:id="131"/>
    </w:p>
    <w:p w14:paraId="2EA701C2">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132" w:name="_Toc7065"/>
      <w:r>
        <w:rPr>
          <w:rFonts w:hint="eastAsia" w:ascii="宋体" w:hAnsi="宋体" w:cs="宋体"/>
          <w:color w:val="000000"/>
          <w:sz w:val="24"/>
          <w:szCs w:val="24"/>
          <w:highlight w:val="none"/>
        </w:rPr>
        <w:t>（6）响应文件格式；</w:t>
      </w:r>
      <w:bookmarkEnd w:id="132"/>
      <w:r>
        <w:rPr>
          <w:rFonts w:hint="eastAsia" w:ascii="宋体" w:hAnsi="宋体" w:cs="宋体"/>
          <w:color w:val="000000"/>
          <w:sz w:val="24"/>
          <w:szCs w:val="24"/>
          <w:highlight w:val="none"/>
        </w:rPr>
        <w:t xml:space="preserve"> </w:t>
      </w:r>
    </w:p>
    <w:p w14:paraId="0F78DE7F">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根据本章第1.10款、第2.2款对竞争性磋商文件所作的澄清、修改，均构成竞争性磋商文件的组成部分。</w:t>
      </w:r>
      <w:bookmarkEnd w:id="129"/>
    </w:p>
    <w:p w14:paraId="7DF5E435">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2.1.2供应商应及时获取竞争性磋商文件，否则引起的一切风险由供应商自负。</w:t>
      </w:r>
    </w:p>
    <w:p w14:paraId="3B72ABD3">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133" w:name="_Toc152042320"/>
      <w:bookmarkStart w:id="134" w:name="_Toc144974512"/>
      <w:bookmarkStart w:id="135" w:name="_Toc18080"/>
      <w:bookmarkStart w:id="136" w:name="_Toc179632562"/>
      <w:bookmarkStart w:id="137" w:name="_Toc152045544"/>
      <w:r>
        <w:rPr>
          <w:rFonts w:hint="eastAsia" w:ascii="宋体" w:hAnsi="宋体" w:cs="宋体"/>
          <w:color w:val="000000"/>
          <w:sz w:val="24"/>
          <w:szCs w:val="24"/>
          <w:highlight w:val="none"/>
        </w:rPr>
        <w:t>2.2 竞争性磋商文件的澄清</w:t>
      </w:r>
      <w:bookmarkEnd w:id="133"/>
      <w:bookmarkEnd w:id="134"/>
      <w:bookmarkEnd w:id="135"/>
      <w:bookmarkEnd w:id="136"/>
      <w:bookmarkEnd w:id="137"/>
      <w:r>
        <w:rPr>
          <w:rFonts w:hint="eastAsia" w:ascii="宋体" w:hAnsi="宋体" w:cs="宋体"/>
          <w:color w:val="000000"/>
          <w:sz w:val="24"/>
          <w:szCs w:val="24"/>
          <w:highlight w:val="none"/>
        </w:rPr>
        <w:t>与修改</w:t>
      </w:r>
    </w:p>
    <w:p w14:paraId="084DC4A8">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138" w:name="_Toc8736"/>
      <w:r>
        <w:rPr>
          <w:rFonts w:hint="eastAsia" w:ascii="宋体" w:hAnsi="宋体" w:cs="宋体"/>
          <w:color w:val="000000"/>
          <w:sz w:val="24"/>
          <w:szCs w:val="24"/>
          <w:highlight w:val="none"/>
        </w:rPr>
        <w:t>2.2.1供应商应仔细阅读和检查竞争性磋商文件的全部内容。如发现缺页或附件不全，应及时向采购代理机构提出，以便补齐。如有疑问，按照前附表要求向采购代理机构提出疑问，要求采购代理机构对竞争性磋商文件予以澄清。</w:t>
      </w:r>
      <w:bookmarkEnd w:id="138"/>
    </w:p>
    <w:p w14:paraId="4F540147">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139" w:name="_Toc1339"/>
      <w:r>
        <w:rPr>
          <w:rFonts w:hint="eastAsia" w:ascii="宋体" w:hAnsi="宋体" w:cs="宋体"/>
          <w:color w:val="000000"/>
          <w:sz w:val="24"/>
          <w:szCs w:val="24"/>
          <w:highlight w:val="none"/>
        </w:rPr>
        <w:t>2.2.2 供应商应及时登陆相应网站查看本项目的采购变更信息并获取澄清和修改后的文件，未按澄清和修改后的竞争性磋商文件编制的响应文件有可能被磋商小组否决。</w:t>
      </w:r>
    </w:p>
    <w:p w14:paraId="2D57CB22">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2.2.3当竞争性磋商文件、竞争性磋商文件澄清（答疑）纪要、竞争性磋商文件修改（补充）文件在同一内容的表述上不一致时，以时间在后的为准。</w:t>
      </w:r>
    </w:p>
    <w:p w14:paraId="2B5F263A">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2.2.4其它关于澄清与修改的要求以现行相关法律、法规为准。</w:t>
      </w:r>
    </w:p>
    <w:bookmarkEnd w:id="139"/>
    <w:p w14:paraId="7B7887EB">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000000"/>
          <w:sz w:val="24"/>
          <w:szCs w:val="24"/>
          <w:highlight w:val="none"/>
        </w:rPr>
      </w:pPr>
      <w:bookmarkStart w:id="140" w:name="_Toc510859688"/>
      <w:bookmarkStart w:id="141" w:name="_Toc363119280"/>
      <w:bookmarkStart w:id="142" w:name="_Toc4705"/>
      <w:bookmarkStart w:id="143" w:name="_Toc11364"/>
      <w:bookmarkStart w:id="144" w:name="_Toc511585902"/>
      <w:bookmarkStart w:id="145" w:name="_Toc9377"/>
      <w:bookmarkStart w:id="146" w:name="_Toc510859894"/>
      <w:bookmarkStart w:id="147" w:name="_Toc9036"/>
      <w:r>
        <w:rPr>
          <w:rFonts w:hint="eastAsia" w:ascii="宋体" w:hAnsi="宋体" w:cs="宋体"/>
          <w:b/>
          <w:bCs/>
          <w:color w:val="000000"/>
          <w:sz w:val="24"/>
          <w:szCs w:val="24"/>
          <w:highlight w:val="none"/>
        </w:rPr>
        <w:t>3.</w:t>
      </w:r>
      <w:bookmarkEnd w:id="140"/>
      <w:bookmarkEnd w:id="141"/>
      <w:bookmarkEnd w:id="142"/>
      <w:bookmarkEnd w:id="143"/>
      <w:bookmarkEnd w:id="144"/>
      <w:bookmarkEnd w:id="145"/>
      <w:bookmarkEnd w:id="146"/>
      <w:bookmarkEnd w:id="147"/>
      <w:r>
        <w:rPr>
          <w:rFonts w:hint="eastAsia" w:ascii="宋体" w:hAnsi="宋体" w:cs="宋体"/>
          <w:b/>
          <w:bCs/>
          <w:color w:val="000000"/>
          <w:sz w:val="24"/>
          <w:szCs w:val="24"/>
          <w:highlight w:val="none"/>
        </w:rPr>
        <w:t>响应文件</w:t>
      </w:r>
    </w:p>
    <w:p w14:paraId="1321C44E">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148" w:name="_Toc20122"/>
      <w:bookmarkStart w:id="149" w:name="_Toc152042323"/>
      <w:bookmarkStart w:id="150" w:name="_Toc144974515"/>
      <w:bookmarkStart w:id="151" w:name="_Toc179632565"/>
      <w:bookmarkStart w:id="152" w:name="_Toc152045547"/>
      <w:r>
        <w:rPr>
          <w:rFonts w:hint="eastAsia" w:ascii="宋体" w:hAnsi="宋体" w:cs="宋体"/>
          <w:color w:val="000000"/>
          <w:sz w:val="24"/>
          <w:szCs w:val="24"/>
          <w:highlight w:val="none"/>
        </w:rPr>
        <w:t>3.1 响应文件的组成</w:t>
      </w:r>
      <w:bookmarkEnd w:id="148"/>
      <w:bookmarkEnd w:id="149"/>
      <w:bookmarkEnd w:id="150"/>
      <w:bookmarkEnd w:id="151"/>
      <w:bookmarkEnd w:id="152"/>
      <w:r>
        <w:rPr>
          <w:rFonts w:hint="eastAsia" w:ascii="宋体" w:hAnsi="宋体" w:cs="宋体"/>
          <w:color w:val="000000"/>
          <w:sz w:val="24"/>
          <w:szCs w:val="24"/>
          <w:highlight w:val="none"/>
        </w:rPr>
        <w:t>：</w:t>
      </w:r>
      <w:bookmarkStart w:id="153" w:name="_Toc19703"/>
    </w:p>
    <w:p w14:paraId="5B8B49A0">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3.1.1响应文件应按照本竞争性磋商文件提供的“第六章 响应文件格式”“第四章 评审办法”及本文件的其他要求完整地进行编制</w:t>
      </w:r>
      <w:bookmarkEnd w:id="153"/>
      <w:r>
        <w:rPr>
          <w:rFonts w:hint="eastAsia" w:ascii="宋体" w:hAnsi="宋体" w:cs="宋体"/>
          <w:color w:val="000000"/>
          <w:sz w:val="24"/>
          <w:szCs w:val="24"/>
          <w:highlight w:val="none"/>
        </w:rPr>
        <w:t>。</w:t>
      </w:r>
    </w:p>
    <w:p w14:paraId="743CA523">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供应商在编制响应文件时未按照上述要求提供证明材料、擅自修改响应文件格式内容、未按照响应文件格式内容进行响应的，将视为响应文件的组成不完整，在符合性审查时将按照不合格处理。</w:t>
      </w:r>
    </w:p>
    <w:p w14:paraId="471044D6">
      <w:pPr>
        <w:keepNext w:val="0"/>
        <w:keepLines w:val="0"/>
        <w:pageBreakBefore w:val="0"/>
        <w:widowControl w:val="0"/>
        <w:kinsoku/>
        <w:wordWrap w:val="0"/>
        <w:overflowPunct/>
        <w:topLinePunct w:val="0"/>
        <w:autoSpaceDE/>
        <w:autoSpaceDN/>
        <w:bidi w:val="0"/>
        <w:adjustRightInd w:val="0"/>
        <w:snapToGrid w:val="0"/>
        <w:spacing w:line="360" w:lineRule="auto"/>
        <w:ind w:left="479" w:leftChars="228"/>
        <w:textAlignment w:val="auto"/>
        <w:rPr>
          <w:rFonts w:hint="eastAsia" w:ascii="宋体" w:hAnsi="宋体" w:cs="宋体"/>
          <w:color w:val="000000"/>
          <w:sz w:val="24"/>
          <w:szCs w:val="24"/>
          <w:highlight w:val="none"/>
        </w:rPr>
      </w:pPr>
      <w:bookmarkStart w:id="154" w:name="_Toc5965"/>
      <w:r>
        <w:rPr>
          <w:rFonts w:hint="eastAsia" w:ascii="宋体" w:hAnsi="宋体" w:cs="宋体"/>
          <w:color w:val="000000"/>
          <w:sz w:val="24"/>
          <w:szCs w:val="24"/>
          <w:highlight w:val="none"/>
        </w:rPr>
        <w:t>3.1.2</w:t>
      </w:r>
      <w:bookmarkEnd w:id="154"/>
      <w:bookmarkStart w:id="155" w:name="_Toc16247"/>
      <w:r>
        <w:rPr>
          <w:rFonts w:hint="eastAsia" w:ascii="宋体" w:hAnsi="宋体" w:cs="宋体"/>
          <w:color w:val="000000"/>
          <w:sz w:val="24"/>
          <w:szCs w:val="24"/>
          <w:highlight w:val="none"/>
        </w:rPr>
        <w:t>响应文件的份数：详见供应商须知前附表。</w:t>
      </w:r>
    </w:p>
    <w:p w14:paraId="2DDF792D">
      <w:pPr>
        <w:keepNext w:val="0"/>
        <w:keepLines w:val="0"/>
        <w:pageBreakBefore w:val="0"/>
        <w:widowControl w:val="0"/>
        <w:kinsoku/>
        <w:wordWrap w:val="0"/>
        <w:overflowPunct/>
        <w:topLinePunct w:val="0"/>
        <w:autoSpaceDE/>
        <w:autoSpaceDN/>
        <w:bidi w:val="0"/>
        <w:adjustRightInd w:val="0"/>
        <w:snapToGrid w:val="0"/>
        <w:spacing w:line="360" w:lineRule="auto"/>
        <w:ind w:left="479" w:leftChars="228"/>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3.1.3响应文件的密封与包装：详见供应商须知前附表。</w:t>
      </w:r>
    </w:p>
    <w:p w14:paraId="6981A416">
      <w:pPr>
        <w:keepNext w:val="0"/>
        <w:keepLines w:val="0"/>
        <w:pageBreakBefore w:val="0"/>
        <w:widowControl w:val="0"/>
        <w:kinsoku/>
        <w:wordWrap w:val="0"/>
        <w:overflowPunct/>
        <w:topLinePunct w:val="0"/>
        <w:autoSpaceDE/>
        <w:autoSpaceDN/>
        <w:bidi w:val="0"/>
        <w:adjustRightInd w:val="0"/>
        <w:snapToGrid w:val="0"/>
        <w:spacing w:line="360" w:lineRule="auto"/>
        <w:ind w:left="479" w:leftChars="228"/>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3.1.4响应文件的补充、修改和撤回：</w:t>
      </w:r>
    </w:p>
    <w:p w14:paraId="7FFA8FE8">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1）供应商在提交响应文件截止时间前，可以对所提交的响应文件进行补充、修改或者撤回，但需要书面通知采购人、采购代理机构。补充、修改的内容作为响应文件的组成部分。补充、修改的内容与响应文件不一致的，以补充、修改的内容为准。</w:t>
      </w:r>
    </w:p>
    <w:p w14:paraId="18CBAA54">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（2）供应商在提交响应文件截止时间后，撤回响应文件的，磋商保证金不予退还。</w:t>
      </w:r>
    </w:p>
    <w:p w14:paraId="6034EAF7">
      <w:pPr>
        <w:keepNext w:val="0"/>
        <w:keepLines w:val="0"/>
        <w:pageBreakBefore w:val="0"/>
        <w:widowControl w:val="0"/>
        <w:kinsoku/>
        <w:wordWrap w:val="0"/>
        <w:overflowPunct/>
        <w:topLinePunct w:val="0"/>
        <w:autoSpaceDE/>
        <w:autoSpaceDN/>
        <w:bidi w:val="0"/>
        <w:adjustRightInd w:val="0"/>
        <w:snapToGrid w:val="0"/>
        <w:spacing w:line="360" w:lineRule="auto"/>
        <w:ind w:left="479" w:leftChars="228"/>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3.1.5响应文件被拒绝接收的情形：</w:t>
      </w:r>
    </w:p>
    <w:p w14:paraId="57398D27">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（1）未按照竞争性磋商文件要求递交响应文件的；</w:t>
      </w:r>
    </w:p>
    <w:p w14:paraId="645861EE">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（2）逾期提交响应文件的；</w:t>
      </w:r>
    </w:p>
    <w:p w14:paraId="59D0C3C4">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（3）其他法律法规规定的应当拒绝接受的情形。</w:t>
      </w:r>
    </w:p>
    <w:p w14:paraId="1B632542">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3.1.6响应文件由于编制问题导致无法正常评审的，将按无效响应文件处理。</w:t>
      </w:r>
      <w:bookmarkEnd w:id="155"/>
    </w:p>
    <w:p w14:paraId="0A2C79FE">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156" w:name="_Toc152045548"/>
      <w:bookmarkStart w:id="157" w:name="_Toc152042324"/>
      <w:bookmarkStart w:id="158" w:name="_Toc24516"/>
      <w:bookmarkStart w:id="159" w:name="_Toc179632566"/>
      <w:bookmarkStart w:id="160" w:name="_Toc144974516"/>
      <w:r>
        <w:rPr>
          <w:rFonts w:hint="eastAsia" w:ascii="宋体" w:hAnsi="宋体" w:cs="宋体"/>
          <w:color w:val="000000"/>
          <w:sz w:val="24"/>
          <w:szCs w:val="24"/>
          <w:highlight w:val="none"/>
        </w:rPr>
        <w:t xml:space="preserve">3.2 </w:t>
      </w:r>
      <w:bookmarkEnd w:id="156"/>
      <w:bookmarkEnd w:id="157"/>
      <w:bookmarkEnd w:id="158"/>
      <w:bookmarkEnd w:id="159"/>
      <w:bookmarkEnd w:id="160"/>
      <w:r>
        <w:rPr>
          <w:rFonts w:hint="eastAsia" w:ascii="宋体" w:hAnsi="宋体" w:cs="宋体"/>
          <w:color w:val="000000"/>
          <w:sz w:val="24"/>
          <w:szCs w:val="24"/>
          <w:highlight w:val="none"/>
        </w:rPr>
        <w:t>竞争性磋商报价</w:t>
      </w:r>
    </w:p>
    <w:p w14:paraId="33FF23CE">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161" w:name="_Toc25009"/>
      <w:r>
        <w:rPr>
          <w:rFonts w:hint="eastAsia" w:ascii="宋体" w:hAnsi="宋体" w:cs="宋体"/>
          <w:color w:val="000000"/>
          <w:sz w:val="24"/>
          <w:szCs w:val="24"/>
          <w:highlight w:val="none"/>
        </w:rPr>
        <w:t>3.2.1供应商应按照竞争性磋商文件中的规定和要求报价，任何不符合报价要求的磋商将按照废标处理。</w:t>
      </w:r>
      <w:bookmarkEnd w:id="161"/>
    </w:p>
    <w:p w14:paraId="74E63029">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162" w:name="_Toc27614"/>
      <w:r>
        <w:rPr>
          <w:rFonts w:hint="eastAsia" w:ascii="宋体" w:hAnsi="宋体" w:cs="宋体"/>
          <w:color w:val="000000"/>
          <w:sz w:val="24"/>
          <w:szCs w:val="24"/>
          <w:highlight w:val="none"/>
        </w:rPr>
        <w:t>3.2.2竞争性磋商报价表中标明的价格应为履行合同的固定价格，不得以任何理由予以变更。任何有选择的报价及可以调整价格的磋商均按照废标处理。</w:t>
      </w:r>
      <w:bookmarkEnd w:id="162"/>
    </w:p>
    <w:p w14:paraId="6DCC89A5">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163" w:name="_Toc13351"/>
      <w:r>
        <w:rPr>
          <w:rFonts w:hint="eastAsia" w:ascii="宋体" w:hAnsi="宋体" w:cs="宋体"/>
          <w:color w:val="000000"/>
          <w:sz w:val="24"/>
          <w:szCs w:val="24"/>
          <w:highlight w:val="none"/>
        </w:rPr>
        <w:t>3.2.3竞争性磋商报价其他要求：详见供应商须知前附表。</w:t>
      </w:r>
      <w:bookmarkEnd w:id="163"/>
    </w:p>
    <w:p w14:paraId="757AD0F5">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164" w:name="_Toc144974517"/>
      <w:bookmarkStart w:id="165" w:name="_Toc152042325"/>
      <w:bookmarkStart w:id="166" w:name="_Toc19568"/>
      <w:bookmarkStart w:id="167" w:name="_Toc179632567"/>
      <w:bookmarkStart w:id="168" w:name="_Toc152045549"/>
      <w:r>
        <w:rPr>
          <w:rFonts w:hint="eastAsia" w:ascii="宋体" w:hAnsi="宋体" w:cs="宋体"/>
          <w:color w:val="000000"/>
          <w:sz w:val="24"/>
          <w:szCs w:val="24"/>
          <w:highlight w:val="none"/>
        </w:rPr>
        <w:t>3.3 磋商有效期</w:t>
      </w:r>
      <w:bookmarkEnd w:id="164"/>
      <w:bookmarkEnd w:id="165"/>
      <w:bookmarkEnd w:id="166"/>
      <w:bookmarkEnd w:id="167"/>
      <w:bookmarkEnd w:id="168"/>
    </w:p>
    <w:p w14:paraId="6E94741C">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169" w:name="_Toc18981"/>
      <w:r>
        <w:rPr>
          <w:rFonts w:hint="eastAsia" w:ascii="宋体" w:hAnsi="宋体" w:cs="宋体"/>
          <w:color w:val="000000"/>
          <w:sz w:val="24"/>
          <w:szCs w:val="24"/>
          <w:highlight w:val="none"/>
        </w:rPr>
        <w:t>3.3.1 磋商有效期：在规定的磋商有效期内，供应商不得要求撤销或修改其响应文件。其他内容详见供应商须知前附表。</w:t>
      </w:r>
      <w:bookmarkEnd w:id="169"/>
    </w:p>
    <w:p w14:paraId="685EC61F">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170" w:name="_Toc3847"/>
      <w:r>
        <w:rPr>
          <w:rFonts w:hint="eastAsia" w:ascii="宋体" w:hAnsi="宋体" w:cs="宋体"/>
          <w:color w:val="000000"/>
          <w:sz w:val="24"/>
          <w:szCs w:val="24"/>
          <w:highlight w:val="none"/>
        </w:rPr>
        <w:t>3.3.2在特殊情况下，采购人或采购代理机构在原定磋商有效期内，可以根据需要以书面形式向供应商提出延长磋商有效期的要求，对此要求供应商须以书面形式予以答复。供应商可以拒绝采购人或采购代理机构这种要求，而不被没收磋商保证金。同意延长磋商有效期的供应商既不能要求也不允许修改其响应文件，但需要相应地延长磋商保证金的有效期，在延长的磋商有效期内本须知关于磋商担保的退还与没收的规定仍然适用。</w:t>
      </w:r>
      <w:bookmarkEnd w:id="170"/>
    </w:p>
    <w:p w14:paraId="03CD2C40">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171" w:name="_Toc152045550"/>
      <w:bookmarkStart w:id="172" w:name="_Toc179632568"/>
      <w:bookmarkStart w:id="173" w:name="_Toc15696"/>
      <w:bookmarkStart w:id="174" w:name="_Toc144974518"/>
      <w:bookmarkStart w:id="175" w:name="_Toc152042326"/>
      <w:r>
        <w:rPr>
          <w:rFonts w:hint="eastAsia" w:ascii="宋体" w:hAnsi="宋体" w:cs="宋体"/>
          <w:color w:val="000000"/>
          <w:sz w:val="24"/>
          <w:szCs w:val="24"/>
          <w:highlight w:val="none"/>
        </w:rPr>
        <w:t>3.4 磋商保证金</w:t>
      </w:r>
      <w:bookmarkEnd w:id="171"/>
      <w:bookmarkEnd w:id="172"/>
      <w:bookmarkEnd w:id="173"/>
      <w:bookmarkEnd w:id="174"/>
      <w:bookmarkEnd w:id="175"/>
      <w:r>
        <w:rPr>
          <w:rFonts w:hint="eastAsia" w:ascii="宋体" w:hAnsi="宋体" w:cs="宋体"/>
          <w:color w:val="000000"/>
          <w:sz w:val="24"/>
          <w:szCs w:val="24"/>
          <w:highlight w:val="none"/>
        </w:rPr>
        <w:t>：详见供应商须知前附表。</w:t>
      </w:r>
    </w:p>
    <w:p w14:paraId="53724AF4">
      <w:pPr>
        <w:keepNext w:val="0"/>
        <w:keepLines w:val="0"/>
        <w:pageBreakBefore w:val="0"/>
        <w:widowControl w:val="0"/>
        <w:tabs>
          <w:tab w:val="left" w:pos="429"/>
        </w:tabs>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3.5 资格审查要求及审查依据：详见供应商须知前附表。</w:t>
      </w:r>
    </w:p>
    <w:p w14:paraId="32AAB284">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176" w:name="_Toc152045553"/>
      <w:bookmarkStart w:id="177" w:name="_Toc15100"/>
      <w:bookmarkStart w:id="178" w:name="_Toc152042329"/>
      <w:bookmarkStart w:id="179" w:name="_Toc144974521"/>
      <w:bookmarkStart w:id="180" w:name="_Toc179632571"/>
      <w:r>
        <w:rPr>
          <w:rFonts w:hint="eastAsia" w:ascii="宋体" w:hAnsi="宋体" w:cs="宋体"/>
          <w:color w:val="000000"/>
          <w:sz w:val="24"/>
          <w:szCs w:val="24"/>
          <w:highlight w:val="none"/>
        </w:rPr>
        <w:t>3.6 是否允许递交备选磋商方案</w:t>
      </w:r>
      <w:bookmarkEnd w:id="176"/>
      <w:bookmarkEnd w:id="177"/>
      <w:bookmarkEnd w:id="178"/>
      <w:bookmarkEnd w:id="179"/>
      <w:bookmarkEnd w:id="180"/>
      <w:bookmarkStart w:id="181" w:name="_Toc16154"/>
      <w:r>
        <w:rPr>
          <w:rFonts w:hint="eastAsia" w:ascii="宋体" w:hAnsi="宋体" w:cs="宋体"/>
          <w:color w:val="000000"/>
          <w:sz w:val="24"/>
          <w:szCs w:val="24"/>
          <w:highlight w:val="none"/>
        </w:rPr>
        <w:t>：供应商不得递交备选磋商方案。</w:t>
      </w:r>
      <w:bookmarkEnd w:id="181"/>
    </w:p>
    <w:p w14:paraId="568B41E8">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ascii="宋体" w:hAnsi="宋体" w:cs="宋体"/>
          <w:color w:val="000000"/>
          <w:sz w:val="24"/>
          <w:szCs w:val="24"/>
          <w:highlight w:val="none"/>
        </w:rPr>
      </w:pPr>
      <w:bookmarkStart w:id="182" w:name="_Toc12719"/>
      <w:bookmarkStart w:id="183" w:name="_Toc179632572"/>
      <w:bookmarkStart w:id="184" w:name="_Toc152042330"/>
      <w:bookmarkStart w:id="185" w:name="_Toc152045554"/>
      <w:bookmarkStart w:id="186" w:name="_Toc144974522"/>
      <w:r>
        <w:rPr>
          <w:rFonts w:hint="eastAsia" w:ascii="宋体" w:hAnsi="宋体" w:cs="宋体"/>
          <w:color w:val="000000"/>
          <w:sz w:val="24"/>
          <w:szCs w:val="24"/>
          <w:highlight w:val="none"/>
        </w:rPr>
        <w:t>3.7 响应文件的编制</w:t>
      </w:r>
      <w:bookmarkEnd w:id="182"/>
      <w:bookmarkEnd w:id="183"/>
      <w:bookmarkEnd w:id="184"/>
      <w:bookmarkEnd w:id="185"/>
      <w:bookmarkEnd w:id="186"/>
      <w:r>
        <w:rPr>
          <w:rFonts w:hint="eastAsia" w:ascii="宋体" w:hAnsi="宋体" w:cs="宋体"/>
          <w:color w:val="000000"/>
          <w:sz w:val="24"/>
          <w:szCs w:val="24"/>
          <w:highlight w:val="none"/>
        </w:rPr>
        <w:t>及组成</w:t>
      </w:r>
    </w:p>
    <w:p w14:paraId="1D58AA56">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3.7.1响应文件应按 “响应文件格式”进行编写，如有必要，可以增加附页，作为响应文件的组成部分。其中，磋商函附录在满足竞争性磋商文件实质性要求的基础上，可以提出比竞争性磋商文件要求更有利于采购人的承诺。</w:t>
      </w:r>
    </w:p>
    <w:p w14:paraId="6EF53329">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ascii="宋体" w:hAnsi="宋体" w:cs="宋体"/>
          <w:color w:val="000000"/>
          <w:sz w:val="24"/>
          <w:szCs w:val="24"/>
          <w:highlight w:val="none"/>
        </w:rPr>
      </w:pPr>
      <w:bookmarkStart w:id="187" w:name="_Toc18131"/>
      <w:r>
        <w:rPr>
          <w:rFonts w:hint="eastAsia" w:ascii="宋体" w:hAnsi="宋体" w:cs="宋体"/>
          <w:color w:val="000000"/>
          <w:sz w:val="24"/>
          <w:szCs w:val="24"/>
          <w:highlight w:val="none"/>
        </w:rPr>
        <w:t xml:space="preserve">3.7.2 </w:t>
      </w:r>
      <w:bookmarkEnd w:id="187"/>
      <w:r>
        <w:rPr>
          <w:rFonts w:hint="eastAsia" w:ascii="宋体" w:hAnsi="宋体" w:cs="宋体"/>
          <w:color w:val="000000"/>
          <w:sz w:val="24"/>
          <w:szCs w:val="24"/>
          <w:highlight w:val="none"/>
        </w:rPr>
        <w:t>响应文件应当对竞争性磋商文件明确的实质性要求和条件进行响应，对于竞争性磋商文件特别要求需要逐条明确响应或提供相关证明材料的，应当按照其要求进行编制，否则视为未响应。</w:t>
      </w:r>
    </w:p>
    <w:p w14:paraId="6592816F">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000000"/>
          <w:sz w:val="24"/>
          <w:szCs w:val="24"/>
          <w:highlight w:val="none"/>
        </w:rPr>
      </w:pPr>
      <w:bookmarkStart w:id="188" w:name="_Toc5025"/>
      <w:bookmarkStart w:id="189" w:name="_Toc510859689"/>
      <w:bookmarkStart w:id="190" w:name="_Toc7204"/>
      <w:bookmarkStart w:id="191" w:name="_Toc152045555"/>
      <w:bookmarkStart w:id="192" w:name="_Toc511585903"/>
      <w:bookmarkStart w:id="193" w:name="_Toc9750"/>
      <w:bookmarkStart w:id="194" w:name="_Toc144974523"/>
      <w:bookmarkStart w:id="195" w:name="_Toc363119281"/>
      <w:bookmarkStart w:id="196" w:name="_Toc510859895"/>
      <w:bookmarkStart w:id="197" w:name="_Toc179632573"/>
      <w:bookmarkStart w:id="198" w:name="_Toc152042331"/>
      <w:bookmarkStart w:id="199" w:name="_Toc17210"/>
      <w:r>
        <w:rPr>
          <w:rFonts w:hint="eastAsia" w:ascii="宋体" w:hAnsi="宋体" w:cs="宋体"/>
          <w:b/>
          <w:bCs/>
          <w:color w:val="000000"/>
          <w:sz w:val="24"/>
          <w:szCs w:val="24"/>
          <w:highlight w:val="none"/>
        </w:rPr>
        <w:t>4.</w:t>
      </w:r>
      <w:bookmarkEnd w:id="188"/>
      <w:bookmarkEnd w:id="189"/>
      <w:bookmarkEnd w:id="190"/>
      <w:bookmarkEnd w:id="191"/>
      <w:bookmarkEnd w:id="192"/>
      <w:bookmarkEnd w:id="193"/>
      <w:bookmarkEnd w:id="194"/>
      <w:bookmarkEnd w:id="195"/>
      <w:bookmarkEnd w:id="196"/>
      <w:bookmarkEnd w:id="197"/>
      <w:bookmarkEnd w:id="198"/>
      <w:bookmarkEnd w:id="199"/>
      <w:r>
        <w:rPr>
          <w:rFonts w:hint="eastAsia" w:ascii="宋体" w:hAnsi="宋体" w:cs="宋体"/>
          <w:b/>
          <w:bCs/>
          <w:color w:val="000000"/>
          <w:sz w:val="24"/>
          <w:szCs w:val="24"/>
          <w:highlight w:val="none"/>
        </w:rPr>
        <w:t>磋商</w:t>
      </w:r>
    </w:p>
    <w:p w14:paraId="6ABFF33E">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200" w:name="_Toc586"/>
      <w:bookmarkStart w:id="201" w:name="_Toc152045556"/>
      <w:bookmarkStart w:id="202" w:name="_Toc179632574"/>
      <w:bookmarkStart w:id="203" w:name="_Toc144974524"/>
      <w:bookmarkStart w:id="204" w:name="_Toc152042332"/>
      <w:bookmarkStart w:id="205" w:name="_Toc19580"/>
      <w:r>
        <w:rPr>
          <w:rFonts w:hint="eastAsia" w:ascii="宋体" w:hAnsi="宋体" w:cs="宋体"/>
          <w:color w:val="000000"/>
          <w:sz w:val="24"/>
          <w:szCs w:val="24"/>
          <w:highlight w:val="none"/>
        </w:rPr>
        <w:t>4.1 响应文件的标记</w:t>
      </w:r>
      <w:bookmarkEnd w:id="200"/>
      <w:bookmarkEnd w:id="201"/>
      <w:bookmarkEnd w:id="202"/>
      <w:bookmarkEnd w:id="203"/>
      <w:bookmarkEnd w:id="204"/>
    </w:p>
    <w:p w14:paraId="2826E146">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206" w:name="_Toc16808"/>
      <w:r>
        <w:rPr>
          <w:rFonts w:hint="eastAsia" w:ascii="宋体" w:hAnsi="宋体" w:cs="宋体"/>
          <w:color w:val="000000"/>
          <w:sz w:val="24"/>
          <w:szCs w:val="24"/>
          <w:highlight w:val="none"/>
        </w:rPr>
        <w:t>4.1.1 响应文件的</w:t>
      </w:r>
      <w:bookmarkEnd w:id="206"/>
      <w:r>
        <w:rPr>
          <w:rFonts w:hint="eastAsia" w:ascii="宋体" w:hAnsi="宋体" w:cs="宋体"/>
          <w:color w:val="000000"/>
          <w:sz w:val="24"/>
          <w:szCs w:val="24"/>
          <w:highlight w:val="none"/>
        </w:rPr>
        <w:t>封面上应写明的其他内容：</w:t>
      </w:r>
      <w:bookmarkEnd w:id="205"/>
      <w:r>
        <w:rPr>
          <w:rFonts w:hint="eastAsia" w:ascii="宋体" w:hAnsi="宋体" w:cs="宋体"/>
          <w:color w:val="000000"/>
          <w:sz w:val="24"/>
          <w:szCs w:val="24"/>
          <w:highlight w:val="none"/>
        </w:rPr>
        <w:t>按照本文件“第六章 响应文件格式”编制。</w:t>
      </w:r>
    </w:p>
    <w:p w14:paraId="4AEF4DF8">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207" w:name="_Toc31766"/>
      <w:r>
        <w:rPr>
          <w:rFonts w:hint="eastAsia" w:ascii="宋体" w:hAnsi="宋体" w:cs="宋体"/>
          <w:color w:val="000000"/>
          <w:sz w:val="24"/>
          <w:szCs w:val="24"/>
          <w:highlight w:val="none"/>
        </w:rPr>
        <w:t>4.2</w:t>
      </w:r>
      <w:bookmarkEnd w:id="207"/>
      <w:bookmarkStart w:id="208" w:name="_Toc21228"/>
      <w:bookmarkStart w:id="209" w:name="_Toc144974525"/>
      <w:bookmarkStart w:id="210" w:name="_Toc179632575"/>
      <w:bookmarkStart w:id="211" w:name="_Toc152045557"/>
      <w:bookmarkStart w:id="212" w:name="_Toc152042333"/>
      <w:r>
        <w:rPr>
          <w:rFonts w:hint="eastAsia" w:ascii="宋体" w:hAnsi="宋体" w:cs="宋体"/>
          <w:color w:val="000000"/>
          <w:sz w:val="24"/>
          <w:szCs w:val="24"/>
          <w:highlight w:val="none"/>
        </w:rPr>
        <w:t>响应文件的递交</w:t>
      </w:r>
      <w:bookmarkEnd w:id="208"/>
      <w:bookmarkEnd w:id="209"/>
      <w:bookmarkEnd w:id="210"/>
      <w:bookmarkEnd w:id="211"/>
      <w:bookmarkEnd w:id="212"/>
    </w:p>
    <w:p w14:paraId="011CC0C6">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213" w:name="_Toc29162"/>
      <w:r>
        <w:rPr>
          <w:rFonts w:hint="eastAsia" w:ascii="宋体" w:hAnsi="宋体" w:cs="宋体"/>
          <w:color w:val="000000"/>
          <w:sz w:val="24"/>
          <w:szCs w:val="24"/>
          <w:highlight w:val="none"/>
        </w:rPr>
        <w:t xml:space="preserve">4.2.1 </w:t>
      </w:r>
      <w:bookmarkStart w:id="214" w:name="_Toc15951"/>
      <w:r>
        <w:rPr>
          <w:rFonts w:hint="eastAsia" w:ascii="宋体" w:hAnsi="宋体" w:cs="宋体"/>
          <w:color w:val="000000"/>
          <w:sz w:val="24"/>
          <w:szCs w:val="24"/>
          <w:highlight w:val="none"/>
        </w:rPr>
        <w:t>供应商递交响应文件截止时间：详见供应商须知前附表</w:t>
      </w:r>
      <w:bookmarkEnd w:id="214"/>
      <w:r>
        <w:rPr>
          <w:rFonts w:hint="eastAsia" w:ascii="宋体" w:hAnsi="宋体" w:cs="宋体"/>
          <w:color w:val="000000"/>
          <w:sz w:val="24"/>
          <w:szCs w:val="24"/>
          <w:highlight w:val="none"/>
        </w:rPr>
        <w:t>。</w:t>
      </w:r>
    </w:p>
    <w:p w14:paraId="79B77EB9">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215" w:name="_Toc13743"/>
      <w:r>
        <w:rPr>
          <w:rFonts w:hint="eastAsia" w:ascii="宋体" w:hAnsi="宋体" w:cs="宋体"/>
          <w:color w:val="000000"/>
          <w:sz w:val="24"/>
          <w:szCs w:val="24"/>
          <w:highlight w:val="none"/>
        </w:rPr>
        <w:t>4.2.2 供应商递交响应文件的地点：详见供应商须知前附表</w:t>
      </w:r>
      <w:bookmarkEnd w:id="215"/>
      <w:r>
        <w:rPr>
          <w:rFonts w:hint="eastAsia" w:ascii="宋体" w:hAnsi="宋体" w:cs="宋体"/>
          <w:color w:val="000000"/>
          <w:sz w:val="24"/>
          <w:szCs w:val="24"/>
          <w:highlight w:val="none"/>
        </w:rPr>
        <w:t>。</w:t>
      </w:r>
    </w:p>
    <w:p w14:paraId="5CBA43AE">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4.2.3是否退还响应文件：</w:t>
      </w:r>
      <w:bookmarkEnd w:id="213"/>
      <w:r>
        <w:rPr>
          <w:rFonts w:hint="eastAsia" w:ascii="宋体" w:hAnsi="宋体" w:cs="宋体"/>
          <w:color w:val="000000"/>
          <w:sz w:val="24"/>
          <w:szCs w:val="24"/>
          <w:highlight w:val="none"/>
        </w:rPr>
        <w:t>不予退还。</w:t>
      </w:r>
    </w:p>
    <w:p w14:paraId="05F31AC2">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ascii="宋体" w:hAnsi="宋体" w:cs="宋体"/>
          <w:color w:val="000000"/>
          <w:sz w:val="24"/>
          <w:szCs w:val="24"/>
          <w:highlight w:val="none"/>
        </w:rPr>
      </w:pPr>
      <w:bookmarkStart w:id="216" w:name="_Toc10583"/>
      <w:r>
        <w:rPr>
          <w:rFonts w:hint="eastAsia" w:ascii="宋体" w:hAnsi="宋体" w:cs="宋体"/>
          <w:color w:val="000000"/>
          <w:sz w:val="24"/>
          <w:szCs w:val="24"/>
          <w:highlight w:val="none"/>
        </w:rPr>
        <w:t>4.2.</w:t>
      </w:r>
      <w:bookmarkEnd w:id="216"/>
      <w:bookmarkStart w:id="217" w:name="_Toc1316"/>
      <w:r>
        <w:rPr>
          <w:rFonts w:hint="eastAsia" w:ascii="宋体" w:hAnsi="宋体" w:cs="宋体"/>
          <w:color w:val="000000"/>
          <w:sz w:val="24"/>
          <w:szCs w:val="24"/>
          <w:highlight w:val="none"/>
        </w:rPr>
        <w:t>4采购需求及商务要求中明确要求提供磋商样品的，应当按照相关要求在递交响应文件时按要求递交。</w:t>
      </w:r>
    </w:p>
    <w:p w14:paraId="5422B801">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4.2.5逾期送达的或者未送达指定地点的响应文件，采购人不予受理。</w:t>
      </w:r>
      <w:bookmarkEnd w:id="217"/>
    </w:p>
    <w:p w14:paraId="7E52BB09">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000000"/>
          <w:sz w:val="24"/>
          <w:szCs w:val="24"/>
          <w:highlight w:val="none"/>
        </w:rPr>
      </w:pPr>
      <w:bookmarkStart w:id="218" w:name="_Toc144974527"/>
      <w:bookmarkStart w:id="219" w:name="_Toc511585904"/>
      <w:bookmarkStart w:id="220" w:name="_Toc510859690"/>
      <w:bookmarkStart w:id="221" w:name="_Toc152045559"/>
      <w:bookmarkStart w:id="222" w:name="_Toc179632577"/>
      <w:bookmarkStart w:id="223" w:name="_Toc28351"/>
      <w:bookmarkStart w:id="224" w:name="_Toc510859896"/>
      <w:bookmarkStart w:id="225" w:name="_Toc29322"/>
      <w:bookmarkStart w:id="226" w:name="_Toc11122"/>
      <w:bookmarkStart w:id="227" w:name="_Toc363119282"/>
      <w:bookmarkStart w:id="228" w:name="_Toc152042335"/>
      <w:bookmarkStart w:id="229" w:name="_Toc29037"/>
      <w:r>
        <w:rPr>
          <w:rFonts w:hint="eastAsia" w:ascii="宋体" w:hAnsi="宋体" w:cs="宋体"/>
          <w:b/>
          <w:bCs/>
          <w:color w:val="000000"/>
          <w:sz w:val="24"/>
          <w:szCs w:val="24"/>
          <w:highlight w:val="none"/>
        </w:rPr>
        <w:t>5.开标</w:t>
      </w:r>
      <w:bookmarkEnd w:id="218"/>
      <w:bookmarkEnd w:id="219"/>
      <w:bookmarkEnd w:id="220"/>
      <w:bookmarkEnd w:id="221"/>
      <w:bookmarkEnd w:id="222"/>
      <w:bookmarkEnd w:id="223"/>
      <w:bookmarkEnd w:id="224"/>
      <w:bookmarkEnd w:id="225"/>
      <w:bookmarkEnd w:id="226"/>
      <w:bookmarkEnd w:id="227"/>
      <w:bookmarkEnd w:id="228"/>
      <w:bookmarkEnd w:id="229"/>
    </w:p>
    <w:p w14:paraId="4F5B0D17">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230" w:name="_Toc2321"/>
      <w:bookmarkStart w:id="231" w:name="_Toc144974528"/>
      <w:bookmarkStart w:id="232" w:name="_Toc152045560"/>
      <w:bookmarkStart w:id="233" w:name="_Toc152042336"/>
      <w:bookmarkStart w:id="234" w:name="_Toc179632578"/>
      <w:r>
        <w:rPr>
          <w:rFonts w:hint="eastAsia" w:ascii="宋体" w:hAnsi="宋体" w:cs="宋体"/>
          <w:color w:val="000000"/>
          <w:sz w:val="24"/>
          <w:szCs w:val="24"/>
          <w:highlight w:val="none"/>
        </w:rPr>
        <w:t>5.1 竞争性磋商会议时间和地点</w:t>
      </w:r>
      <w:bookmarkEnd w:id="230"/>
      <w:bookmarkEnd w:id="231"/>
      <w:bookmarkEnd w:id="232"/>
      <w:bookmarkEnd w:id="233"/>
      <w:bookmarkEnd w:id="234"/>
      <w:r>
        <w:rPr>
          <w:rFonts w:hint="eastAsia" w:ascii="宋体" w:hAnsi="宋体" w:cs="宋体"/>
          <w:color w:val="000000"/>
          <w:sz w:val="24"/>
          <w:szCs w:val="24"/>
          <w:highlight w:val="none"/>
        </w:rPr>
        <w:t>：</w:t>
      </w:r>
      <w:bookmarkStart w:id="235" w:name="_Toc9885"/>
      <w:r>
        <w:rPr>
          <w:rFonts w:hint="eastAsia" w:ascii="宋体" w:hAnsi="宋体" w:cs="宋体"/>
          <w:color w:val="000000"/>
          <w:sz w:val="24"/>
          <w:szCs w:val="24"/>
          <w:highlight w:val="none"/>
        </w:rPr>
        <w:t>竞争性磋商会议时间及地点与供应商递交响应文件截止时间及地点一致。采购人在规定的磋商截止时间（竞争性磋商会议时间）和供应商须知前附表规定的地点进行竞争性磋商会议，并邀请所有供应商的法定代表人或其委托代理人准时参加。</w:t>
      </w:r>
      <w:bookmarkEnd w:id="235"/>
    </w:p>
    <w:p w14:paraId="6E2B4FE7">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b/>
          <w:bCs/>
          <w:color w:val="000000"/>
          <w:sz w:val="24"/>
          <w:szCs w:val="24"/>
          <w:highlight w:val="none"/>
        </w:rPr>
      </w:pPr>
      <w:bookmarkStart w:id="236" w:name="_Toc152042337"/>
      <w:bookmarkStart w:id="237" w:name="_Toc152045561"/>
      <w:bookmarkStart w:id="238" w:name="_Toc179632579"/>
      <w:bookmarkStart w:id="239" w:name="_Toc10213"/>
      <w:bookmarkStart w:id="240" w:name="_Toc144974529"/>
      <w:r>
        <w:rPr>
          <w:rFonts w:hint="eastAsia" w:ascii="宋体" w:hAnsi="宋体" w:cs="宋体"/>
          <w:color w:val="000000"/>
          <w:sz w:val="24"/>
          <w:szCs w:val="24"/>
          <w:highlight w:val="none"/>
        </w:rPr>
        <w:t>5.2 开标程序</w:t>
      </w:r>
      <w:bookmarkEnd w:id="236"/>
      <w:bookmarkEnd w:id="237"/>
      <w:bookmarkEnd w:id="238"/>
      <w:bookmarkEnd w:id="239"/>
      <w:bookmarkEnd w:id="240"/>
      <w:r>
        <w:rPr>
          <w:rFonts w:hint="eastAsia" w:ascii="宋体" w:hAnsi="宋体" w:cs="宋体"/>
          <w:color w:val="000000"/>
          <w:sz w:val="24"/>
          <w:szCs w:val="24"/>
          <w:highlight w:val="none"/>
        </w:rPr>
        <w:t>：详见供应商须知前附表。</w:t>
      </w:r>
    </w:p>
    <w:p w14:paraId="38B4531D">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000000"/>
          <w:sz w:val="24"/>
          <w:szCs w:val="24"/>
          <w:highlight w:val="none"/>
        </w:rPr>
      </w:pPr>
      <w:bookmarkStart w:id="241" w:name="_Toc17998"/>
      <w:bookmarkStart w:id="242" w:name="_Toc511585905"/>
      <w:bookmarkStart w:id="243" w:name="_Toc15910"/>
      <w:bookmarkStart w:id="244" w:name="_Toc510859897"/>
      <w:bookmarkStart w:id="245" w:name="_Toc20274"/>
      <w:bookmarkStart w:id="246" w:name="_Toc510859691"/>
      <w:bookmarkStart w:id="247" w:name="_Toc144974530"/>
      <w:bookmarkStart w:id="248" w:name="_Toc152045562"/>
      <w:bookmarkStart w:id="249" w:name="_Toc152042338"/>
      <w:bookmarkStart w:id="250" w:name="_Toc179632580"/>
      <w:bookmarkStart w:id="251" w:name="_Toc10068"/>
      <w:bookmarkStart w:id="252" w:name="_Toc363119283"/>
      <w:r>
        <w:rPr>
          <w:rFonts w:hint="eastAsia" w:ascii="宋体" w:hAnsi="宋体" w:cs="宋体"/>
          <w:b/>
          <w:bCs/>
          <w:color w:val="000000"/>
          <w:sz w:val="24"/>
          <w:szCs w:val="24"/>
          <w:highlight w:val="none"/>
        </w:rPr>
        <w:t>6.</w:t>
      </w:r>
      <w:bookmarkEnd w:id="241"/>
      <w:bookmarkEnd w:id="242"/>
      <w:bookmarkEnd w:id="243"/>
      <w:bookmarkEnd w:id="244"/>
      <w:bookmarkEnd w:id="245"/>
      <w:bookmarkEnd w:id="246"/>
      <w:bookmarkEnd w:id="247"/>
      <w:bookmarkEnd w:id="248"/>
      <w:bookmarkEnd w:id="249"/>
      <w:bookmarkEnd w:id="250"/>
      <w:bookmarkEnd w:id="251"/>
      <w:bookmarkEnd w:id="252"/>
      <w:r>
        <w:rPr>
          <w:rFonts w:hint="eastAsia" w:ascii="宋体" w:hAnsi="宋体" w:cs="宋体"/>
          <w:b/>
          <w:bCs/>
          <w:color w:val="000000"/>
          <w:sz w:val="24"/>
          <w:szCs w:val="24"/>
          <w:highlight w:val="none"/>
        </w:rPr>
        <w:t>评审</w:t>
      </w:r>
    </w:p>
    <w:p w14:paraId="431CD323">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253" w:name="_Toc144974531"/>
      <w:bookmarkStart w:id="254" w:name="_Toc14991"/>
      <w:bookmarkStart w:id="255" w:name="_Toc179632581"/>
      <w:bookmarkStart w:id="256" w:name="_Toc152045563"/>
      <w:bookmarkStart w:id="257" w:name="_Toc152042339"/>
      <w:r>
        <w:rPr>
          <w:rFonts w:hint="eastAsia" w:ascii="宋体" w:hAnsi="宋体" w:cs="宋体"/>
          <w:color w:val="000000"/>
          <w:sz w:val="24"/>
          <w:szCs w:val="24"/>
          <w:highlight w:val="none"/>
        </w:rPr>
        <w:t xml:space="preserve">6.1 </w:t>
      </w:r>
      <w:bookmarkEnd w:id="253"/>
      <w:bookmarkEnd w:id="254"/>
      <w:bookmarkEnd w:id="255"/>
      <w:bookmarkEnd w:id="256"/>
      <w:bookmarkEnd w:id="257"/>
      <w:bookmarkStart w:id="258" w:name="_Toc29293"/>
      <w:r>
        <w:rPr>
          <w:rFonts w:hint="eastAsia" w:ascii="宋体" w:hAnsi="宋体" w:cs="宋体"/>
          <w:color w:val="000000"/>
          <w:sz w:val="24"/>
          <w:szCs w:val="24"/>
          <w:highlight w:val="none"/>
        </w:rPr>
        <w:t>评审由采购人依法组建的磋商小组负责。磋商小组由采购人代表以及有关技术、经济等方面的专家组成。磋商小组成员人数以及技术、经济等方面专家的确定方式详见供应商须知前附表。</w:t>
      </w:r>
      <w:bookmarkEnd w:id="258"/>
    </w:p>
    <w:p w14:paraId="03346B6A">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259" w:name="_Toc18720"/>
      <w:r>
        <w:rPr>
          <w:rFonts w:hint="eastAsia" w:ascii="宋体" w:hAnsi="宋体" w:cs="宋体"/>
          <w:color w:val="000000"/>
          <w:sz w:val="24"/>
          <w:szCs w:val="24"/>
          <w:highlight w:val="none"/>
        </w:rPr>
        <w:t>6.2 磋商小组成员</w:t>
      </w:r>
      <w:bookmarkEnd w:id="259"/>
      <w:bookmarkStart w:id="260" w:name="_Toc144974532"/>
      <w:bookmarkStart w:id="261" w:name="_Toc152042340"/>
      <w:bookmarkStart w:id="262" w:name="_Toc13026"/>
      <w:bookmarkStart w:id="263" w:name="_Toc179632582"/>
      <w:bookmarkStart w:id="264" w:name="_Toc152045564"/>
      <w:r>
        <w:rPr>
          <w:rFonts w:hint="eastAsia" w:ascii="宋体" w:hAnsi="宋体" w:cs="宋体"/>
          <w:color w:val="000000"/>
          <w:sz w:val="24"/>
          <w:szCs w:val="24"/>
          <w:highlight w:val="none"/>
        </w:rPr>
        <w:t>发现有法定回避情形的应当主动提出回避，采购人或者采购代理机构发现评审专家与参加采购活动的供应商有利害关系的，应当要求其回避。各级财政部门政府采购监督管理工作人员，不得作为评审专家参与政府采购项目的评审活动。</w:t>
      </w:r>
    </w:p>
    <w:p w14:paraId="3A28BBD8">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6.</w:t>
      </w:r>
      <w:bookmarkEnd w:id="260"/>
      <w:bookmarkEnd w:id="261"/>
      <w:bookmarkEnd w:id="262"/>
      <w:bookmarkEnd w:id="263"/>
      <w:bookmarkEnd w:id="264"/>
      <w:bookmarkStart w:id="265" w:name="_Toc144974533"/>
      <w:bookmarkStart w:id="266" w:name="_Toc152045565"/>
      <w:bookmarkStart w:id="267" w:name="_Toc152042341"/>
      <w:bookmarkStart w:id="268" w:name="_Toc23670"/>
      <w:bookmarkStart w:id="269" w:name="_Toc179632583"/>
      <w:r>
        <w:rPr>
          <w:rFonts w:hint="eastAsia" w:ascii="宋体" w:hAnsi="宋体" w:cs="宋体"/>
          <w:color w:val="000000"/>
          <w:sz w:val="24"/>
          <w:szCs w:val="24"/>
          <w:highlight w:val="none"/>
        </w:rPr>
        <w:t xml:space="preserve">3 </w:t>
      </w:r>
      <w:bookmarkEnd w:id="265"/>
      <w:bookmarkEnd w:id="266"/>
      <w:bookmarkEnd w:id="267"/>
      <w:bookmarkEnd w:id="268"/>
      <w:bookmarkEnd w:id="269"/>
      <w:bookmarkStart w:id="270" w:name="_Toc15743"/>
      <w:r>
        <w:rPr>
          <w:rFonts w:hint="eastAsia" w:ascii="宋体" w:hAnsi="宋体" w:cs="宋体"/>
          <w:color w:val="000000"/>
          <w:sz w:val="24"/>
          <w:szCs w:val="24"/>
          <w:highlight w:val="none"/>
        </w:rPr>
        <w:t>磋商小组按照“评审办法”规定的方法、评审因素、标准和程序对响应文件进行评审。“评审办法”没有规定的方法、评审因素和标准，不作为评审依据。</w:t>
      </w:r>
      <w:bookmarkEnd w:id="270"/>
    </w:p>
    <w:p w14:paraId="0B609A23">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271" w:name="_Toc12679"/>
      <w:r>
        <w:rPr>
          <w:rFonts w:hint="eastAsia" w:ascii="宋体" w:hAnsi="宋体" w:cs="宋体"/>
          <w:color w:val="000000"/>
          <w:sz w:val="24"/>
          <w:szCs w:val="24"/>
          <w:highlight w:val="none"/>
        </w:rPr>
        <w:t>6.4评审过程的保密</w:t>
      </w:r>
      <w:bookmarkEnd w:id="271"/>
    </w:p>
    <w:p w14:paraId="16681E82">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272" w:name="_Toc27575"/>
      <w:r>
        <w:rPr>
          <w:rFonts w:hint="eastAsia" w:ascii="宋体" w:hAnsi="宋体" w:cs="宋体"/>
          <w:color w:val="000000"/>
          <w:sz w:val="24"/>
          <w:szCs w:val="24"/>
          <w:highlight w:val="none"/>
        </w:rPr>
        <w:t>（1）开标后，直至授予成交供应商合同为止，凡属于对响应文件的审查、补遗、评价和比较的有关资料以及成交候选人的推荐情况等均严格保密。</w:t>
      </w:r>
      <w:bookmarkEnd w:id="272"/>
    </w:p>
    <w:p w14:paraId="398A430E">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273" w:name="_Toc10051"/>
      <w:r>
        <w:rPr>
          <w:rFonts w:hint="eastAsia" w:ascii="宋体" w:hAnsi="宋体" w:cs="宋体"/>
          <w:color w:val="000000"/>
          <w:sz w:val="24"/>
          <w:szCs w:val="24"/>
          <w:highlight w:val="none"/>
        </w:rPr>
        <w:t>（2）在响应文件的评审、成交候选人推荐以及授予合同的过程中，供应商向采购人和磋商小组施加影响的任何行为，都将会导致其磋商被拒绝直至取消其中标资格。</w:t>
      </w:r>
      <w:bookmarkEnd w:id="273"/>
    </w:p>
    <w:p w14:paraId="0956EDE2">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274" w:name="_Toc28535"/>
      <w:r>
        <w:rPr>
          <w:rFonts w:hint="eastAsia" w:ascii="宋体" w:hAnsi="宋体" w:cs="宋体"/>
          <w:color w:val="000000"/>
          <w:sz w:val="24"/>
          <w:szCs w:val="24"/>
          <w:highlight w:val="none"/>
        </w:rPr>
        <w:t>（3） 成交供应商确定后，采购人不对未成交供应商就评审过程以及未能中标原因作出任何解释。未成交供应商不得向磋商小组组成人员或其他有关人员询问评审过程的情况和材料。</w:t>
      </w:r>
      <w:bookmarkEnd w:id="274"/>
      <w:bookmarkStart w:id="275" w:name="_Toc179632584"/>
      <w:bookmarkStart w:id="276" w:name="_Toc152042342"/>
      <w:bookmarkStart w:id="277" w:name="_Toc152045566"/>
      <w:bookmarkStart w:id="278" w:name="_Toc144974534"/>
    </w:p>
    <w:p w14:paraId="11BDF7E1">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279" w:name="_Toc15037"/>
      <w:r>
        <w:rPr>
          <w:rFonts w:hint="eastAsia" w:ascii="宋体" w:hAnsi="宋体" w:cs="宋体"/>
          <w:color w:val="000000"/>
          <w:sz w:val="24"/>
          <w:szCs w:val="24"/>
          <w:highlight w:val="none"/>
        </w:rPr>
        <w:t>6.5响应文件的澄清</w:t>
      </w:r>
      <w:bookmarkEnd w:id="279"/>
    </w:p>
    <w:p w14:paraId="64DD252C">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280" w:name="_Toc28665"/>
      <w:r>
        <w:rPr>
          <w:rFonts w:hint="eastAsia" w:ascii="宋体" w:hAnsi="宋体" w:cs="宋体"/>
          <w:color w:val="000000"/>
          <w:sz w:val="24"/>
          <w:szCs w:val="24"/>
          <w:highlight w:val="none"/>
        </w:rPr>
        <w:t>（1）为有助于响应文件的审查、评价和比较，磋商小组可以书面形式要求供应商对响应文件不明确的内容作必要的澄清或说明，供应商应采用书面形式进行澄清或说明，但不得超出响应文件的范围或响应文件的实质性内容。</w:t>
      </w:r>
      <w:bookmarkEnd w:id="280"/>
    </w:p>
    <w:p w14:paraId="502EA1BD">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281" w:name="_Toc17164"/>
      <w:r>
        <w:rPr>
          <w:rFonts w:hint="eastAsia" w:ascii="宋体" w:hAnsi="宋体" w:cs="宋体"/>
          <w:color w:val="000000"/>
          <w:sz w:val="24"/>
          <w:szCs w:val="24"/>
          <w:highlight w:val="none"/>
        </w:rPr>
        <w:t>（2）磋商小组认为有必要时，可向供应商进行询标。</w:t>
      </w:r>
      <w:bookmarkEnd w:id="281"/>
    </w:p>
    <w:p w14:paraId="6FE197EE">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282" w:name="_Toc2476"/>
      <w:r>
        <w:rPr>
          <w:rFonts w:hint="eastAsia" w:ascii="宋体" w:hAnsi="宋体" w:cs="宋体"/>
          <w:color w:val="000000"/>
          <w:sz w:val="24"/>
          <w:szCs w:val="24"/>
          <w:highlight w:val="none"/>
        </w:rPr>
        <w:t>6.</w:t>
      </w:r>
      <w:bookmarkEnd w:id="282"/>
      <w:bookmarkStart w:id="283" w:name="_Toc11239"/>
      <w:r>
        <w:rPr>
          <w:rFonts w:hint="eastAsia" w:ascii="宋体" w:hAnsi="宋体" w:cs="宋体"/>
          <w:color w:val="000000"/>
          <w:sz w:val="24"/>
          <w:szCs w:val="24"/>
          <w:highlight w:val="none"/>
        </w:rPr>
        <w:t>6响应文件的评审、比较和否决</w:t>
      </w:r>
      <w:bookmarkEnd w:id="283"/>
    </w:p>
    <w:p w14:paraId="29710319">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284" w:name="_Toc228"/>
      <w:r>
        <w:rPr>
          <w:rFonts w:hint="eastAsia" w:ascii="宋体" w:hAnsi="宋体" w:cs="宋体"/>
          <w:color w:val="000000"/>
          <w:sz w:val="24"/>
          <w:szCs w:val="24"/>
          <w:highlight w:val="none"/>
        </w:rPr>
        <w:t>（1）磋商小组仅对在实质上响应竞争性磋商文件要求的响应文件进行评估和比较。未响应竞争性磋商文件和合同条款的响应文件，不得进行评审。</w:t>
      </w:r>
      <w:bookmarkEnd w:id="284"/>
    </w:p>
    <w:p w14:paraId="761C381C">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285" w:name="_Toc20894"/>
      <w:r>
        <w:rPr>
          <w:rFonts w:hint="eastAsia" w:ascii="宋体" w:hAnsi="宋体" w:cs="宋体"/>
          <w:color w:val="000000"/>
          <w:sz w:val="24"/>
          <w:szCs w:val="24"/>
          <w:highlight w:val="none"/>
        </w:rPr>
        <w:t>（2）在评审过程中，磋商小组可以书面形式要求供应商就响应文件中含义不明确的内容进行书面说明并提供相关材料。</w:t>
      </w:r>
      <w:bookmarkEnd w:id="285"/>
    </w:p>
    <w:p w14:paraId="60584800">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286" w:name="_Toc3668"/>
      <w:r>
        <w:rPr>
          <w:rFonts w:hint="eastAsia" w:ascii="宋体" w:hAnsi="宋体" w:cs="宋体"/>
          <w:color w:val="000000"/>
          <w:sz w:val="24"/>
          <w:szCs w:val="24"/>
          <w:highlight w:val="none"/>
        </w:rPr>
        <w:t>（3）磋商小组依据本次评审标准和方法，对响应文件进行评审，向采购人提出书面评审报告，并根据得分由高到低的顺序，推荐成交候选人。</w:t>
      </w:r>
      <w:bookmarkEnd w:id="286"/>
    </w:p>
    <w:p w14:paraId="2C9F5310">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000000"/>
          <w:sz w:val="24"/>
          <w:szCs w:val="24"/>
          <w:highlight w:val="none"/>
        </w:rPr>
      </w:pPr>
      <w:bookmarkStart w:id="287" w:name="_Toc510859692"/>
      <w:bookmarkStart w:id="288" w:name="_Toc510859898"/>
      <w:bookmarkStart w:id="289" w:name="_Toc511585906"/>
      <w:bookmarkStart w:id="290" w:name="_Toc7702"/>
      <w:bookmarkStart w:id="291" w:name="_Toc12726"/>
      <w:bookmarkStart w:id="292" w:name="_Toc31723"/>
      <w:bookmarkStart w:id="293" w:name="_Toc29031"/>
      <w:bookmarkStart w:id="294" w:name="_Toc363119284"/>
      <w:r>
        <w:rPr>
          <w:rFonts w:hint="eastAsia" w:ascii="宋体" w:hAnsi="宋体" w:cs="宋体"/>
          <w:b/>
          <w:bCs/>
          <w:color w:val="000000"/>
          <w:sz w:val="24"/>
          <w:szCs w:val="24"/>
          <w:highlight w:val="none"/>
        </w:rPr>
        <w:t>7.合同授予</w:t>
      </w:r>
      <w:bookmarkEnd w:id="275"/>
      <w:bookmarkEnd w:id="276"/>
      <w:bookmarkEnd w:id="277"/>
      <w:bookmarkEnd w:id="278"/>
      <w:bookmarkEnd w:id="287"/>
      <w:bookmarkEnd w:id="288"/>
      <w:bookmarkEnd w:id="289"/>
      <w:bookmarkEnd w:id="290"/>
      <w:bookmarkEnd w:id="291"/>
      <w:bookmarkEnd w:id="292"/>
      <w:bookmarkEnd w:id="293"/>
      <w:bookmarkEnd w:id="294"/>
    </w:p>
    <w:p w14:paraId="204C373C">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295" w:name="_Toc152042343"/>
      <w:bookmarkStart w:id="296" w:name="_Toc179632585"/>
      <w:bookmarkStart w:id="297" w:name="_Toc18545"/>
      <w:bookmarkStart w:id="298" w:name="_Toc144974535"/>
      <w:bookmarkStart w:id="299" w:name="_Toc152045567"/>
      <w:r>
        <w:rPr>
          <w:rFonts w:hint="eastAsia" w:ascii="宋体" w:hAnsi="宋体" w:cs="宋体"/>
          <w:color w:val="000000"/>
          <w:sz w:val="24"/>
          <w:szCs w:val="24"/>
          <w:highlight w:val="none"/>
        </w:rPr>
        <w:t>7.1 定标方式</w:t>
      </w:r>
      <w:bookmarkEnd w:id="295"/>
      <w:bookmarkEnd w:id="296"/>
      <w:bookmarkEnd w:id="297"/>
      <w:bookmarkEnd w:id="298"/>
      <w:bookmarkEnd w:id="299"/>
      <w:r>
        <w:rPr>
          <w:rFonts w:hint="eastAsia" w:ascii="宋体" w:hAnsi="宋体" w:cs="宋体"/>
          <w:color w:val="000000"/>
          <w:sz w:val="24"/>
          <w:szCs w:val="24"/>
          <w:highlight w:val="none"/>
        </w:rPr>
        <w:t>：</w:t>
      </w:r>
      <w:bookmarkStart w:id="300" w:name="_Toc152045568"/>
      <w:bookmarkStart w:id="301" w:name="_Toc179632586"/>
      <w:bookmarkStart w:id="302" w:name="_Toc144974536"/>
      <w:bookmarkStart w:id="303" w:name="_Toc152042344"/>
      <w:bookmarkStart w:id="304" w:name="_Toc24719"/>
      <w:r>
        <w:rPr>
          <w:rFonts w:hint="eastAsia" w:ascii="宋体" w:hAnsi="宋体" w:cs="宋体"/>
          <w:color w:val="000000"/>
          <w:sz w:val="24"/>
          <w:szCs w:val="24"/>
          <w:highlight w:val="none"/>
        </w:rPr>
        <w:t>详见供应商须知前附表，采购人依据磋商小组推荐的成交候选人确定成交供应商。</w:t>
      </w:r>
    </w:p>
    <w:p w14:paraId="1EFCFD1C">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 </w:t>
      </w:r>
      <w:bookmarkEnd w:id="300"/>
      <w:bookmarkEnd w:id="301"/>
      <w:bookmarkEnd w:id="302"/>
      <w:bookmarkEnd w:id="303"/>
      <w:bookmarkEnd w:id="304"/>
      <w:r>
        <w:rPr>
          <w:rFonts w:hint="eastAsia" w:ascii="宋体" w:hAnsi="宋体" w:cs="宋体"/>
          <w:color w:val="000000"/>
          <w:sz w:val="24"/>
          <w:szCs w:val="24"/>
          <w:highlight w:val="none"/>
        </w:rPr>
        <w:t>成交通知</w:t>
      </w:r>
    </w:p>
    <w:p w14:paraId="42BCE544">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305" w:name="_Toc12920"/>
      <w:r>
        <w:rPr>
          <w:rFonts w:hint="eastAsia" w:ascii="宋体" w:hAnsi="宋体" w:cs="宋体"/>
          <w:color w:val="000000"/>
          <w:sz w:val="24"/>
          <w:szCs w:val="24"/>
          <w:highlight w:val="none"/>
        </w:rPr>
        <w:t>7.2.1在本章规定的磋商有效期内，采购代理机构将对成交供应商进行中标（成交）结果公示同时发布成交通知书，公告期限为1个工作日。</w:t>
      </w:r>
      <w:bookmarkEnd w:id="305"/>
    </w:p>
    <w:p w14:paraId="7F0C9032">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306" w:name="_Toc179632587"/>
      <w:bookmarkStart w:id="307" w:name="_Toc152045569"/>
      <w:bookmarkStart w:id="308" w:name="_Toc152042345"/>
      <w:bookmarkStart w:id="309" w:name="_Toc144974537"/>
      <w:bookmarkStart w:id="310" w:name="_Toc11786"/>
      <w:r>
        <w:rPr>
          <w:rFonts w:hint="eastAsia" w:ascii="宋体" w:hAnsi="宋体" w:cs="宋体"/>
          <w:color w:val="000000"/>
          <w:sz w:val="24"/>
          <w:szCs w:val="24"/>
          <w:highlight w:val="none"/>
        </w:rPr>
        <w:t>7.3 履约担保</w:t>
      </w:r>
      <w:bookmarkEnd w:id="306"/>
      <w:bookmarkEnd w:id="307"/>
      <w:bookmarkEnd w:id="308"/>
      <w:bookmarkEnd w:id="309"/>
      <w:bookmarkEnd w:id="310"/>
    </w:p>
    <w:p w14:paraId="5BC52567">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311" w:name="_Toc4551"/>
      <w:r>
        <w:rPr>
          <w:rFonts w:hint="eastAsia" w:ascii="宋体" w:hAnsi="宋体" w:cs="宋体"/>
          <w:color w:val="000000"/>
          <w:sz w:val="24"/>
          <w:szCs w:val="24"/>
          <w:highlight w:val="none"/>
        </w:rPr>
        <w:t>7.3.1在签订合同前，成交供应商应按供应商须知前附表规定的金额、担保形式和竞争性磋商文件“合同条款及格式”规定的履约担保格式向采购人提交履约担保。联合体中标的，其履约担保由牵头人递交，并应符合供应商须知前附表规定的金额、担保形式和竞争性磋商文件“合同条款及格式”规定的履约担保格式要求。</w:t>
      </w:r>
      <w:bookmarkEnd w:id="311"/>
    </w:p>
    <w:p w14:paraId="0978A3BB">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312" w:name="_Toc18356"/>
      <w:r>
        <w:rPr>
          <w:rFonts w:hint="eastAsia" w:ascii="宋体" w:hAnsi="宋体" w:cs="宋体"/>
          <w:color w:val="000000"/>
          <w:sz w:val="24"/>
          <w:szCs w:val="24"/>
          <w:highlight w:val="none"/>
        </w:rPr>
        <w:t>7.3.2 成交供应商不能按本章第7.3.1项要求提交履约担保的，视为放弃中标，其磋商保证金不予退还，给采购人造成的损失超过磋商保证金数额的，成交供应商还应当对超过部分予以赔偿。</w:t>
      </w:r>
      <w:bookmarkEnd w:id="312"/>
    </w:p>
    <w:p w14:paraId="65BB43B0">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313" w:name="_Toc144974538"/>
      <w:bookmarkStart w:id="314" w:name="_Toc152045570"/>
      <w:bookmarkStart w:id="315" w:name="_Toc28306"/>
      <w:bookmarkStart w:id="316" w:name="_Toc179632588"/>
      <w:bookmarkStart w:id="317" w:name="_Toc152042346"/>
      <w:r>
        <w:rPr>
          <w:rFonts w:hint="eastAsia" w:ascii="宋体" w:hAnsi="宋体" w:cs="宋体"/>
          <w:color w:val="000000"/>
          <w:sz w:val="24"/>
          <w:szCs w:val="24"/>
          <w:highlight w:val="none"/>
        </w:rPr>
        <w:t>7.4签订合同</w:t>
      </w:r>
      <w:bookmarkEnd w:id="313"/>
      <w:bookmarkEnd w:id="314"/>
      <w:bookmarkEnd w:id="315"/>
      <w:bookmarkEnd w:id="316"/>
      <w:bookmarkEnd w:id="317"/>
    </w:p>
    <w:p w14:paraId="33ECFD32">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318" w:name="_Toc3503"/>
      <w:r>
        <w:rPr>
          <w:rFonts w:hint="eastAsia" w:ascii="宋体" w:hAnsi="宋体" w:cs="宋体"/>
          <w:color w:val="000000"/>
          <w:sz w:val="24"/>
          <w:szCs w:val="24"/>
          <w:highlight w:val="none"/>
        </w:rPr>
        <w:t>7.4.1采购人和成交供应商应当自成交通知书发出之日后，在规定时间内根据竞争性磋商文件和成交供应商的响应文件订立书面合同并按照规定予以备案。成交供应商无正当理由拒签合同的，采购人取消其中标资格，其磋商保证金不予退还；给采购人造成的损失超过磋商保证金数额的，成交供应商还应当对超过部分予以赔偿。</w:t>
      </w:r>
      <w:bookmarkEnd w:id="318"/>
      <w:r>
        <w:rPr>
          <w:rFonts w:hint="eastAsia" w:ascii="宋体" w:hAnsi="宋体" w:cs="宋体"/>
          <w:color w:val="000000"/>
          <w:sz w:val="24"/>
          <w:szCs w:val="24"/>
          <w:highlight w:val="none"/>
        </w:rPr>
        <w:t xml:space="preserve"> </w:t>
      </w:r>
    </w:p>
    <w:p w14:paraId="7700DB1D">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textAlignment w:val="auto"/>
        <w:rPr>
          <w:rFonts w:hint="eastAsia" w:ascii="宋体" w:hAnsi="宋体" w:cs="宋体"/>
          <w:color w:val="000000"/>
          <w:sz w:val="24"/>
          <w:szCs w:val="24"/>
          <w:highlight w:val="none"/>
        </w:rPr>
      </w:pPr>
      <w:bookmarkStart w:id="319" w:name="_Toc511585907"/>
      <w:bookmarkStart w:id="320" w:name="_Toc152045571"/>
      <w:bookmarkStart w:id="321" w:name="_Toc5371"/>
      <w:bookmarkStart w:id="322" w:name="_Toc11948"/>
      <w:bookmarkStart w:id="323" w:name="_Toc14936"/>
      <w:bookmarkStart w:id="324" w:name="_Toc510859899"/>
      <w:bookmarkStart w:id="325" w:name="_Toc152042347"/>
      <w:bookmarkStart w:id="326" w:name="_Toc510859693"/>
      <w:bookmarkStart w:id="327" w:name="_Toc144974539"/>
      <w:bookmarkStart w:id="328" w:name="_Toc363119285"/>
      <w:bookmarkStart w:id="329" w:name="_Toc179632589"/>
      <w:bookmarkStart w:id="330" w:name="_Toc29932"/>
      <w:r>
        <w:rPr>
          <w:rFonts w:hint="eastAsia" w:ascii="宋体" w:hAnsi="宋体" w:cs="宋体"/>
          <w:b/>
          <w:bCs/>
          <w:color w:val="000000"/>
          <w:sz w:val="24"/>
          <w:szCs w:val="24"/>
          <w:highlight w:val="none"/>
        </w:rPr>
        <w:t>8.重新</w:t>
      </w:r>
      <w:bookmarkEnd w:id="319"/>
      <w:bookmarkEnd w:id="320"/>
      <w:bookmarkEnd w:id="321"/>
      <w:bookmarkEnd w:id="322"/>
      <w:bookmarkEnd w:id="323"/>
      <w:bookmarkEnd w:id="324"/>
      <w:bookmarkEnd w:id="325"/>
      <w:bookmarkEnd w:id="326"/>
      <w:bookmarkEnd w:id="327"/>
      <w:bookmarkEnd w:id="328"/>
      <w:bookmarkEnd w:id="329"/>
      <w:bookmarkEnd w:id="330"/>
      <w:r>
        <w:rPr>
          <w:rFonts w:hint="eastAsia" w:ascii="宋体" w:hAnsi="宋体" w:cs="宋体"/>
          <w:b/>
          <w:bCs/>
          <w:color w:val="000000"/>
          <w:sz w:val="24"/>
          <w:szCs w:val="24"/>
          <w:highlight w:val="none"/>
        </w:rPr>
        <w:t>采购：</w:t>
      </w:r>
      <w:bookmarkStart w:id="331" w:name="_Toc510859900"/>
      <w:bookmarkStart w:id="332" w:name="_Toc527"/>
      <w:bookmarkStart w:id="333" w:name="_Toc510859694"/>
      <w:bookmarkStart w:id="334" w:name="_Toc2698"/>
      <w:bookmarkStart w:id="335" w:name="_Toc179632592"/>
      <w:bookmarkStart w:id="336" w:name="_Toc2309"/>
      <w:bookmarkStart w:id="337" w:name="_Toc152042350"/>
      <w:bookmarkStart w:id="338" w:name="_Toc4006"/>
      <w:bookmarkStart w:id="339" w:name="_Toc144974542"/>
      <w:bookmarkStart w:id="340" w:name="_Toc152045574"/>
      <w:bookmarkStart w:id="341" w:name="_Toc511585908"/>
      <w:bookmarkStart w:id="342" w:name="_Toc363119286"/>
      <w:r>
        <w:rPr>
          <w:rFonts w:hint="eastAsia" w:ascii="宋体" w:hAnsi="宋体" w:cs="宋体"/>
          <w:color w:val="000000"/>
          <w:sz w:val="24"/>
          <w:szCs w:val="24"/>
          <w:highlight w:val="none"/>
        </w:rPr>
        <w:t>执行现行相关法律法规。</w:t>
      </w:r>
    </w:p>
    <w:p w14:paraId="4C7D20B7">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9.纪律和监督</w:t>
      </w:r>
      <w:bookmarkEnd w:id="331"/>
      <w:bookmarkEnd w:id="332"/>
      <w:bookmarkEnd w:id="333"/>
      <w:bookmarkEnd w:id="334"/>
      <w:bookmarkEnd w:id="335"/>
      <w:bookmarkEnd w:id="336"/>
      <w:bookmarkEnd w:id="337"/>
      <w:bookmarkEnd w:id="338"/>
      <w:bookmarkEnd w:id="339"/>
      <w:bookmarkEnd w:id="340"/>
      <w:bookmarkEnd w:id="341"/>
      <w:bookmarkEnd w:id="342"/>
    </w:p>
    <w:p w14:paraId="40260721">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343" w:name="_Toc144974543"/>
      <w:bookmarkStart w:id="344" w:name="_Toc10934"/>
      <w:bookmarkStart w:id="345" w:name="_Toc152042351"/>
      <w:bookmarkStart w:id="346" w:name="_Toc152045575"/>
      <w:bookmarkStart w:id="347" w:name="_Toc179632593"/>
      <w:r>
        <w:rPr>
          <w:rFonts w:hint="eastAsia" w:ascii="宋体" w:hAnsi="宋体" w:cs="宋体"/>
          <w:color w:val="000000"/>
          <w:sz w:val="24"/>
          <w:szCs w:val="24"/>
          <w:highlight w:val="none"/>
        </w:rPr>
        <w:t>9.1 对采购人的纪律要求</w:t>
      </w:r>
      <w:bookmarkEnd w:id="343"/>
      <w:bookmarkEnd w:id="344"/>
      <w:bookmarkEnd w:id="345"/>
      <w:bookmarkEnd w:id="346"/>
      <w:bookmarkEnd w:id="347"/>
    </w:p>
    <w:p w14:paraId="7EF48292">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348" w:name="_Toc17134"/>
      <w:r>
        <w:rPr>
          <w:rFonts w:hint="eastAsia" w:ascii="宋体" w:hAnsi="宋体" w:cs="宋体"/>
          <w:color w:val="000000"/>
          <w:sz w:val="24"/>
          <w:szCs w:val="24"/>
          <w:highlight w:val="none"/>
        </w:rPr>
        <w:t>采购人不得泄露采购磋商活动中应当保密的情况和资料，不得与供应商串通损害国家利益、社会公共利益或者他人合法权益。</w:t>
      </w:r>
      <w:bookmarkEnd w:id="348"/>
    </w:p>
    <w:p w14:paraId="1E1B0122">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349" w:name="_Toc152042352"/>
      <w:bookmarkStart w:id="350" w:name="_Toc152045576"/>
      <w:bookmarkStart w:id="351" w:name="_Toc4911"/>
      <w:bookmarkStart w:id="352" w:name="_Toc179632594"/>
      <w:bookmarkStart w:id="353" w:name="_Toc144974544"/>
      <w:r>
        <w:rPr>
          <w:rFonts w:hint="eastAsia" w:ascii="宋体" w:hAnsi="宋体" w:cs="宋体"/>
          <w:color w:val="000000"/>
          <w:sz w:val="24"/>
          <w:szCs w:val="24"/>
          <w:highlight w:val="none"/>
        </w:rPr>
        <w:t>9.2 对供应商的纪律要求</w:t>
      </w:r>
      <w:bookmarkEnd w:id="349"/>
      <w:bookmarkEnd w:id="350"/>
      <w:bookmarkEnd w:id="351"/>
      <w:bookmarkEnd w:id="352"/>
      <w:bookmarkEnd w:id="353"/>
    </w:p>
    <w:p w14:paraId="0970B8A4">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354" w:name="_Toc10594"/>
      <w:r>
        <w:rPr>
          <w:rFonts w:hint="eastAsia" w:ascii="宋体" w:hAnsi="宋体" w:cs="宋体"/>
          <w:color w:val="000000"/>
          <w:sz w:val="24"/>
          <w:szCs w:val="24"/>
          <w:highlight w:val="none"/>
        </w:rPr>
        <w:t>供应商不得相互串通磋商或者与采购人串通磋商，不得向采购人或者磋商小组成员行贿谋取中标，不得以他人名义磋商或者以其他方式弄虚作假骗取中标；供应商不得以任何方式干扰、影响评审工作。</w:t>
      </w:r>
      <w:bookmarkEnd w:id="354"/>
    </w:p>
    <w:p w14:paraId="59EE00E7">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355" w:name="_Toc152045577"/>
      <w:bookmarkStart w:id="356" w:name="_Toc144974545"/>
      <w:bookmarkStart w:id="357" w:name="_Toc7382"/>
      <w:bookmarkStart w:id="358" w:name="_Toc152042353"/>
      <w:bookmarkStart w:id="359" w:name="_Toc179632595"/>
      <w:r>
        <w:rPr>
          <w:rFonts w:hint="eastAsia" w:ascii="宋体" w:hAnsi="宋体" w:cs="宋体"/>
          <w:color w:val="000000"/>
          <w:sz w:val="24"/>
          <w:szCs w:val="24"/>
          <w:highlight w:val="none"/>
        </w:rPr>
        <w:t>9.3 对磋商小组成员的纪律要求</w:t>
      </w:r>
      <w:bookmarkEnd w:id="355"/>
      <w:bookmarkEnd w:id="356"/>
      <w:bookmarkEnd w:id="357"/>
      <w:bookmarkEnd w:id="358"/>
      <w:bookmarkEnd w:id="359"/>
    </w:p>
    <w:p w14:paraId="33104B3D">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360" w:name="_Toc32639"/>
      <w:r>
        <w:rPr>
          <w:rFonts w:hint="eastAsia" w:ascii="宋体" w:hAnsi="宋体" w:cs="宋体"/>
          <w:color w:val="000000"/>
          <w:sz w:val="24"/>
          <w:szCs w:val="24"/>
          <w:highlight w:val="none"/>
        </w:rPr>
        <w:t>磋商小组成员不得收受他人的财物或者其他好处，不得向他人透露对响应文件的评审和比较、成交候选人的推荐情况以及评审有关的其他情况。在评审活动中，磋商小组成员不得擅离职守，影响评审程序正常进行，不得使用“评审办法”没有规定的评审因素和标准进行评审。</w:t>
      </w:r>
      <w:bookmarkEnd w:id="360"/>
    </w:p>
    <w:p w14:paraId="1D412303">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361" w:name="_Toc152045578"/>
      <w:bookmarkStart w:id="362" w:name="_Toc152042354"/>
      <w:bookmarkStart w:id="363" w:name="_Toc17124"/>
      <w:bookmarkStart w:id="364" w:name="_Toc179632596"/>
      <w:bookmarkStart w:id="365" w:name="_Toc144974546"/>
      <w:r>
        <w:rPr>
          <w:rFonts w:hint="eastAsia" w:ascii="宋体" w:hAnsi="宋体" w:cs="宋体"/>
          <w:color w:val="000000"/>
          <w:sz w:val="24"/>
          <w:szCs w:val="24"/>
          <w:highlight w:val="none"/>
        </w:rPr>
        <w:t>9.4 对与评审活动有关的工作人员的纪律要求</w:t>
      </w:r>
      <w:bookmarkEnd w:id="361"/>
      <w:bookmarkEnd w:id="362"/>
      <w:bookmarkEnd w:id="363"/>
      <w:bookmarkEnd w:id="364"/>
    </w:p>
    <w:p w14:paraId="5EAEA93F">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366" w:name="_Toc152042355"/>
      <w:bookmarkStart w:id="367" w:name="_Toc3914"/>
      <w:r>
        <w:rPr>
          <w:rFonts w:hint="eastAsia" w:ascii="宋体" w:hAnsi="宋体" w:cs="宋体"/>
          <w:color w:val="000000"/>
          <w:sz w:val="24"/>
          <w:szCs w:val="24"/>
          <w:highlight w:val="none"/>
        </w:rPr>
        <w:t>与评审活动有关的工作人员不得收受他人的财物或者其他好处，不得向他人透露对响应文件的评审和比较、成交候选人的推荐情况以及评审有关的其他情况。在评审活动中，与评审活动有关的工作人员不得擅离职守，影响评审程序正常进行。</w:t>
      </w:r>
      <w:bookmarkEnd w:id="366"/>
      <w:bookmarkEnd w:id="367"/>
    </w:p>
    <w:bookmarkEnd w:id="365"/>
    <w:p w14:paraId="0E570CEF">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bookmarkStart w:id="368" w:name="_Toc510859901"/>
      <w:bookmarkStart w:id="369" w:name="_Toc14321"/>
      <w:bookmarkStart w:id="370" w:name="_Toc510859695"/>
      <w:bookmarkStart w:id="371" w:name="_Toc27051"/>
      <w:bookmarkStart w:id="372" w:name="_Toc6198"/>
      <w:bookmarkStart w:id="373" w:name="_Toc511585909"/>
      <w:bookmarkStart w:id="374" w:name="_Toc152042357"/>
      <w:bookmarkStart w:id="375" w:name="_Toc18818"/>
      <w:bookmarkStart w:id="376" w:name="_Toc144974547"/>
      <w:bookmarkStart w:id="377" w:name="_Toc363119287"/>
      <w:bookmarkStart w:id="378" w:name="_Toc179632598"/>
      <w:bookmarkStart w:id="379" w:name="_Toc152045580"/>
      <w:r>
        <w:rPr>
          <w:rFonts w:hint="eastAsia" w:ascii="宋体" w:hAnsi="宋体" w:cs="宋体"/>
          <w:color w:val="000000"/>
          <w:sz w:val="24"/>
          <w:szCs w:val="24"/>
          <w:highlight w:val="none"/>
        </w:rPr>
        <w:t>9.5 质疑与投诉</w:t>
      </w:r>
    </w:p>
    <w:bookmarkEnd w:id="368"/>
    <w:bookmarkEnd w:id="369"/>
    <w:bookmarkEnd w:id="370"/>
    <w:bookmarkEnd w:id="371"/>
    <w:bookmarkEnd w:id="372"/>
    <w:bookmarkEnd w:id="373"/>
    <w:bookmarkEnd w:id="374"/>
    <w:bookmarkEnd w:id="375"/>
    <w:bookmarkEnd w:id="376"/>
    <w:bookmarkEnd w:id="377"/>
    <w:bookmarkEnd w:id="378"/>
    <w:bookmarkEnd w:id="379"/>
    <w:p w14:paraId="712D6ED7">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磋商人应当严格按照《政府采购质疑和投诉办法》提出质疑</w:t>
      </w:r>
      <w:r>
        <w:rPr>
          <w:rFonts w:hint="eastAsia" w:ascii="宋体" w:hAnsi="宋体" w:cs="宋体"/>
          <w:color w:val="000000"/>
          <w:sz w:val="24"/>
          <w:szCs w:val="24"/>
          <w:highlight w:val="none"/>
        </w:rPr>
        <w:t>和投诉，对采购文件提出质疑的，应当在获取采购文件或者采购文件公告期限届满之日起7个工作日内提出。</w:t>
      </w:r>
    </w:p>
    <w:p w14:paraId="12C188F4">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供应商应在法定质疑期内一次性提出针对同一采购程序环节的质疑，提出质疑应当有明确的请求和必要的证明材料。</w:t>
      </w:r>
    </w:p>
    <w:p w14:paraId="12D869F0">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10.需要补充的其他内容</w:t>
      </w:r>
      <w:bookmarkStart w:id="380" w:name="_Toc18224"/>
    </w:p>
    <w:bookmarkEnd w:id="380"/>
    <w:p w14:paraId="59AAF12D">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cs="宋体"/>
          <w:color w:val="000000"/>
          <w:sz w:val="24"/>
          <w:szCs w:val="24"/>
          <w:highlight w:val="none"/>
        </w:rPr>
        <w:t>10.1详见供应商须知前附表。</w:t>
      </w:r>
      <w:bookmarkStart w:id="381" w:name="_Toc20203"/>
      <w:bookmarkStart w:id="382" w:name="_Toc10405"/>
      <w:bookmarkStart w:id="383" w:name="_Toc797"/>
    </w:p>
    <w:p w14:paraId="097DD3D4">
      <w:pPr>
        <w:pStyle w:val="2"/>
        <w:bidi w:val="0"/>
        <w:rPr>
          <w:rFonts w:hint="eastAsia"/>
          <w:highlight w:val="none"/>
        </w:rPr>
      </w:pPr>
      <w:r>
        <w:rPr>
          <w:rFonts w:hint="eastAsia"/>
          <w:highlight w:val="none"/>
        </w:rPr>
        <w:t>第三章</w:t>
      </w:r>
      <w:bookmarkEnd w:id="29"/>
      <w:bookmarkEnd w:id="30"/>
      <w:bookmarkEnd w:id="31"/>
      <w:bookmarkEnd w:id="32"/>
      <w:bookmarkEnd w:id="33"/>
      <w:bookmarkEnd w:id="34"/>
      <w:bookmarkEnd w:id="35"/>
      <w:r>
        <w:rPr>
          <w:rFonts w:hint="eastAsia"/>
          <w:highlight w:val="none"/>
          <w:lang w:val="en-US" w:eastAsia="zh-CN"/>
        </w:rPr>
        <w:t xml:space="preserve">  </w:t>
      </w:r>
      <w:r>
        <w:rPr>
          <w:rFonts w:hint="eastAsia"/>
          <w:highlight w:val="none"/>
        </w:rPr>
        <w:t>采购需求及商务要求</w:t>
      </w:r>
      <w:bookmarkEnd w:id="36"/>
      <w:bookmarkEnd w:id="381"/>
      <w:bookmarkEnd w:id="382"/>
      <w:bookmarkEnd w:id="383"/>
      <w:bookmarkStart w:id="384" w:name="_Toc24998"/>
      <w:bookmarkStart w:id="385" w:name="_Toc529368446"/>
      <w:bookmarkStart w:id="386" w:name="_Toc529809669"/>
    </w:p>
    <w:bookmarkEnd w:id="384"/>
    <w:bookmarkEnd w:id="385"/>
    <w:bookmarkEnd w:id="386"/>
    <w:p w14:paraId="7237F2AE">
      <w:pPr>
        <w:pStyle w:val="90"/>
        <w:keepLines w:val="0"/>
        <w:pageBreakBefore w:val="0"/>
        <w:kinsoku/>
        <w:wordWrap w:val="0"/>
        <w:overflowPunct/>
        <w:topLinePunct w:val="0"/>
        <w:autoSpaceDE/>
        <w:autoSpaceDN/>
        <w:bidi w:val="0"/>
        <w:adjustRightInd/>
        <w:snapToGrid/>
        <w:spacing w:before="0" w:after="0" w:line="360" w:lineRule="auto"/>
        <w:ind w:left="0" w:right="0" w:firstLine="482"/>
        <w:textAlignment w:val="auto"/>
        <w:rPr>
          <w:rFonts w:ascii="宋体" w:hAnsi="宋体" w:eastAsia="宋体" w:cs="宋体"/>
          <w:b/>
          <w:color w:val="0F1115"/>
          <w:sz w:val="24"/>
          <w:highlight w:val="none"/>
          <w:shd w:val="clear" w:fill="FFFFFF"/>
        </w:rPr>
      </w:pPr>
      <w:r>
        <w:rPr>
          <w:rFonts w:hint="eastAsia" w:ascii="宋体" w:hAnsi="宋体" w:eastAsia="宋体" w:cs="宋体"/>
          <w:b/>
          <w:bCs/>
          <w:color w:val="auto"/>
          <w:sz w:val="24"/>
          <w:szCs w:val="24"/>
          <w:highlight w:val="none"/>
        </w:rPr>
        <w:t>一、项目概况</w:t>
      </w:r>
    </w:p>
    <w:p w14:paraId="24EEB5AB">
      <w:pPr>
        <w:pStyle w:val="90"/>
        <w:keepNext w:val="0"/>
        <w:keepLines w:val="0"/>
        <w:pageBreakBefore w:val="0"/>
        <w:widowControl/>
        <w:kinsoku/>
        <w:wordWrap w:val="0"/>
        <w:overflowPunct/>
        <w:topLinePunct w:val="0"/>
        <w:autoSpaceDE/>
        <w:autoSpaceDN/>
        <w:bidi w:val="0"/>
        <w:adjustRightInd/>
        <w:snapToGrid/>
        <w:spacing w:before="0" w:after="0" w:line="360" w:lineRule="auto"/>
        <w:ind w:left="0" w:right="0" w:firstLine="482"/>
        <w:textAlignment w:val="auto"/>
        <w:rPr>
          <w:rFonts w:ascii="宋体" w:hAnsi="宋体" w:eastAsia="宋体" w:cs="宋体"/>
          <w:b/>
          <w:color w:val="0F1115"/>
          <w:sz w:val="24"/>
          <w:highlight w:val="none"/>
          <w:shd w:val="clear" w:fill="FFFFFF"/>
        </w:rPr>
      </w:pPr>
      <w:r>
        <w:rPr>
          <w:rFonts w:hint="eastAsia" w:ascii="宋体" w:hAnsi="宋体" w:eastAsia="宋体" w:cs="宋体"/>
          <w:color w:val="000000"/>
          <w:sz w:val="24"/>
          <w:szCs w:val="24"/>
          <w:highlight w:val="none"/>
          <w:lang w:val="en-US" w:eastAsia="zh-CN"/>
        </w:rPr>
        <w:t>本项目拟选择1家单位为医院提供</w:t>
      </w:r>
      <w:r>
        <w:rPr>
          <w:rFonts w:hint="eastAsia" w:ascii="宋体" w:hAnsi="宋体" w:eastAsia="宋体" w:cs="宋体"/>
          <w:color w:val="000000"/>
          <w:sz w:val="24"/>
          <w:szCs w:val="24"/>
          <w:highlight w:val="none"/>
        </w:rPr>
        <w:t>清洁生产审核及实施</w:t>
      </w:r>
      <w:r>
        <w:rPr>
          <w:rFonts w:hint="eastAsia" w:ascii="宋体" w:hAnsi="宋体" w:eastAsia="宋体" w:cs="宋体"/>
          <w:color w:val="000000"/>
          <w:sz w:val="24"/>
          <w:szCs w:val="24"/>
          <w:highlight w:val="none"/>
          <w:lang w:val="en-US" w:eastAsia="zh-CN"/>
        </w:rPr>
        <w:t>服务</w:t>
      </w:r>
      <w:r>
        <w:rPr>
          <w:rFonts w:hint="eastAsia" w:ascii="宋体" w:hAnsi="宋体" w:eastAsia="宋体" w:cs="宋体"/>
          <w:color w:val="000000"/>
          <w:sz w:val="24"/>
          <w:szCs w:val="24"/>
          <w:highlight w:val="none"/>
        </w:rPr>
        <w:t>，服务范围覆盖医院全运营区域，包含诊疗区、办公区、后勤保障区、医疗废物贮存室、污水处理站、配电室等所有功能区域。项目以 “节能、降耗、减污、增效” 为核心，通过开展专业清洁生产审核，识别医院运营过程中资源能源浪费、污染物排放等问题，制定并实施针对性的清洁生产改造施工方案，建立长效清洁生产管理机制，全面提升医院绿色运营、低碳发展水平，符合三级甲等综合医院的环保与运营管理要求。</w:t>
      </w:r>
    </w:p>
    <w:p w14:paraId="5BFB8635">
      <w:pPr>
        <w:pStyle w:val="90"/>
        <w:keepLines w:val="0"/>
        <w:pageBreakBefore w:val="0"/>
        <w:kinsoku/>
        <w:wordWrap w:val="0"/>
        <w:overflowPunct/>
        <w:topLinePunct w:val="0"/>
        <w:autoSpaceDE/>
        <w:autoSpaceDN/>
        <w:bidi w:val="0"/>
        <w:adjustRightInd/>
        <w:snapToGrid/>
        <w:spacing w:before="0" w:after="0" w:line="360" w:lineRule="auto"/>
        <w:ind w:left="0" w:right="0" w:firstLine="482"/>
        <w:textAlignment w:val="auto"/>
        <w:rPr>
          <w:rFonts w:hint="eastAsia" w:cs="宋体"/>
          <w:b w:val="0"/>
          <w:bCs/>
          <w:color w:val="0F1115"/>
          <w:sz w:val="24"/>
          <w:highlight w:val="none"/>
          <w:shd w:val="clear" w:fill="FFFFFF"/>
          <w:lang w:eastAsia="zh-CN"/>
        </w:rPr>
      </w:pPr>
      <w:r>
        <w:rPr>
          <w:rFonts w:hint="eastAsia" w:cs="宋体"/>
          <w:b w:val="0"/>
          <w:bCs/>
          <w:color w:val="0F1115"/>
          <w:sz w:val="24"/>
          <w:highlight w:val="none"/>
          <w:shd w:val="clear" w:fill="FFFFFF"/>
          <w:lang w:val="en-US" w:eastAsia="zh-CN"/>
        </w:rPr>
        <w:t>服务内容包含</w:t>
      </w:r>
      <w:r>
        <w:rPr>
          <w:rFonts w:hint="eastAsia" w:cs="宋体"/>
          <w:b w:val="0"/>
          <w:bCs/>
          <w:color w:val="0F1115"/>
          <w:sz w:val="24"/>
          <w:highlight w:val="none"/>
          <w:shd w:val="clear" w:fill="FFFFFF"/>
          <w:lang w:eastAsia="zh-CN"/>
        </w:rPr>
        <w:t>清洁生产审核服务和配合清洁生产实施两大核心部分，审核服务为</w:t>
      </w:r>
      <w:r>
        <w:rPr>
          <w:rFonts w:hint="eastAsia" w:cs="宋体"/>
          <w:b w:val="0"/>
          <w:bCs/>
          <w:color w:val="0F1115"/>
          <w:sz w:val="24"/>
          <w:highlight w:val="none"/>
          <w:shd w:val="clear" w:fill="FFFFFF"/>
          <w:lang w:val="en-US" w:eastAsia="zh-CN"/>
        </w:rPr>
        <w:t>实施</w:t>
      </w:r>
      <w:r>
        <w:rPr>
          <w:rFonts w:hint="eastAsia" w:cs="宋体"/>
          <w:b w:val="0"/>
          <w:bCs/>
          <w:color w:val="0F1115"/>
          <w:sz w:val="24"/>
          <w:highlight w:val="none"/>
          <w:shd w:val="clear" w:fill="FFFFFF"/>
          <w:lang w:eastAsia="zh-CN"/>
        </w:rPr>
        <w:t>提供科学依据，实施落地审核提出的优化方案，同时配套培训服务和长效管理机制建设，确保清洁生产工作持续推进。所有工作须符合《清洁生产审核办法》《医院清洁生产评价指标体系》《医疗卫生机构节能规范》《污水综合排放标准》等国家、行业及地方相关标准规范要求。</w:t>
      </w:r>
    </w:p>
    <w:p w14:paraId="69932726">
      <w:pPr>
        <w:pStyle w:val="90"/>
        <w:keepLines w:val="0"/>
        <w:pageBreakBefore w:val="0"/>
        <w:kinsoku/>
        <w:wordWrap w:val="0"/>
        <w:overflowPunct/>
        <w:topLinePunct w:val="0"/>
        <w:autoSpaceDE/>
        <w:autoSpaceDN/>
        <w:bidi w:val="0"/>
        <w:adjustRightInd/>
        <w:snapToGrid/>
        <w:spacing w:before="0" w:after="0" w:line="360" w:lineRule="auto"/>
        <w:ind w:left="0" w:right="0" w:firstLine="482"/>
        <w:textAlignment w:val="auto"/>
        <w:rPr>
          <w:highlight w:val="none"/>
        </w:rPr>
      </w:pPr>
      <w:r>
        <w:rPr>
          <w:rFonts w:hint="eastAsia" w:cs="宋体"/>
          <w:b/>
          <w:color w:val="0F1115"/>
          <w:sz w:val="24"/>
          <w:highlight w:val="none"/>
          <w:shd w:val="clear" w:fill="FFFFFF"/>
          <w:lang w:eastAsia="zh-CN"/>
        </w:rPr>
        <w:t>二、</w:t>
      </w:r>
      <w:r>
        <w:rPr>
          <w:rFonts w:ascii="宋体" w:hAnsi="宋体" w:eastAsia="宋体" w:cs="宋体"/>
          <w:b/>
          <w:color w:val="0F1115"/>
          <w:sz w:val="24"/>
          <w:highlight w:val="none"/>
          <w:shd w:val="clear" w:fill="FFFFFF"/>
        </w:rPr>
        <w:t>服务内容及要求</w:t>
      </w:r>
    </w:p>
    <w:p w14:paraId="5625F670">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eastAsia="zh-CN"/>
        </w:rPr>
        <w:t>（</w:t>
      </w:r>
      <w:r>
        <w:rPr>
          <w:rFonts w:hint="eastAsia" w:asciiTheme="minorEastAsia" w:hAnsiTheme="minorEastAsia" w:eastAsiaTheme="minorEastAsia" w:cstheme="minorEastAsia"/>
          <w:b/>
          <w:bCs/>
          <w:sz w:val="24"/>
          <w:szCs w:val="24"/>
          <w:highlight w:val="none"/>
          <w:lang w:val="en-US" w:eastAsia="zh-CN"/>
        </w:rPr>
        <w:t>一</w:t>
      </w:r>
      <w:r>
        <w:rPr>
          <w:rFonts w:hint="eastAsia" w:asciiTheme="minorEastAsia" w:hAnsiTheme="minorEastAsia" w:eastAsiaTheme="minorEastAsia" w:cstheme="minorEastAsia"/>
          <w:b/>
          <w:bCs/>
          <w:sz w:val="24"/>
          <w:szCs w:val="24"/>
          <w:highlight w:val="none"/>
          <w:lang w:eastAsia="zh-CN"/>
        </w:rPr>
        <w:t>）</w:t>
      </w:r>
      <w:r>
        <w:rPr>
          <w:rFonts w:hint="eastAsia" w:asciiTheme="minorEastAsia" w:hAnsiTheme="minorEastAsia" w:eastAsiaTheme="minorEastAsia" w:cstheme="minorEastAsia"/>
          <w:b/>
          <w:bCs/>
          <w:sz w:val="24"/>
          <w:szCs w:val="24"/>
          <w:highlight w:val="none"/>
          <w:lang w:val="en-US" w:eastAsia="zh-CN"/>
        </w:rPr>
        <w:t>服务内容</w:t>
      </w:r>
    </w:p>
    <w:p w14:paraId="6B51C90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审核服务需围绕医疗卫生行业特点，结合医院运营实际，开展全流程、系统性清洁生产审核，形成科学、可行、针对性强的审核报告，为实施</w:t>
      </w:r>
      <w:r>
        <w:rPr>
          <w:rFonts w:hint="eastAsia" w:asciiTheme="minorEastAsia" w:hAnsiTheme="minorEastAsia" w:eastAsiaTheme="minorEastAsia" w:cstheme="minorEastAsia"/>
          <w:sz w:val="24"/>
          <w:szCs w:val="24"/>
          <w:highlight w:val="none"/>
          <w:lang w:val="en-US" w:eastAsia="zh-CN"/>
        </w:rPr>
        <w:t>服务</w:t>
      </w:r>
      <w:r>
        <w:rPr>
          <w:rFonts w:hint="eastAsia" w:asciiTheme="minorEastAsia" w:hAnsiTheme="minorEastAsia" w:eastAsiaTheme="minorEastAsia" w:cstheme="minorEastAsia"/>
          <w:sz w:val="24"/>
          <w:szCs w:val="24"/>
          <w:highlight w:val="none"/>
        </w:rPr>
        <w:t>提供明确指导，具体流程及技术要求如下：</w:t>
      </w:r>
    </w:p>
    <w:p w14:paraId="0C0EF3C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筹划与组织：成立专项审核小组，制定详细审核工作计划，明确各阶段工作内容、时间节点、责任人员；开展医院全员清洁生产宣传培训，覆盖管理层、医护人员、后勤施工人员，提升清洁生产意识。</w:t>
      </w:r>
    </w:p>
    <w:p w14:paraId="60536B0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预评估：全面调研医院运营现状，收集资源能源消耗（水、电、气、油等）、污染物排放（污水、医疗废物、生活垃圾、废气等）、设备设施运行、管理体系等基础数据；识别医院清洁生产潜力及重点问题，确定审核重点（如污水处理站、配电室、中央空调系统、医疗废物贮存室等），制定初步清洁生产目标（节能、降耗、减污指标需量化，如单位诊疗面积能耗降低≥15%、水资源重复利用率提升≥20%等）。</w:t>
      </w:r>
    </w:p>
    <w:p w14:paraId="04F5A3F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评估：对审核重点进行详细的物料衡算、能量衡算，分析资源能源消耗和污染物产生的根本原因；绘制物料流、能流图，识别各环节浪费点和污染点；结合医疗卫生行业清洁生产评价指标，对医院清洁生产水平进行评级，明确改进方向。</w:t>
      </w:r>
    </w:p>
    <w:p w14:paraId="4C24AD5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rPr>
        <w:t>方案产生与筛选：通过全员征集、专家论证等方式，广泛产生清洁生产方案，分为无/低费方案和中/高费方案；从技术可行性、经济合理性、环境效益、操作便捷性、与医院运营的适配性等方面进行筛选，形成可行方案清单，无/低费方案立即组织实施，中/高费方案作为施工实施核心内容。</w:t>
      </w:r>
    </w:p>
    <w:p w14:paraId="5ECF7FE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rPr>
        <w:t>可行性分析：对中/高费施工方案进行详细论证，包括技术参数、</w:t>
      </w:r>
      <w:r>
        <w:rPr>
          <w:rFonts w:hint="eastAsia" w:asciiTheme="minorEastAsia" w:hAnsiTheme="minorEastAsia" w:eastAsiaTheme="minorEastAsia" w:cstheme="minorEastAsia"/>
          <w:sz w:val="24"/>
          <w:szCs w:val="24"/>
          <w:highlight w:val="none"/>
          <w:lang w:val="en-US" w:eastAsia="zh-CN"/>
        </w:rPr>
        <w:t>实施</w:t>
      </w:r>
      <w:r>
        <w:rPr>
          <w:rFonts w:hint="eastAsia" w:asciiTheme="minorEastAsia" w:hAnsiTheme="minorEastAsia" w:eastAsiaTheme="minorEastAsia" w:cstheme="minorEastAsia"/>
          <w:sz w:val="24"/>
          <w:szCs w:val="24"/>
          <w:highlight w:val="none"/>
        </w:rPr>
        <w:t>工艺、投资估算、成本效益分析、环境效益预测、实施周期等，编制可行性分析报告，明确方案实施的具体要求。</w:t>
      </w:r>
    </w:p>
    <w:p w14:paraId="04FE906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审核报告编制：提交完整的《</w:t>
      </w:r>
      <w:r>
        <w:rPr>
          <w:rFonts w:hint="eastAsia" w:asciiTheme="minorEastAsia" w:hAnsiTheme="minorEastAsia" w:eastAsiaTheme="minorEastAsia" w:cstheme="minorEastAsia"/>
          <w:sz w:val="24"/>
          <w:szCs w:val="24"/>
          <w:highlight w:val="none"/>
          <w:lang w:val="en-US" w:eastAsia="zh-CN"/>
        </w:rPr>
        <w:t>陕西省肿瘤医院</w:t>
      </w:r>
      <w:r>
        <w:rPr>
          <w:rFonts w:hint="eastAsia" w:asciiTheme="minorEastAsia" w:hAnsiTheme="minorEastAsia" w:eastAsiaTheme="minorEastAsia" w:cstheme="minorEastAsia"/>
          <w:sz w:val="24"/>
          <w:szCs w:val="24"/>
          <w:highlight w:val="none"/>
        </w:rPr>
        <w:t>清洁生产审核报告》，内容包含项目概况、审核过程、基础数据、分析结论、清洁生产方案清单、实施计划、效益预测、持续清洁生产建议等，报告需通过行业专家评审及相关主管部门备案。</w:t>
      </w:r>
    </w:p>
    <w:p w14:paraId="2F2D4C6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审核跟踪：全程跟踪清洁生产方案实施过程，及时调整优化方案，确保审核成果与实施无缝衔接。</w:t>
      </w:r>
    </w:p>
    <w:p w14:paraId="254551AF">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（二）</w:t>
      </w:r>
      <w:r>
        <w:rPr>
          <w:rFonts w:hint="eastAsia" w:asciiTheme="minorEastAsia" w:hAnsiTheme="minorEastAsia" w:eastAsiaTheme="minorEastAsia" w:cstheme="minorEastAsia"/>
          <w:b/>
          <w:bCs/>
          <w:sz w:val="24"/>
          <w:szCs w:val="24"/>
          <w:highlight w:val="none"/>
        </w:rPr>
        <w:t>服务要求</w:t>
      </w:r>
    </w:p>
    <w:p w14:paraId="6473604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本项目配备的项目管理、审核人员须为本单位正式员工，提供投标截止前 6 个月内本单位为其缴纳的社保缴存证明，且无不良从业记录</w:t>
      </w:r>
      <w:r>
        <w:rPr>
          <w:rFonts w:hint="eastAsia" w:asciiTheme="minorEastAsia" w:hAnsiTheme="minorEastAsia" w:eastAsiaTheme="minorEastAsia" w:cstheme="minorEastAsia"/>
          <w:sz w:val="24"/>
          <w:szCs w:val="24"/>
          <w:highlight w:val="none"/>
          <w:lang w:eastAsia="zh-CN"/>
        </w:rPr>
        <w:t>；</w:t>
      </w:r>
    </w:p>
    <w:p w14:paraId="70EBCC7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2.供应商拟派至少1名</w:t>
      </w:r>
      <w:r>
        <w:rPr>
          <w:rFonts w:hint="eastAsia" w:asciiTheme="minorEastAsia" w:hAnsiTheme="minorEastAsia" w:eastAsiaTheme="minorEastAsia" w:cstheme="minorEastAsia"/>
          <w:sz w:val="24"/>
          <w:szCs w:val="24"/>
          <w:highlight w:val="none"/>
        </w:rPr>
        <w:t>项目负责人</w:t>
      </w:r>
      <w:r>
        <w:rPr>
          <w:rFonts w:hint="eastAsia" w:asciiTheme="minorEastAsia" w:hAnsiTheme="minorEastAsia" w:eastAsiaTheme="minorEastAsia" w:cstheme="minorEastAsia"/>
          <w:sz w:val="24"/>
          <w:szCs w:val="24"/>
          <w:highlight w:val="none"/>
          <w:lang w:eastAsia="zh-CN"/>
        </w:rPr>
        <w:t>，具备环保相关专业高级技术职称证书</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至少主导过1家以上医疗机构清洁生产审核案例（提供相关证明材料）；</w:t>
      </w:r>
    </w:p>
    <w:p w14:paraId="49CC850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3.供应商拟派至少2名</w:t>
      </w:r>
      <w:r>
        <w:rPr>
          <w:rFonts w:hint="eastAsia" w:asciiTheme="minorEastAsia" w:hAnsiTheme="minorEastAsia" w:eastAsiaTheme="minorEastAsia" w:cstheme="minorEastAsia"/>
          <w:sz w:val="24"/>
          <w:szCs w:val="24"/>
          <w:highlight w:val="none"/>
        </w:rPr>
        <w:t>环保</w:t>
      </w:r>
      <w:r>
        <w:rPr>
          <w:rFonts w:hint="eastAsia" w:asciiTheme="minorEastAsia" w:hAnsiTheme="minorEastAsia" w:eastAsiaTheme="minorEastAsia" w:cstheme="minorEastAsia"/>
          <w:sz w:val="24"/>
          <w:szCs w:val="24"/>
          <w:highlight w:val="none"/>
          <w:lang w:val="en-US" w:eastAsia="zh-CN"/>
        </w:rPr>
        <w:t>或</w:t>
      </w:r>
      <w:r>
        <w:rPr>
          <w:rFonts w:hint="eastAsia" w:asciiTheme="minorEastAsia" w:hAnsiTheme="minorEastAsia" w:eastAsiaTheme="minorEastAsia" w:cstheme="minorEastAsia"/>
          <w:sz w:val="24"/>
          <w:szCs w:val="24"/>
          <w:highlight w:val="none"/>
        </w:rPr>
        <w:t>化工</w:t>
      </w:r>
      <w:r>
        <w:rPr>
          <w:rFonts w:hint="eastAsia" w:asciiTheme="minorEastAsia" w:hAnsiTheme="minorEastAsia" w:eastAsiaTheme="minorEastAsia" w:cstheme="minorEastAsia"/>
          <w:sz w:val="24"/>
          <w:szCs w:val="24"/>
          <w:highlight w:val="none"/>
          <w:lang w:val="en-US" w:eastAsia="zh-CN"/>
        </w:rPr>
        <w:t>或</w:t>
      </w:r>
      <w:r>
        <w:rPr>
          <w:rFonts w:hint="eastAsia" w:asciiTheme="minorEastAsia" w:hAnsiTheme="minorEastAsia" w:eastAsiaTheme="minorEastAsia" w:cstheme="minorEastAsia"/>
          <w:sz w:val="24"/>
          <w:szCs w:val="24"/>
          <w:highlight w:val="none"/>
        </w:rPr>
        <w:t>节能等相关专业</w:t>
      </w:r>
      <w:r>
        <w:rPr>
          <w:rFonts w:hint="eastAsia" w:asciiTheme="minorEastAsia" w:hAnsiTheme="minorEastAsia" w:eastAsiaTheme="minorEastAsia" w:cstheme="minorEastAsia"/>
          <w:sz w:val="24"/>
          <w:szCs w:val="24"/>
          <w:highlight w:val="none"/>
          <w:lang w:val="en-US" w:eastAsia="zh-CN"/>
        </w:rPr>
        <w:t>的</w:t>
      </w:r>
      <w:r>
        <w:rPr>
          <w:rFonts w:hint="eastAsia" w:asciiTheme="minorEastAsia" w:hAnsiTheme="minorEastAsia" w:eastAsiaTheme="minorEastAsia" w:cstheme="minorEastAsia"/>
          <w:sz w:val="24"/>
          <w:szCs w:val="24"/>
          <w:highlight w:val="none"/>
        </w:rPr>
        <w:t>审核成员，均</w:t>
      </w:r>
      <w:r>
        <w:rPr>
          <w:rFonts w:hint="eastAsia" w:asciiTheme="minorEastAsia" w:hAnsiTheme="minorEastAsia" w:eastAsiaTheme="minorEastAsia" w:cstheme="minorEastAsia"/>
          <w:sz w:val="24"/>
          <w:szCs w:val="24"/>
          <w:highlight w:val="none"/>
          <w:lang w:val="en-US" w:eastAsia="zh-CN"/>
        </w:rPr>
        <w:t>具备清洁生产审核师培训合格证书（或结业证书）</w:t>
      </w:r>
      <w:r>
        <w:rPr>
          <w:rFonts w:hint="eastAsia" w:asciiTheme="minorEastAsia" w:hAnsiTheme="minorEastAsia" w:eastAsiaTheme="minorEastAsia" w:cstheme="minorEastAsia"/>
          <w:sz w:val="24"/>
          <w:szCs w:val="24"/>
          <w:highlight w:val="none"/>
        </w:rPr>
        <w:t>，具备医疗卫生行业审核经验</w:t>
      </w:r>
      <w:r>
        <w:rPr>
          <w:rFonts w:hint="eastAsia" w:asciiTheme="minorEastAsia" w:hAnsiTheme="minorEastAsia" w:eastAsiaTheme="minorEastAsia" w:cstheme="minorEastAsia"/>
          <w:sz w:val="24"/>
          <w:szCs w:val="24"/>
          <w:highlight w:val="none"/>
          <w:lang w:eastAsia="zh-CN"/>
        </w:rPr>
        <w:t>；</w:t>
      </w:r>
    </w:p>
    <w:p w14:paraId="37F3184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rPr>
        <w:t>清洁生产培训服务</w:t>
      </w:r>
      <w:r>
        <w:rPr>
          <w:rFonts w:hint="eastAsia" w:asciiTheme="minorEastAsia" w:hAnsiTheme="minorEastAsia" w:eastAsiaTheme="minorEastAsia" w:cstheme="minorEastAsia"/>
          <w:sz w:val="24"/>
          <w:szCs w:val="24"/>
          <w:highlight w:val="none"/>
          <w:lang w:val="en-US" w:eastAsia="zh-CN"/>
        </w:rPr>
        <w:t>要求</w:t>
      </w:r>
      <w:r>
        <w:rPr>
          <w:rFonts w:hint="eastAsia" w:asciiTheme="minorEastAsia" w:hAnsiTheme="minorEastAsia" w:eastAsiaTheme="minorEastAsia" w:cstheme="minorEastAsia"/>
          <w:sz w:val="24"/>
          <w:szCs w:val="24"/>
          <w:highlight w:val="none"/>
        </w:rPr>
        <w:t>：分阶段开展培训，审核阶段开展基础认知培训，施工阶段开展操作技能培训，验收阶段开展长效管理培训；培训对象覆盖医院管理层、医护人员、后勤人员、施工人员；培训方式采用 “线上+ 线下”“理论 + 实操”结合，包括专家授课、案例分析、现场指导、考核测试等，考核合格率≥90%，确保相关人员掌握清洁生产基本知识、操作技能和管理要求。</w:t>
      </w:r>
    </w:p>
    <w:p w14:paraId="1100871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center"/>
        <w:textAlignment w:val="baseline"/>
        <w:rPr>
          <w:rFonts w:hint="eastAsia" w:ascii="宋体" w:hAnsi="宋体" w:eastAsia="宋体" w:cs="宋体"/>
          <w:b/>
          <w:color w:val="000000"/>
          <w:sz w:val="24"/>
          <w:highlight w:val="none"/>
        </w:rPr>
      </w:pP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rPr>
        <w:t>持续改进服务</w:t>
      </w:r>
      <w:r>
        <w:rPr>
          <w:rFonts w:hint="eastAsia" w:asciiTheme="minorEastAsia" w:hAnsiTheme="minorEastAsia" w:eastAsiaTheme="minorEastAsia" w:cstheme="minorEastAsia"/>
          <w:sz w:val="24"/>
          <w:szCs w:val="24"/>
          <w:highlight w:val="none"/>
          <w:lang w:val="en-US" w:eastAsia="zh-CN"/>
        </w:rPr>
        <w:t>要求</w:t>
      </w:r>
      <w:r>
        <w:rPr>
          <w:rFonts w:hint="eastAsia" w:asciiTheme="minorEastAsia" w:hAnsiTheme="minorEastAsia" w:eastAsiaTheme="minorEastAsia" w:cstheme="minorEastAsia"/>
          <w:sz w:val="24"/>
          <w:szCs w:val="24"/>
          <w:highlight w:val="none"/>
        </w:rPr>
        <w:t>：项目验收后，提供</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年的清洁生产持续改进技术支持；每季度对医院清洁生产工作进行跟踪检查，分析资源能源消耗、污染物排放数据，评估清洁生产目标完成情况；识别新的清洁生产潜力，提出优化建议；协助医院开展清洁生产绩效评价，及时调整完善管理制度和操作规程，确保清洁生产工作常态化、持续化推进，实现 “节能、降耗、减污、增效” 的长期目标。</w:t>
      </w:r>
    </w:p>
    <w:p w14:paraId="26696FF8">
      <w:pPr>
        <w:pStyle w:val="90"/>
        <w:keepLines w:val="0"/>
        <w:pageBreakBefore w:val="0"/>
        <w:kinsoku/>
        <w:wordWrap w:val="0"/>
        <w:overflowPunct/>
        <w:topLinePunct w:val="0"/>
        <w:autoSpaceDE/>
        <w:autoSpaceDN/>
        <w:bidi w:val="0"/>
        <w:adjustRightInd/>
        <w:snapToGrid/>
        <w:spacing w:before="0" w:after="0" w:line="360" w:lineRule="auto"/>
        <w:ind w:left="0" w:right="0" w:firstLine="480"/>
        <w:textAlignment w:val="auto"/>
        <w:rPr>
          <w:rFonts w:hint="eastAsia" w:ascii="宋体" w:hAnsi="宋体" w:eastAsia="宋体" w:cs="宋体"/>
          <w:highlight w:val="none"/>
        </w:rPr>
      </w:pPr>
      <w:r>
        <w:rPr>
          <w:rFonts w:hint="eastAsia" w:ascii="宋体" w:hAnsi="宋体" w:eastAsia="宋体" w:cs="宋体"/>
          <w:b/>
          <w:color w:val="000000"/>
          <w:sz w:val="24"/>
          <w:highlight w:val="none"/>
        </w:rPr>
        <w:t>三、商务要求：</w:t>
      </w:r>
    </w:p>
    <w:p w14:paraId="336229BE">
      <w:pPr>
        <w:pStyle w:val="90"/>
        <w:keepLines w:val="0"/>
        <w:pageBreakBefore w:val="0"/>
        <w:kinsoku/>
        <w:wordWrap w:val="0"/>
        <w:overflowPunct/>
        <w:topLinePunct w:val="0"/>
        <w:autoSpaceDE/>
        <w:autoSpaceDN/>
        <w:bidi w:val="0"/>
        <w:adjustRightInd/>
        <w:snapToGrid/>
        <w:spacing w:before="0" w:after="0" w:line="360" w:lineRule="auto"/>
        <w:ind w:left="0" w:right="0" w:firstLine="480"/>
        <w:textAlignment w:val="auto"/>
        <w:rPr>
          <w:rFonts w:hint="eastAsia" w:ascii="宋体" w:hAnsi="宋体" w:eastAsia="宋体" w:cs="宋体"/>
          <w:highlight w:val="none"/>
          <w:lang w:eastAsia="zh-CN"/>
        </w:rPr>
      </w:pPr>
      <w:r>
        <w:rPr>
          <w:rFonts w:hint="eastAsia" w:ascii="宋体" w:hAnsi="宋体" w:eastAsia="宋体" w:cs="宋体"/>
          <w:b/>
          <w:color w:val="000000"/>
          <w:sz w:val="24"/>
          <w:highlight w:val="none"/>
        </w:rPr>
        <w:t>（一）服务期限及服务地点</w:t>
      </w:r>
      <w:r>
        <w:rPr>
          <w:rFonts w:hint="eastAsia" w:cs="宋体"/>
          <w:b/>
          <w:color w:val="000000"/>
          <w:sz w:val="24"/>
          <w:highlight w:val="none"/>
          <w:lang w:eastAsia="zh-CN"/>
        </w:rPr>
        <w:t>：</w:t>
      </w:r>
    </w:p>
    <w:p w14:paraId="5C623DD6">
      <w:pPr>
        <w:pStyle w:val="90"/>
        <w:keepNext w:val="0"/>
        <w:keepLines w:val="0"/>
        <w:pageBreakBefore w:val="0"/>
        <w:widowControl/>
        <w:kinsoku/>
        <w:wordWrap w:val="0"/>
        <w:overflowPunct/>
        <w:topLinePunct w:val="0"/>
        <w:autoSpaceDE/>
        <w:autoSpaceDN/>
        <w:bidi w:val="0"/>
        <w:adjustRightInd/>
        <w:snapToGrid/>
        <w:spacing w:before="0" w:after="0" w:line="360" w:lineRule="auto"/>
        <w:ind w:left="0" w:right="0" w:firstLine="480"/>
        <w:textAlignment w:val="auto"/>
        <w:rPr>
          <w:rFonts w:hint="eastAsia" w:ascii="宋体" w:hAnsi="宋体" w:eastAsia="宋体" w:cs="宋体"/>
          <w:highlight w:val="none"/>
        </w:rPr>
      </w:pPr>
      <w:r>
        <w:rPr>
          <w:rFonts w:hint="eastAsia" w:cs="宋体"/>
          <w:color w:val="000000"/>
          <w:sz w:val="24"/>
          <w:highlight w:val="none"/>
          <w:lang w:val="en-US" w:eastAsia="zh-CN"/>
        </w:rPr>
        <w:t>1.</w:t>
      </w:r>
      <w:r>
        <w:rPr>
          <w:rFonts w:hint="eastAsia" w:ascii="宋体" w:hAnsi="宋体" w:eastAsia="宋体" w:cs="宋体"/>
          <w:color w:val="000000"/>
          <w:sz w:val="24"/>
          <w:highlight w:val="none"/>
        </w:rPr>
        <w:t>服务期限：</w:t>
      </w:r>
      <w:r>
        <w:rPr>
          <w:rFonts w:hint="eastAsia" w:cs="宋体"/>
          <w:sz w:val="24"/>
          <w:szCs w:val="24"/>
          <w:highlight w:val="none"/>
          <w:lang w:eastAsia="zh-CN"/>
        </w:rPr>
        <w:t>自合同签订之日起至项目验收合格之</w:t>
      </w:r>
      <w:r>
        <w:rPr>
          <w:rFonts w:hint="eastAsia" w:asciiTheme="minorEastAsia" w:hAnsiTheme="minorEastAsia" w:eastAsiaTheme="minorEastAsia" w:cstheme="minorEastAsia"/>
          <w:sz w:val="24"/>
          <w:szCs w:val="24"/>
          <w:highlight w:val="none"/>
          <w:lang w:eastAsia="zh-CN"/>
        </w:rPr>
        <w:t>日止</w:t>
      </w:r>
      <w:r>
        <w:rPr>
          <w:rFonts w:hint="eastAsia" w:asciiTheme="minorEastAsia" w:hAnsiTheme="minorEastAsia" w:eastAsiaTheme="minorEastAsia" w:cstheme="minorEastAsia"/>
          <w:sz w:val="24"/>
          <w:szCs w:val="24"/>
          <w:highlight w:val="none"/>
          <w:lang w:val="en-US" w:eastAsia="zh-CN"/>
        </w:rPr>
        <w:t>。其中，合同签订之日起3个月内完成经专家评审审核通过的高中低价整改方案；整改完成后3个月内完成专家验收并出具验收报告并取得政府验收批复。</w:t>
      </w:r>
    </w:p>
    <w:p w14:paraId="6664F3E7">
      <w:pPr>
        <w:pStyle w:val="90"/>
        <w:keepNext w:val="0"/>
        <w:keepLines w:val="0"/>
        <w:pageBreakBefore w:val="0"/>
        <w:widowControl/>
        <w:kinsoku/>
        <w:wordWrap w:val="0"/>
        <w:overflowPunct/>
        <w:topLinePunct w:val="0"/>
        <w:autoSpaceDE/>
        <w:autoSpaceDN/>
        <w:bidi w:val="0"/>
        <w:adjustRightInd/>
        <w:snapToGrid/>
        <w:spacing w:before="0" w:after="0" w:line="360" w:lineRule="auto"/>
        <w:ind w:left="0" w:right="0" w:firstLine="480"/>
        <w:textAlignment w:val="auto"/>
        <w:rPr>
          <w:rFonts w:hint="eastAsia" w:ascii="宋体" w:hAnsi="宋体" w:eastAsia="宋体" w:cs="宋体"/>
          <w:highlight w:val="none"/>
          <w:lang w:eastAsia="zh-CN"/>
        </w:rPr>
      </w:pPr>
      <w:r>
        <w:rPr>
          <w:rFonts w:hint="eastAsia" w:ascii="宋体" w:hAnsi="宋体" w:eastAsia="宋体" w:cs="宋体"/>
          <w:color w:val="000000"/>
          <w:sz w:val="24"/>
          <w:highlight w:val="none"/>
        </w:rPr>
        <w:t>2.服务地点：</w:t>
      </w:r>
      <w:r>
        <w:rPr>
          <w:rFonts w:ascii="宋体" w:hAnsi="宋体" w:eastAsia="宋体" w:cs="宋体"/>
          <w:spacing w:val="-2"/>
          <w:sz w:val="24"/>
          <w:szCs w:val="24"/>
          <w:highlight w:val="none"/>
        </w:rPr>
        <w:t>陕西省肿瘤医院指定地点</w:t>
      </w:r>
      <w:r>
        <w:rPr>
          <w:rFonts w:hint="eastAsia" w:ascii="宋体" w:hAnsi="宋体" w:eastAsia="宋体" w:cs="宋体"/>
          <w:spacing w:val="-2"/>
          <w:sz w:val="24"/>
          <w:szCs w:val="24"/>
          <w:highlight w:val="none"/>
          <w:lang w:eastAsia="zh-CN"/>
        </w:rPr>
        <w:t>。</w:t>
      </w:r>
    </w:p>
    <w:p w14:paraId="17C0321B">
      <w:pPr>
        <w:pStyle w:val="90"/>
        <w:keepNext w:val="0"/>
        <w:keepLines w:val="0"/>
        <w:pageBreakBefore w:val="0"/>
        <w:widowControl/>
        <w:kinsoku/>
        <w:wordWrap w:val="0"/>
        <w:overflowPunct/>
        <w:topLinePunct w:val="0"/>
        <w:autoSpaceDE/>
        <w:autoSpaceDN/>
        <w:bidi w:val="0"/>
        <w:adjustRightInd/>
        <w:snapToGrid/>
        <w:spacing w:before="0" w:after="0" w:line="360" w:lineRule="auto"/>
        <w:ind w:left="0" w:right="0" w:firstLine="480"/>
        <w:textAlignment w:val="auto"/>
        <w:rPr>
          <w:rFonts w:hint="eastAsia" w:ascii="宋体" w:hAnsi="宋体" w:eastAsia="宋体" w:cs="宋体"/>
          <w:highlight w:val="none"/>
          <w:lang w:eastAsia="zh-CN"/>
        </w:rPr>
      </w:pPr>
      <w:r>
        <w:rPr>
          <w:rFonts w:hint="eastAsia" w:ascii="宋体" w:hAnsi="宋体" w:eastAsia="宋体" w:cs="宋体"/>
          <w:b/>
          <w:color w:val="000000"/>
          <w:sz w:val="24"/>
          <w:highlight w:val="none"/>
        </w:rPr>
        <w:t>（二）质量</w:t>
      </w:r>
      <w:r>
        <w:rPr>
          <w:rFonts w:hint="eastAsia" w:ascii="宋体" w:hAnsi="宋体" w:eastAsia="宋体" w:cs="宋体"/>
          <w:b/>
          <w:color w:val="000000"/>
          <w:sz w:val="24"/>
          <w:highlight w:val="none"/>
          <w:lang w:val="en-US" w:eastAsia="zh-CN"/>
        </w:rPr>
        <w:t>要求</w:t>
      </w:r>
      <w:r>
        <w:rPr>
          <w:rFonts w:hint="eastAsia" w:ascii="宋体" w:hAnsi="宋体" w:eastAsia="宋体" w:cs="宋体"/>
          <w:b w:val="0"/>
          <w:bCs/>
          <w:color w:val="000000"/>
          <w:sz w:val="24"/>
          <w:highlight w:val="none"/>
        </w:rPr>
        <w:t>：</w:t>
      </w:r>
      <w:r>
        <w:rPr>
          <w:rFonts w:hint="eastAsia" w:cs="宋体"/>
          <w:color w:val="000000"/>
          <w:sz w:val="24"/>
          <w:szCs w:val="24"/>
          <w:highlight w:val="none"/>
          <w:lang w:eastAsia="zh-CN"/>
        </w:rPr>
        <w:t>合格，符合国家强制性规范及采购人要求。</w:t>
      </w:r>
    </w:p>
    <w:p w14:paraId="69201A81">
      <w:pPr>
        <w:pStyle w:val="90"/>
        <w:keepNext w:val="0"/>
        <w:keepLines w:val="0"/>
        <w:pageBreakBefore w:val="0"/>
        <w:widowControl/>
        <w:kinsoku/>
        <w:wordWrap w:val="0"/>
        <w:overflowPunct/>
        <w:topLinePunct w:val="0"/>
        <w:autoSpaceDE/>
        <w:autoSpaceDN/>
        <w:bidi w:val="0"/>
        <w:adjustRightInd/>
        <w:snapToGrid/>
        <w:spacing w:before="0" w:after="0" w:line="360" w:lineRule="auto"/>
        <w:ind w:left="0" w:right="0" w:firstLine="482"/>
        <w:textAlignment w:val="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（三）付款方式</w:t>
      </w:r>
      <w:r>
        <w:rPr>
          <w:rFonts w:hint="eastAsia" w:ascii="宋体" w:hAnsi="宋体" w:eastAsia="宋体" w:cs="宋体"/>
          <w:color w:val="000000"/>
          <w:sz w:val="24"/>
          <w:highlight w:val="none"/>
        </w:rPr>
        <w:t>：</w:t>
      </w:r>
    </w:p>
    <w:p w14:paraId="71BA6A50">
      <w:pPr>
        <w:pStyle w:val="90"/>
        <w:keepNext w:val="0"/>
        <w:keepLines w:val="0"/>
        <w:pageBreakBefore w:val="0"/>
        <w:widowControl/>
        <w:kinsoku/>
        <w:wordWrap w:val="0"/>
        <w:overflowPunct/>
        <w:topLinePunct w:val="0"/>
        <w:autoSpaceDE/>
        <w:autoSpaceDN/>
        <w:bidi w:val="0"/>
        <w:adjustRightInd/>
        <w:snapToGrid/>
        <w:spacing w:before="0" w:after="0" w:line="360" w:lineRule="auto"/>
        <w:ind w:left="0" w:right="0" w:firstLine="482"/>
        <w:textAlignment w:val="auto"/>
        <w:rPr>
          <w:rFonts w:hint="default" w:ascii="宋体" w:hAnsi="宋体" w:eastAsia="宋体" w:cs="宋体"/>
          <w:color w:val="000000"/>
          <w:sz w:val="24"/>
          <w:highlight w:val="none"/>
          <w:lang w:val="en-US" w:eastAsia="zh-CN"/>
        </w:rPr>
      </w:pPr>
      <w:r>
        <w:rPr>
          <w:rFonts w:hint="eastAsia" w:cs="宋体"/>
          <w:color w:val="000000"/>
          <w:sz w:val="24"/>
          <w:highlight w:val="none"/>
          <w:lang w:val="en-US" w:eastAsia="zh-CN"/>
        </w:rPr>
        <w:t>1.付款方式：合同签订后10个工作日内，采购人向成交供应商支付合同金额的支付合同总金额30%；成交供应商</w:t>
      </w:r>
      <w:r>
        <w:rPr>
          <w:rFonts w:hint="eastAsia" w:cs="宋体"/>
          <w:color w:val="auto"/>
          <w:sz w:val="24"/>
          <w:highlight w:val="none"/>
          <w:lang w:val="en-US" w:eastAsia="zh-CN"/>
        </w:rPr>
        <w:t>高中低价整改方案</w:t>
      </w:r>
      <w:r>
        <w:rPr>
          <w:rFonts w:hint="eastAsia" w:cs="宋体"/>
          <w:color w:val="000000"/>
          <w:sz w:val="24"/>
          <w:highlight w:val="none"/>
          <w:lang w:val="en-US" w:eastAsia="zh-CN"/>
        </w:rPr>
        <w:t>通过专家评估后20个日历日内，采购人向成交供应商支付合同金额的支付合同总金额30%；</w:t>
      </w:r>
      <w:r>
        <w:rPr>
          <w:rFonts w:hint="eastAsia" w:cs="宋体"/>
          <w:color w:val="auto"/>
          <w:sz w:val="24"/>
          <w:highlight w:val="none"/>
          <w:lang w:val="en-US" w:eastAsia="zh-CN"/>
        </w:rPr>
        <w:t>整改完成后成交供应商通过专家验收出具验收报告并取得政府验收批复后</w:t>
      </w:r>
      <w:r>
        <w:rPr>
          <w:rFonts w:hint="eastAsia" w:cs="宋体"/>
          <w:color w:val="000000"/>
          <w:sz w:val="24"/>
          <w:highlight w:val="none"/>
          <w:lang w:val="en-US" w:eastAsia="zh-CN"/>
        </w:rPr>
        <w:t>30个日历日内支付剩余合同的40%。</w:t>
      </w:r>
    </w:p>
    <w:p w14:paraId="654816C0">
      <w:pPr>
        <w:pStyle w:val="90"/>
        <w:keepNext w:val="0"/>
        <w:keepLines w:val="0"/>
        <w:pageBreakBefore w:val="0"/>
        <w:widowControl/>
        <w:kinsoku/>
        <w:wordWrap w:val="0"/>
        <w:overflowPunct/>
        <w:topLinePunct w:val="0"/>
        <w:autoSpaceDE/>
        <w:autoSpaceDN/>
        <w:bidi w:val="0"/>
        <w:adjustRightInd/>
        <w:snapToGrid/>
        <w:spacing w:before="0" w:after="0" w:line="360" w:lineRule="auto"/>
        <w:ind w:left="0" w:right="0" w:firstLine="482"/>
        <w:textAlignment w:val="auto"/>
        <w:rPr>
          <w:rFonts w:hint="eastAsia" w:ascii="宋体" w:hAnsi="宋体" w:eastAsia="宋体" w:cs="宋体"/>
          <w:color w:val="000000"/>
          <w:sz w:val="24"/>
          <w:highlight w:val="none"/>
          <w:lang w:eastAsia="zh-CN"/>
        </w:rPr>
      </w:pPr>
      <w:r>
        <w:rPr>
          <w:rFonts w:hint="eastAsia" w:cs="宋体"/>
          <w:color w:val="000000"/>
          <w:sz w:val="24"/>
          <w:highlight w:val="none"/>
          <w:lang w:val="en-US" w:eastAsia="zh-CN"/>
        </w:rPr>
        <w:t>2.支付方式：</w:t>
      </w:r>
      <w:r>
        <w:rPr>
          <w:rFonts w:hint="eastAsia" w:ascii="宋体" w:hAnsi="宋体" w:eastAsia="宋体" w:cs="宋体"/>
          <w:color w:val="000000"/>
          <w:sz w:val="24"/>
          <w:highlight w:val="none"/>
          <w:lang w:eastAsia="zh-CN"/>
        </w:rPr>
        <w:t>银行转账。</w:t>
      </w:r>
    </w:p>
    <w:p w14:paraId="04FA8960">
      <w:pPr>
        <w:pStyle w:val="90"/>
        <w:keepNext w:val="0"/>
        <w:keepLines w:val="0"/>
        <w:pageBreakBefore w:val="0"/>
        <w:widowControl/>
        <w:kinsoku/>
        <w:wordWrap w:val="0"/>
        <w:overflowPunct/>
        <w:topLinePunct w:val="0"/>
        <w:autoSpaceDE/>
        <w:autoSpaceDN/>
        <w:bidi w:val="0"/>
        <w:adjustRightInd/>
        <w:snapToGrid/>
        <w:spacing w:before="0" w:after="0" w:line="360" w:lineRule="auto"/>
        <w:ind w:left="479" w:leftChars="228" w:right="0" w:firstLine="67" w:firstLineChars="28"/>
        <w:textAlignment w:val="auto"/>
        <w:rPr>
          <w:rFonts w:hint="eastAsia" w:cs="宋体"/>
          <w:b w:val="0"/>
          <w:bCs/>
          <w:color w:val="000000"/>
          <w:sz w:val="24"/>
          <w:highlight w:val="none"/>
          <w:lang w:eastAsia="zh-CN"/>
        </w:rPr>
      </w:pPr>
      <w:r>
        <w:rPr>
          <w:rFonts w:hint="eastAsia" w:cs="宋体"/>
          <w:b/>
          <w:color w:val="000000"/>
          <w:sz w:val="24"/>
          <w:highlight w:val="none"/>
          <w:lang w:eastAsia="zh-CN"/>
        </w:rPr>
        <w:t>（四）</w:t>
      </w:r>
      <w:r>
        <w:rPr>
          <w:rFonts w:hint="eastAsia" w:ascii="宋体" w:hAnsi="宋体" w:eastAsia="宋体" w:cs="宋体"/>
          <w:b/>
          <w:color w:val="000000"/>
          <w:sz w:val="24"/>
          <w:highlight w:val="none"/>
          <w:lang w:eastAsia="zh-CN"/>
        </w:rPr>
        <w:t>履约验收标准</w:t>
      </w:r>
      <w:r>
        <w:rPr>
          <w:rFonts w:hint="eastAsia" w:cs="宋体"/>
          <w:b/>
          <w:color w:val="000000"/>
          <w:sz w:val="24"/>
          <w:highlight w:val="none"/>
          <w:lang w:eastAsia="zh-CN"/>
        </w:rPr>
        <w:br w:type="textWrapping"/>
      </w:r>
      <w:r>
        <w:rPr>
          <w:rFonts w:hint="eastAsia" w:cs="宋体"/>
          <w:b w:val="0"/>
          <w:bCs/>
          <w:color w:val="000000"/>
          <w:sz w:val="24"/>
          <w:highlight w:val="none"/>
          <w:lang w:eastAsia="zh-CN"/>
        </w:rPr>
        <w:t>1.</w:t>
      </w:r>
      <w:r>
        <w:rPr>
          <w:rFonts w:hint="eastAsia" w:cs="宋体"/>
          <w:color w:val="000000"/>
          <w:sz w:val="24"/>
          <w:highlight w:val="none"/>
          <w:lang w:val="en-US" w:eastAsia="zh-CN"/>
        </w:rPr>
        <w:t>成交供应商</w:t>
      </w:r>
      <w:r>
        <w:rPr>
          <w:rFonts w:hint="eastAsia" w:cs="宋体"/>
          <w:b w:val="0"/>
          <w:bCs/>
          <w:color w:val="000000"/>
          <w:sz w:val="24"/>
          <w:highlight w:val="none"/>
          <w:lang w:eastAsia="zh-CN"/>
        </w:rPr>
        <w:t>按照合同要求完成全部技术服务内容，交付完整、符合规范的</w:t>
      </w:r>
    </w:p>
    <w:p w14:paraId="121C2B3A">
      <w:pPr>
        <w:pStyle w:val="90"/>
        <w:keepNext w:val="0"/>
        <w:keepLines w:val="0"/>
        <w:pageBreakBefore w:val="0"/>
        <w:widowControl/>
        <w:kinsoku/>
        <w:wordWrap w:val="0"/>
        <w:overflowPunct/>
        <w:topLinePunct w:val="0"/>
        <w:autoSpaceDE/>
        <w:autoSpaceDN/>
        <w:bidi w:val="0"/>
        <w:adjustRightInd/>
        <w:snapToGrid/>
        <w:spacing w:before="0" w:after="0" w:line="360" w:lineRule="auto"/>
        <w:ind w:right="0"/>
        <w:textAlignment w:val="auto"/>
        <w:rPr>
          <w:rFonts w:hint="eastAsia" w:cs="宋体"/>
          <w:b w:val="0"/>
          <w:bCs/>
          <w:color w:val="000000"/>
          <w:sz w:val="24"/>
          <w:highlight w:val="none"/>
          <w:lang w:eastAsia="zh-CN"/>
        </w:rPr>
      </w:pPr>
      <w:r>
        <w:rPr>
          <w:rFonts w:hint="eastAsia" w:cs="宋体"/>
          <w:b w:val="0"/>
          <w:bCs/>
          <w:color w:val="000000"/>
          <w:sz w:val="24"/>
          <w:highlight w:val="none"/>
          <w:lang w:eastAsia="zh-CN"/>
        </w:rPr>
        <w:t>成果资料；</w:t>
      </w:r>
    </w:p>
    <w:p w14:paraId="5D55306E">
      <w:pPr>
        <w:pStyle w:val="90"/>
        <w:keepNext w:val="0"/>
        <w:keepLines w:val="0"/>
        <w:pageBreakBefore w:val="0"/>
        <w:widowControl/>
        <w:kinsoku/>
        <w:wordWrap w:val="0"/>
        <w:overflowPunct/>
        <w:topLinePunct w:val="0"/>
        <w:autoSpaceDE/>
        <w:autoSpaceDN/>
        <w:bidi w:val="0"/>
        <w:adjustRightInd/>
        <w:snapToGrid/>
        <w:spacing w:before="0" w:after="0" w:line="360" w:lineRule="auto"/>
        <w:ind w:left="0" w:right="0" w:firstLine="482"/>
        <w:textAlignment w:val="auto"/>
        <w:rPr>
          <w:rFonts w:hint="eastAsia" w:cs="宋体"/>
          <w:b w:val="0"/>
          <w:bCs/>
          <w:color w:val="000000"/>
          <w:sz w:val="24"/>
          <w:highlight w:val="none"/>
          <w:lang w:eastAsia="zh-CN"/>
        </w:rPr>
      </w:pPr>
      <w:r>
        <w:rPr>
          <w:rFonts w:hint="eastAsia" w:cs="宋体"/>
          <w:b w:val="0"/>
          <w:bCs/>
          <w:color w:val="000000"/>
          <w:sz w:val="24"/>
          <w:highlight w:val="none"/>
          <w:lang w:eastAsia="zh-CN"/>
        </w:rPr>
        <w:t>2.</w:t>
      </w:r>
      <w:r>
        <w:rPr>
          <w:rFonts w:hint="eastAsia" w:cs="宋体"/>
          <w:color w:val="000000"/>
          <w:sz w:val="24"/>
          <w:highlight w:val="none"/>
          <w:lang w:val="en-US" w:eastAsia="zh-CN"/>
        </w:rPr>
        <w:t>成交供应商</w:t>
      </w:r>
      <w:r>
        <w:rPr>
          <w:rFonts w:hint="eastAsia" w:cs="宋体"/>
          <w:b w:val="0"/>
          <w:bCs/>
          <w:color w:val="000000"/>
          <w:sz w:val="24"/>
          <w:highlight w:val="none"/>
          <w:lang w:eastAsia="zh-CN"/>
        </w:rPr>
        <w:t>配合主管部门开展方案评估、绩效验收相关评审工作，按照评审意见完成修改完善；</w:t>
      </w:r>
    </w:p>
    <w:p w14:paraId="52FF5133">
      <w:pPr>
        <w:pStyle w:val="90"/>
        <w:keepNext w:val="0"/>
        <w:keepLines w:val="0"/>
        <w:pageBreakBefore w:val="0"/>
        <w:widowControl/>
        <w:kinsoku/>
        <w:wordWrap w:val="0"/>
        <w:overflowPunct/>
        <w:topLinePunct w:val="0"/>
        <w:autoSpaceDE/>
        <w:autoSpaceDN/>
        <w:bidi w:val="0"/>
        <w:adjustRightInd/>
        <w:snapToGrid/>
        <w:spacing w:before="0" w:after="0" w:line="360" w:lineRule="auto"/>
        <w:ind w:left="0" w:right="0" w:firstLine="482"/>
        <w:textAlignment w:val="auto"/>
        <w:rPr>
          <w:rFonts w:hint="eastAsia" w:ascii="宋体" w:hAnsi="宋体" w:eastAsia="宋体" w:cs="宋体"/>
          <w:b w:val="0"/>
          <w:bCs/>
          <w:color w:val="000000"/>
          <w:sz w:val="24"/>
          <w:highlight w:val="none"/>
        </w:rPr>
      </w:pPr>
      <w:r>
        <w:rPr>
          <w:rFonts w:hint="eastAsia" w:cs="宋体"/>
          <w:b w:val="0"/>
          <w:bCs/>
          <w:color w:val="000000"/>
          <w:sz w:val="24"/>
          <w:highlight w:val="none"/>
          <w:lang w:eastAsia="zh-CN"/>
        </w:rPr>
        <w:t>3.项目通过方案评估、绩效验收评审，</w:t>
      </w:r>
      <w:r>
        <w:rPr>
          <w:rFonts w:hint="eastAsia" w:cs="宋体"/>
          <w:b w:val="0"/>
          <w:bCs/>
          <w:color w:val="000000"/>
          <w:sz w:val="24"/>
          <w:highlight w:val="none"/>
          <w:lang w:val="en-US" w:eastAsia="zh-CN"/>
        </w:rPr>
        <w:t>采购人</w:t>
      </w:r>
      <w:r>
        <w:rPr>
          <w:rFonts w:hint="eastAsia" w:cs="宋体"/>
          <w:b w:val="0"/>
          <w:bCs/>
          <w:color w:val="000000"/>
          <w:sz w:val="24"/>
          <w:highlight w:val="none"/>
          <w:lang w:eastAsia="zh-CN"/>
        </w:rPr>
        <w:t>取得</w:t>
      </w:r>
      <w:r>
        <w:rPr>
          <w:rFonts w:hint="eastAsia" w:cs="宋体"/>
          <w:b w:val="0"/>
          <w:bCs/>
          <w:color w:val="000000"/>
          <w:sz w:val="24"/>
          <w:highlight w:val="none"/>
          <w:lang w:val="en-US" w:eastAsia="zh-CN"/>
        </w:rPr>
        <w:t>政府</w:t>
      </w:r>
      <w:r>
        <w:rPr>
          <w:rFonts w:hint="eastAsia" w:cs="宋体"/>
          <w:b w:val="0"/>
          <w:bCs/>
          <w:color w:val="000000"/>
          <w:sz w:val="24"/>
          <w:highlight w:val="none"/>
          <w:lang w:eastAsia="zh-CN"/>
        </w:rPr>
        <w:t>主管部门正式批复文件，视为项目最终验收合格。</w:t>
      </w:r>
    </w:p>
    <w:p w14:paraId="5921AA71">
      <w:pPr>
        <w:pStyle w:val="90"/>
        <w:keepNext w:val="0"/>
        <w:keepLines w:val="0"/>
        <w:pageBreakBefore w:val="0"/>
        <w:widowControl/>
        <w:kinsoku/>
        <w:wordWrap w:val="0"/>
        <w:overflowPunct/>
        <w:topLinePunct w:val="0"/>
        <w:autoSpaceDE/>
        <w:autoSpaceDN/>
        <w:bidi w:val="0"/>
        <w:adjustRightInd/>
        <w:snapToGrid/>
        <w:spacing w:before="0" w:after="0" w:line="360" w:lineRule="auto"/>
        <w:ind w:left="0" w:right="0" w:firstLine="482"/>
        <w:textAlignment w:val="auto"/>
        <w:rPr>
          <w:rFonts w:hint="eastAsia"/>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eastAsia="宋体" w:cs="宋体"/>
          <w:b/>
          <w:color w:val="000000"/>
          <w:sz w:val="24"/>
          <w:highlight w:val="none"/>
        </w:rPr>
        <w:t>（</w:t>
      </w:r>
      <w:r>
        <w:rPr>
          <w:rFonts w:hint="eastAsia" w:cs="宋体"/>
          <w:b/>
          <w:color w:val="000000"/>
          <w:sz w:val="24"/>
          <w:highlight w:val="none"/>
          <w:lang w:eastAsia="zh-CN"/>
        </w:rPr>
        <w:t>五</w:t>
      </w:r>
      <w:r>
        <w:rPr>
          <w:rFonts w:hint="eastAsia" w:ascii="宋体" w:hAnsi="宋体" w:eastAsia="宋体" w:cs="宋体"/>
          <w:b/>
          <w:color w:val="000000"/>
          <w:sz w:val="24"/>
          <w:highlight w:val="none"/>
        </w:rPr>
        <w:t>）知识产权：</w:t>
      </w:r>
      <w:r>
        <w:rPr>
          <w:rFonts w:hint="eastAsia" w:ascii="宋体" w:hAnsi="宋体" w:eastAsia="宋体" w:cs="宋体"/>
          <w:color w:val="000000"/>
          <w:sz w:val="24"/>
          <w:highlight w:val="none"/>
        </w:rPr>
        <w:t>采购人在中华人民共和国境内使用</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提供的服务时免受第三方提出的侵犯其专利权或其它知识产权的起诉。如果第三方提出侵权指控，成交供应商应承担由此而引起的一切法律责任和费用。</w:t>
      </w:r>
      <w:bookmarkStart w:id="387" w:name="_Toc9694"/>
      <w:bookmarkStart w:id="388" w:name="_Toc6154"/>
      <w:bookmarkStart w:id="389" w:name="_Toc159"/>
    </w:p>
    <w:p w14:paraId="3334E500">
      <w:pPr>
        <w:pStyle w:val="2"/>
        <w:bidi w:val="0"/>
        <w:rPr>
          <w:rFonts w:hint="eastAsia"/>
          <w:color w:val="000000"/>
          <w:highlight w:val="none"/>
        </w:rPr>
      </w:pPr>
      <w:r>
        <w:rPr>
          <w:rFonts w:hint="eastAsia"/>
          <w:highlight w:val="none"/>
        </w:rPr>
        <w:t>第四章</w:t>
      </w:r>
      <w:r>
        <w:rPr>
          <w:rFonts w:hint="eastAsia"/>
          <w:highlight w:val="none"/>
          <w:lang w:val="en-US" w:eastAsia="zh-CN"/>
        </w:rPr>
        <w:t xml:space="preserve">  </w:t>
      </w:r>
      <w:r>
        <w:rPr>
          <w:rFonts w:hint="eastAsia"/>
          <w:highlight w:val="none"/>
        </w:rPr>
        <w:t>评审办法</w:t>
      </w:r>
      <w:bookmarkEnd w:id="387"/>
      <w:bookmarkEnd w:id="388"/>
      <w:bookmarkEnd w:id="389"/>
    </w:p>
    <w:p w14:paraId="62A55A3D">
      <w:pPr>
        <w:keepNext w:val="0"/>
        <w:keepLines w:val="0"/>
        <w:pageBreakBefore w:val="0"/>
        <w:widowControl w:val="0"/>
        <w:kinsoku/>
        <w:wordWrap w:val="0"/>
        <w:overflowPunct/>
        <w:topLinePunct w:val="0"/>
        <w:autoSpaceDE/>
        <w:autoSpaceDN/>
        <w:bidi w:val="0"/>
        <w:adjustRightInd w:val="0"/>
        <w:snapToGrid w:val="0"/>
        <w:spacing w:line="360" w:lineRule="auto"/>
        <w:ind w:firstLine="498" w:firstLineChars="200"/>
        <w:textAlignment w:val="auto"/>
        <w:rPr>
          <w:rFonts w:hint="eastAsia" w:ascii="宋体" w:hAnsi="宋体"/>
          <w:b/>
          <w:color w:val="000000"/>
          <w:spacing w:val="4"/>
          <w:sz w:val="24"/>
          <w:highlight w:val="none"/>
        </w:rPr>
      </w:pPr>
      <w:r>
        <w:rPr>
          <w:rFonts w:hint="eastAsia" w:ascii="宋体" w:hAnsi="宋体"/>
          <w:b/>
          <w:color w:val="000000"/>
          <w:spacing w:val="4"/>
          <w:sz w:val="24"/>
          <w:highlight w:val="none"/>
        </w:rPr>
        <w:t>一、评审原则</w:t>
      </w:r>
    </w:p>
    <w:p w14:paraId="4C667F9D">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bCs/>
          <w:color w:val="000000"/>
          <w:spacing w:val="4"/>
          <w:sz w:val="24"/>
          <w:highlight w:val="none"/>
        </w:rPr>
      </w:pPr>
      <w:r>
        <w:rPr>
          <w:rFonts w:hint="eastAsia" w:ascii="宋体" w:hAnsi="宋体"/>
          <w:bCs/>
          <w:color w:val="000000"/>
          <w:spacing w:val="4"/>
          <w:sz w:val="24"/>
          <w:highlight w:val="none"/>
        </w:rPr>
        <w:t>按照《中华人民共和国政府采购法》《中华人民共和国政府采购法实施条例》和《政府采购竞争性磋商采购方式管理暂行办法》等相关法律、法规的规定，磋商小组采用综合评分法对供应商的响应文件进行综合评分，按照评审得分由高到低顺序推荐成交候选人。</w:t>
      </w:r>
    </w:p>
    <w:p w14:paraId="6C208297">
      <w:pPr>
        <w:keepNext w:val="0"/>
        <w:keepLines w:val="0"/>
        <w:pageBreakBefore w:val="0"/>
        <w:widowControl w:val="0"/>
        <w:kinsoku/>
        <w:wordWrap w:val="0"/>
        <w:overflowPunct/>
        <w:topLinePunct w:val="0"/>
        <w:autoSpaceDE/>
        <w:autoSpaceDN/>
        <w:bidi w:val="0"/>
        <w:adjustRightInd w:val="0"/>
        <w:snapToGrid w:val="0"/>
        <w:spacing w:line="360" w:lineRule="auto"/>
        <w:ind w:firstLine="498" w:firstLineChars="200"/>
        <w:textAlignment w:val="auto"/>
        <w:rPr>
          <w:rFonts w:ascii="宋体" w:hAnsi="宋体"/>
          <w:b/>
          <w:color w:val="000000"/>
          <w:spacing w:val="4"/>
          <w:sz w:val="24"/>
          <w:highlight w:val="none"/>
        </w:rPr>
      </w:pPr>
      <w:r>
        <w:rPr>
          <w:rFonts w:hint="eastAsia" w:ascii="宋体" w:hAnsi="宋体"/>
          <w:b/>
          <w:color w:val="000000"/>
          <w:spacing w:val="4"/>
          <w:sz w:val="24"/>
          <w:highlight w:val="none"/>
        </w:rPr>
        <w:t>二、磋商小组负责具体评审事务，并独立履行下列职责：</w:t>
      </w:r>
    </w:p>
    <w:p w14:paraId="51E6BDA0">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1.审查、评价响应文件是否符合竞争性磋商文件的商务、技术等实质性要求；</w:t>
      </w:r>
    </w:p>
    <w:p w14:paraId="5CF08ADF">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2.要求磋商人对响应文件有关事项作出澄清或者说明；</w:t>
      </w:r>
    </w:p>
    <w:p w14:paraId="26A3AD7C">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3.对响应文件进行比较和评价；</w:t>
      </w:r>
    </w:p>
    <w:p w14:paraId="07293B7B">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4.确定成交候选人名单，以及根据采购人委托直接确定成交供应商；</w:t>
      </w:r>
    </w:p>
    <w:p w14:paraId="2CBDA213">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5.向采购人、采购代理机构或者有关部门报告评审中发现的违法行为；</w:t>
      </w:r>
    </w:p>
    <w:p w14:paraId="3190CCF8">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6.履行竞争性磋商文件及其他法律法规要求的职责。</w:t>
      </w:r>
    </w:p>
    <w:p w14:paraId="7FC00766">
      <w:pPr>
        <w:keepNext w:val="0"/>
        <w:keepLines w:val="0"/>
        <w:pageBreakBefore w:val="0"/>
        <w:widowControl w:val="0"/>
        <w:kinsoku/>
        <w:wordWrap w:val="0"/>
        <w:overflowPunct/>
        <w:topLinePunct w:val="0"/>
        <w:autoSpaceDE/>
        <w:autoSpaceDN/>
        <w:bidi w:val="0"/>
        <w:adjustRightInd w:val="0"/>
        <w:snapToGrid w:val="0"/>
        <w:spacing w:line="360" w:lineRule="auto"/>
        <w:ind w:firstLine="498" w:firstLineChars="200"/>
        <w:textAlignment w:val="auto"/>
        <w:rPr>
          <w:rFonts w:hint="eastAsia" w:ascii="宋体" w:hAnsi="宋体"/>
          <w:b/>
          <w:color w:val="000000"/>
          <w:spacing w:val="4"/>
          <w:sz w:val="24"/>
          <w:highlight w:val="none"/>
        </w:rPr>
      </w:pPr>
      <w:r>
        <w:rPr>
          <w:rFonts w:hint="eastAsia" w:ascii="宋体" w:hAnsi="宋体"/>
          <w:b/>
          <w:color w:val="000000"/>
          <w:spacing w:val="4"/>
          <w:sz w:val="24"/>
          <w:highlight w:val="none"/>
        </w:rPr>
        <w:t>三、供应商存在下列情况之一的，按照无效磋商处理：</w:t>
      </w:r>
    </w:p>
    <w:p w14:paraId="6D17B49C">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ascii="宋体" w:hAnsi="宋体"/>
          <w:color w:val="000000"/>
          <w:sz w:val="24"/>
          <w:szCs w:val="24"/>
          <w:highlight w:val="none"/>
        </w:rPr>
      </w:pPr>
      <w:r>
        <w:rPr>
          <w:rFonts w:hint="eastAsia" w:ascii="宋体" w:hAnsi="宋体"/>
          <w:color w:val="000000"/>
          <w:sz w:val="24"/>
          <w:szCs w:val="24"/>
          <w:highlight w:val="none"/>
        </w:rPr>
        <w:t>政府采购法律法规规定的其他无效情形。</w:t>
      </w:r>
    </w:p>
    <w:p w14:paraId="59BEDC22">
      <w:pPr>
        <w:keepNext w:val="0"/>
        <w:keepLines w:val="0"/>
        <w:pageBreakBefore w:val="0"/>
        <w:widowControl w:val="0"/>
        <w:kinsoku/>
        <w:wordWrap w:val="0"/>
        <w:overflowPunct/>
        <w:topLinePunct w:val="0"/>
        <w:autoSpaceDE/>
        <w:autoSpaceDN/>
        <w:bidi w:val="0"/>
        <w:adjustRightInd w:val="0"/>
        <w:snapToGrid w:val="0"/>
        <w:spacing w:line="360" w:lineRule="auto"/>
        <w:ind w:firstLine="498" w:firstLineChars="200"/>
        <w:textAlignment w:val="auto"/>
        <w:rPr>
          <w:rFonts w:hint="eastAsia" w:ascii="宋体" w:hAnsi="宋体"/>
          <w:b/>
          <w:color w:val="000000"/>
          <w:spacing w:val="4"/>
          <w:sz w:val="24"/>
          <w:highlight w:val="none"/>
        </w:rPr>
      </w:pPr>
      <w:r>
        <w:rPr>
          <w:rFonts w:hint="eastAsia" w:ascii="宋体" w:hAnsi="宋体"/>
          <w:b/>
          <w:color w:val="000000"/>
          <w:spacing w:val="4"/>
          <w:sz w:val="24"/>
          <w:highlight w:val="none"/>
        </w:rPr>
        <w:t>四、评审程序</w:t>
      </w:r>
    </w:p>
    <w:p w14:paraId="37AA7CF0">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1.资格审查：</w:t>
      </w:r>
    </w:p>
    <w:p w14:paraId="4BD75AE1">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color w:val="000000"/>
          <w:spacing w:val="4"/>
          <w:sz w:val="24"/>
          <w:szCs w:val="22"/>
          <w:highlight w:val="none"/>
        </w:rPr>
      </w:pPr>
      <w:r>
        <w:rPr>
          <w:rFonts w:hint="eastAsia" w:ascii="宋体" w:hAnsi="宋体" w:cs="宋体"/>
          <w:bCs/>
          <w:color w:val="000000"/>
          <w:spacing w:val="4"/>
          <w:sz w:val="24"/>
          <w:szCs w:val="24"/>
          <w:highlight w:val="none"/>
        </w:rPr>
        <w:t>由采购人或采购人委托的采购代理机构</w:t>
      </w:r>
      <w:r>
        <w:rPr>
          <w:rFonts w:hint="eastAsia" w:ascii="宋体" w:hAnsi="宋体" w:cs="宋体"/>
          <w:color w:val="000000"/>
          <w:spacing w:val="4"/>
          <w:sz w:val="24"/>
          <w:szCs w:val="24"/>
          <w:highlight w:val="none"/>
        </w:rPr>
        <w:t>对各供应商进行资格检查；</w:t>
      </w:r>
      <w:r>
        <w:rPr>
          <w:rFonts w:hint="eastAsia" w:ascii="宋体" w:hAnsi="宋体" w:cs="宋体"/>
          <w:color w:val="000000"/>
          <w:sz w:val="24"/>
          <w:szCs w:val="24"/>
          <w:highlight w:val="none"/>
        </w:rPr>
        <w:t>不具备竞争性磋商文件中规定的资格要求的</w:t>
      </w:r>
      <w:r>
        <w:rPr>
          <w:rFonts w:hint="eastAsia" w:ascii="宋体" w:hAnsi="宋体" w:cs="宋体"/>
          <w:bCs/>
          <w:color w:val="000000"/>
          <w:kern w:val="0"/>
          <w:sz w:val="24"/>
          <w:szCs w:val="24"/>
          <w:highlight w:val="none"/>
        </w:rPr>
        <w:t>，其响应文件将视为无效响应文件</w:t>
      </w:r>
      <w:r>
        <w:rPr>
          <w:rFonts w:hint="eastAsia" w:ascii="宋体" w:hAnsi="宋体"/>
          <w:color w:val="000000"/>
          <w:spacing w:val="4"/>
          <w:sz w:val="24"/>
          <w:szCs w:val="22"/>
          <w:highlight w:val="none"/>
        </w:rPr>
        <w:t>。</w:t>
      </w:r>
    </w:p>
    <w:p w14:paraId="7781BD75">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2.符合性审查</w:t>
      </w:r>
    </w:p>
    <w:p w14:paraId="28BB8D6D">
      <w:pPr>
        <w:keepNext w:val="0"/>
        <w:keepLines w:val="0"/>
        <w:pageBreakBefore w:val="0"/>
        <w:widowControl w:val="0"/>
        <w:kinsoku/>
        <w:wordWrap w:val="0"/>
        <w:overflowPunct/>
        <w:topLinePunct w:val="0"/>
        <w:autoSpaceDE/>
        <w:autoSpaceDN/>
        <w:bidi w:val="0"/>
        <w:adjustRightInd w:val="0"/>
        <w:snapToGrid w:val="0"/>
        <w:spacing w:line="360" w:lineRule="auto"/>
        <w:ind w:firstLine="473" w:firstLineChars="191"/>
        <w:textAlignment w:val="auto"/>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2.1由磋商小组对资格</w:t>
      </w:r>
      <w:r>
        <w:rPr>
          <w:rFonts w:ascii="宋体" w:hAnsi="宋体"/>
          <w:color w:val="000000"/>
          <w:spacing w:val="4"/>
          <w:sz w:val="24"/>
          <w:szCs w:val="22"/>
          <w:highlight w:val="none"/>
        </w:rPr>
        <w:t>检查</w:t>
      </w:r>
      <w:r>
        <w:rPr>
          <w:rFonts w:hint="eastAsia" w:ascii="宋体" w:hAnsi="宋体"/>
          <w:color w:val="000000"/>
          <w:spacing w:val="4"/>
          <w:sz w:val="24"/>
          <w:szCs w:val="22"/>
          <w:highlight w:val="none"/>
        </w:rPr>
        <w:t>合格的响应文件进行符合性审查。符合性审查在评审过程中穿插进行，</w:t>
      </w:r>
      <w:r>
        <w:rPr>
          <w:rFonts w:hint="eastAsia" w:ascii="宋体" w:hAnsi="宋体" w:cs="宋体"/>
          <w:bCs/>
          <w:color w:val="000000"/>
          <w:kern w:val="0"/>
          <w:sz w:val="24"/>
          <w:szCs w:val="24"/>
          <w:highlight w:val="none"/>
        </w:rPr>
        <w:t>供应商符合性审查不合格的，其响应文件将视为无效响应文件</w:t>
      </w:r>
      <w:r>
        <w:rPr>
          <w:rFonts w:hint="eastAsia" w:ascii="宋体" w:hAnsi="宋体"/>
          <w:color w:val="000000"/>
          <w:spacing w:val="4"/>
          <w:sz w:val="24"/>
          <w:szCs w:val="22"/>
          <w:highlight w:val="none"/>
        </w:rPr>
        <w:t>。</w:t>
      </w:r>
    </w:p>
    <w:p w14:paraId="29C41107">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2.2符合性审查合格标准：</w:t>
      </w:r>
    </w:p>
    <w:p w14:paraId="39620563">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2.2.1响应文件按竞争性磋商文件要求签署、盖章；</w:t>
      </w:r>
    </w:p>
    <w:p w14:paraId="4FCDEB81">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2.2.2报价未超过竞争性磋商文件中规定的预算金额或者最高限价的；</w:t>
      </w:r>
    </w:p>
    <w:p w14:paraId="34EB059C">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2.2.3响应文件未含有采购人不能接受的附加条件的；</w:t>
      </w:r>
    </w:p>
    <w:p w14:paraId="2A7452A3">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2.2.4 供应商</w:t>
      </w:r>
      <w:r>
        <w:rPr>
          <w:rFonts w:ascii="宋体" w:hAnsi="宋体" w:cs="宋体"/>
          <w:color w:val="000000"/>
          <w:sz w:val="24"/>
          <w:szCs w:val="24"/>
          <w:highlight w:val="none"/>
        </w:rPr>
        <w:t>名称与营业执照、资质证书一致</w:t>
      </w:r>
      <w:r>
        <w:rPr>
          <w:rFonts w:hint="eastAsia" w:ascii="宋体" w:hAnsi="宋体" w:cs="宋体"/>
          <w:color w:val="000000"/>
          <w:sz w:val="24"/>
          <w:szCs w:val="24"/>
          <w:highlight w:val="none"/>
        </w:rPr>
        <w:t>；</w:t>
      </w:r>
    </w:p>
    <w:p w14:paraId="4D76C18A">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2.2.5 供应商按照竞争性磋商文件的规定提交磋商保证金的；</w:t>
      </w:r>
    </w:p>
    <w:p w14:paraId="4C39BFC0">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2.2.6 资格要求、符合性审查合格标准、商务要求各项条款、标记“★”条款及本文件规定的其他不允许偏离的条件，为实质性要求和条件，不满足的磋商为无效磋商；</w:t>
      </w:r>
    </w:p>
    <w:p w14:paraId="1D78302D">
      <w:pPr>
        <w:keepNext w:val="0"/>
        <w:keepLines w:val="0"/>
        <w:pageBreakBefore w:val="0"/>
        <w:widowControl w:val="0"/>
        <w:kinsoku/>
        <w:wordWrap w:val="0"/>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sz w:val="24"/>
          <w:szCs w:val="24"/>
          <w:highlight w:val="none"/>
          <w:lang w:val="en-US" w:eastAsia="zh-CN"/>
        </w:rPr>
      </w:pPr>
      <w:r>
        <w:rPr>
          <w:rFonts w:hint="eastAsia" w:ascii="宋体" w:hAnsi="宋体" w:cs="宋体"/>
          <w:b/>
          <w:bCs/>
          <w:color w:val="000000"/>
          <w:sz w:val="24"/>
          <w:szCs w:val="24"/>
          <w:highlight w:val="none"/>
          <w:lang w:val="en-US" w:eastAsia="zh-CN"/>
        </w:rPr>
        <w:t>2.2.7供应商应授权合法的人员参加本项目磋商会议全过程。</w:t>
      </w:r>
      <w:r>
        <w:rPr>
          <w:rFonts w:hint="eastAsia" w:ascii="宋体" w:hAnsi="宋体" w:cs="宋体"/>
          <w:b/>
          <w:bCs/>
          <w:color w:val="auto"/>
          <w:sz w:val="24"/>
          <w:szCs w:val="24"/>
          <w:highlight w:val="none"/>
          <w:lang w:val="en-US" w:eastAsia="zh-CN"/>
        </w:rPr>
        <w:t>法定代表人参加磋商会议的，应出具法定代表人证明书。法定代表人授权合法授权代表参加磋商会议的，应出具法定代表人证明书、法定代表人授权书,同时提供截至响应文件递交截止时间前6个月内在本单位任意1个月的社保缴纳证明材料。</w:t>
      </w:r>
    </w:p>
    <w:p w14:paraId="22B3ED33">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2.2.</w:t>
      </w:r>
      <w:r>
        <w:rPr>
          <w:rFonts w:hint="eastAsia" w:ascii="宋体" w:hAnsi="宋体" w:cs="宋体"/>
          <w:color w:val="000000"/>
          <w:sz w:val="24"/>
          <w:szCs w:val="24"/>
          <w:highlight w:val="none"/>
          <w:lang w:val="en-US" w:eastAsia="zh-CN"/>
        </w:rPr>
        <w:t>8</w:t>
      </w:r>
      <w:r>
        <w:rPr>
          <w:rFonts w:hint="eastAsia" w:ascii="宋体" w:hAnsi="宋体" w:cs="宋体"/>
          <w:color w:val="000000"/>
          <w:sz w:val="24"/>
          <w:szCs w:val="24"/>
          <w:highlight w:val="none"/>
        </w:rPr>
        <w:t>法律、法规和竞争性磋商文件规定的其他无效情形。</w:t>
      </w:r>
    </w:p>
    <w:p w14:paraId="7FB41532">
      <w:pPr>
        <w:keepNext w:val="0"/>
        <w:keepLines w:val="0"/>
        <w:pageBreakBefore w:val="0"/>
        <w:widowControl w:val="0"/>
        <w:kinsoku/>
        <w:wordWrap w:val="0"/>
        <w:overflowPunct/>
        <w:topLinePunct w:val="0"/>
        <w:autoSpaceDE/>
        <w:autoSpaceDN/>
        <w:bidi w:val="0"/>
        <w:adjustRightInd w:val="0"/>
        <w:snapToGrid w:val="0"/>
        <w:spacing w:line="360" w:lineRule="auto"/>
        <w:ind w:firstLine="498" w:firstLineChars="200"/>
        <w:textAlignment w:val="auto"/>
        <w:rPr>
          <w:rFonts w:hint="eastAsia" w:ascii="宋体" w:hAnsi="宋体" w:eastAsia="宋体" w:cs="Times New Roman"/>
          <w:b/>
          <w:bCs/>
          <w:color w:val="000000"/>
          <w:spacing w:val="4"/>
          <w:sz w:val="24"/>
          <w:szCs w:val="22"/>
          <w:highlight w:val="none"/>
        </w:rPr>
      </w:pPr>
      <w:r>
        <w:rPr>
          <w:rFonts w:hint="eastAsia" w:ascii="宋体" w:hAnsi="宋体" w:eastAsia="宋体" w:cs="Times New Roman"/>
          <w:b/>
          <w:bCs/>
          <w:color w:val="000000"/>
          <w:spacing w:val="4"/>
          <w:sz w:val="24"/>
          <w:szCs w:val="22"/>
          <w:highlight w:val="none"/>
        </w:rPr>
        <w:t>五、政府采购异常低价审查</w:t>
      </w:r>
    </w:p>
    <w:p w14:paraId="168D11D3">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eastAsia="宋体" w:cs="Times New Roman"/>
          <w:color w:val="000000"/>
          <w:spacing w:val="4"/>
          <w:sz w:val="24"/>
          <w:szCs w:val="22"/>
          <w:highlight w:val="none"/>
          <w:lang w:val="en-US" w:eastAsia="zh-CN"/>
        </w:rPr>
      </w:pPr>
      <w:r>
        <w:rPr>
          <w:rFonts w:hint="eastAsia" w:ascii="宋体" w:hAnsi="宋体" w:eastAsia="宋体" w:cs="Times New Roman"/>
          <w:color w:val="000000"/>
          <w:spacing w:val="4"/>
          <w:sz w:val="24"/>
          <w:szCs w:val="22"/>
          <w:highlight w:val="none"/>
          <w:lang w:val="en-US" w:eastAsia="zh-CN"/>
        </w:rPr>
        <w:t>1.政府采购评审中出现下列情形之一的，磋商小组应当启动异常低价投标（响应）审查程序：</w:t>
      </w:r>
    </w:p>
    <w:p w14:paraId="16672490">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eastAsia="宋体" w:cs="Times New Roman"/>
          <w:color w:val="000000"/>
          <w:spacing w:val="4"/>
          <w:sz w:val="24"/>
          <w:szCs w:val="22"/>
          <w:highlight w:val="none"/>
          <w:lang w:val="en-US" w:eastAsia="zh-CN"/>
        </w:rPr>
      </w:pPr>
      <w:r>
        <w:rPr>
          <w:rFonts w:hint="eastAsia" w:ascii="宋体" w:hAnsi="宋体" w:eastAsia="宋体" w:cs="Times New Roman"/>
          <w:color w:val="000000"/>
          <w:spacing w:val="4"/>
          <w:sz w:val="24"/>
          <w:szCs w:val="22"/>
          <w:highlight w:val="none"/>
          <w:lang w:val="en-US" w:eastAsia="zh-CN"/>
        </w:rPr>
        <w:t>（1）投标（响应）报价低于全部通过符合性审查供应商投标（响应）报价平均值50%的，即投标（响应）报价&lt;全部通过符合性审查供应商投标（响应）报价平均值×50%；</w:t>
      </w:r>
    </w:p>
    <w:p w14:paraId="73503EDA">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eastAsia="宋体" w:cs="Times New Roman"/>
          <w:color w:val="000000"/>
          <w:spacing w:val="4"/>
          <w:sz w:val="24"/>
          <w:szCs w:val="22"/>
          <w:highlight w:val="none"/>
          <w:lang w:val="en-US" w:eastAsia="zh-CN"/>
        </w:rPr>
      </w:pPr>
      <w:r>
        <w:rPr>
          <w:rFonts w:hint="eastAsia" w:ascii="宋体" w:hAnsi="宋体" w:eastAsia="宋体" w:cs="Times New Roman"/>
          <w:color w:val="000000"/>
          <w:spacing w:val="4"/>
          <w:sz w:val="24"/>
          <w:szCs w:val="22"/>
          <w:highlight w:val="none"/>
          <w:lang w:val="en-US" w:eastAsia="zh-CN"/>
        </w:rPr>
        <w:t>（2）投标（响应）报价低于通过符合性审查的次低报价供应商投标（响应）报价50%的，即投标（响应）报价&lt;通过符合性审查的次低报价供应商投标（响应）报价×50%；</w:t>
      </w:r>
    </w:p>
    <w:p w14:paraId="0F121727">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eastAsia="宋体" w:cs="Times New Roman"/>
          <w:color w:val="000000"/>
          <w:spacing w:val="4"/>
          <w:sz w:val="24"/>
          <w:szCs w:val="22"/>
          <w:highlight w:val="none"/>
          <w:lang w:val="en-US" w:eastAsia="zh-CN"/>
        </w:rPr>
      </w:pPr>
      <w:r>
        <w:rPr>
          <w:rFonts w:hint="eastAsia" w:ascii="宋体" w:hAnsi="宋体" w:eastAsia="宋体" w:cs="Times New Roman"/>
          <w:color w:val="000000"/>
          <w:spacing w:val="4"/>
          <w:sz w:val="24"/>
          <w:szCs w:val="22"/>
          <w:highlight w:val="none"/>
          <w:lang w:val="en-US" w:eastAsia="zh-CN"/>
        </w:rPr>
        <w:t>（3）投标（响应）报价低于采购项目最高限价45%的，即投标（响应）报价&lt;采购项目最高限价×45%；</w:t>
      </w:r>
    </w:p>
    <w:p w14:paraId="22B529F7">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eastAsia="宋体" w:cs="Times New Roman"/>
          <w:color w:val="000000"/>
          <w:spacing w:val="4"/>
          <w:sz w:val="24"/>
          <w:szCs w:val="22"/>
          <w:highlight w:val="none"/>
          <w:lang w:val="en-US" w:eastAsia="zh-CN"/>
        </w:rPr>
      </w:pPr>
      <w:r>
        <w:rPr>
          <w:rFonts w:hint="eastAsia" w:ascii="宋体" w:hAnsi="宋体" w:eastAsia="宋体" w:cs="Times New Roman"/>
          <w:color w:val="000000"/>
          <w:spacing w:val="4"/>
          <w:sz w:val="24"/>
          <w:szCs w:val="22"/>
          <w:highlight w:val="none"/>
          <w:lang w:val="en-US" w:eastAsia="zh-CN"/>
        </w:rPr>
        <w:t>（4）磋商小组基于专业判断，认为供应商报价过低，有可能影响产品质量或者不能诚信履约的其他情形。</w:t>
      </w:r>
    </w:p>
    <w:p w14:paraId="42B89530">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eastAsia="宋体" w:cs="Times New Roman"/>
          <w:color w:val="000000"/>
          <w:spacing w:val="4"/>
          <w:sz w:val="24"/>
          <w:szCs w:val="22"/>
          <w:highlight w:val="none"/>
          <w:lang w:val="en-US" w:eastAsia="zh-CN"/>
        </w:rPr>
      </w:pPr>
      <w:r>
        <w:rPr>
          <w:rFonts w:hint="eastAsia" w:ascii="宋体" w:hAnsi="宋体" w:eastAsia="宋体" w:cs="Times New Roman"/>
          <w:color w:val="000000"/>
          <w:spacing w:val="4"/>
          <w:sz w:val="24"/>
          <w:szCs w:val="22"/>
          <w:highlight w:val="none"/>
          <w:lang w:val="en-US" w:eastAsia="zh-CN"/>
        </w:rPr>
        <w:t>2.磋商小组启动异常低价投标（响应）审查后，属于3.1中任意一项情形的，应当要求相关供应商在评审现场合理的时间内对投标（响应）价格作出解释，提供项目具体成本测算等与报价合理性相关的书面说明及必要的证明材料，包括但不限于原材料成本、人工成本、制造费用等。其中，属于3.1中情形（3）的，供应商已随投标（响应）文件一并提交相关书面说明及必要的证明材料的，在评审现场可不再重复提交。</w:t>
      </w:r>
    </w:p>
    <w:p w14:paraId="5E5C2C42">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eastAsia="宋体" w:cs="Times New Roman"/>
          <w:color w:val="000000"/>
          <w:spacing w:val="4"/>
          <w:sz w:val="24"/>
          <w:szCs w:val="22"/>
          <w:highlight w:val="none"/>
          <w:lang w:val="en-US" w:eastAsia="zh-CN"/>
        </w:rPr>
      </w:pPr>
      <w:r>
        <w:rPr>
          <w:rFonts w:hint="eastAsia" w:ascii="宋体" w:hAnsi="宋体" w:eastAsia="宋体" w:cs="Times New Roman"/>
          <w:color w:val="000000"/>
          <w:spacing w:val="4"/>
          <w:sz w:val="24"/>
          <w:szCs w:val="22"/>
          <w:highlight w:val="none"/>
          <w:lang w:val="en-US" w:eastAsia="zh-CN"/>
        </w:rPr>
        <w:t>3.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60081C43">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eastAsia="宋体" w:cs="Times New Roman"/>
          <w:color w:val="000000"/>
          <w:spacing w:val="4"/>
          <w:sz w:val="24"/>
          <w:szCs w:val="22"/>
          <w:highlight w:val="none"/>
          <w:lang w:val="en-US" w:eastAsia="zh-CN"/>
        </w:rPr>
      </w:pPr>
      <w:r>
        <w:rPr>
          <w:rFonts w:hint="eastAsia" w:ascii="宋体" w:hAnsi="宋体" w:eastAsia="宋体" w:cs="Times New Roman"/>
          <w:color w:val="000000"/>
          <w:spacing w:val="4"/>
          <w:sz w:val="24"/>
          <w:szCs w:val="22"/>
          <w:highlight w:val="none"/>
          <w:lang w:val="en-US" w:eastAsia="zh-CN"/>
        </w:rPr>
        <w:t>4.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4ACB1928">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eastAsia="宋体" w:cs="Times New Roman"/>
          <w:color w:val="000000"/>
          <w:spacing w:val="4"/>
          <w:sz w:val="24"/>
          <w:szCs w:val="22"/>
          <w:highlight w:val="none"/>
        </w:rPr>
      </w:pPr>
      <w:r>
        <w:rPr>
          <w:rFonts w:hint="eastAsia" w:ascii="宋体" w:hAnsi="宋体" w:eastAsia="宋体" w:cs="Times New Roman"/>
          <w:color w:val="000000"/>
          <w:spacing w:val="4"/>
          <w:sz w:val="24"/>
          <w:szCs w:val="22"/>
          <w:highlight w:val="none"/>
          <w:lang w:val="en-US" w:eastAsia="zh-CN"/>
        </w:rPr>
        <w:t>5.异常低价投标（响应）审查的启动原因、审查意见和审查结果应当在评审报告中记录，并随供应商提供的相关书面说明及证明材料，以及磋商小组有关互联网浏览、查询历史一并归档</w:t>
      </w:r>
      <w:r>
        <w:rPr>
          <w:rFonts w:hint="eastAsia" w:ascii="宋体" w:hAnsi="宋体" w:eastAsia="宋体" w:cs="Times New Roman"/>
          <w:color w:val="000000"/>
          <w:spacing w:val="4"/>
          <w:sz w:val="24"/>
          <w:szCs w:val="22"/>
          <w:highlight w:val="none"/>
        </w:rPr>
        <w:t>。</w:t>
      </w:r>
    </w:p>
    <w:p w14:paraId="30E6043C">
      <w:pPr>
        <w:keepNext w:val="0"/>
        <w:keepLines w:val="0"/>
        <w:pageBreakBefore w:val="0"/>
        <w:widowControl w:val="0"/>
        <w:kinsoku/>
        <w:wordWrap w:val="0"/>
        <w:overflowPunct/>
        <w:topLinePunct w:val="0"/>
        <w:autoSpaceDE/>
        <w:autoSpaceDN/>
        <w:bidi w:val="0"/>
        <w:adjustRightInd w:val="0"/>
        <w:snapToGrid w:val="0"/>
        <w:spacing w:line="360" w:lineRule="auto"/>
        <w:ind w:firstLine="498" w:firstLineChars="200"/>
        <w:textAlignment w:val="auto"/>
        <w:rPr>
          <w:rFonts w:hint="eastAsia" w:ascii="宋体" w:hAnsi="宋体"/>
          <w:b/>
          <w:bCs/>
          <w:color w:val="000000"/>
          <w:spacing w:val="4"/>
          <w:sz w:val="24"/>
          <w:szCs w:val="22"/>
          <w:highlight w:val="none"/>
        </w:rPr>
      </w:pPr>
      <w:r>
        <w:rPr>
          <w:rFonts w:hint="eastAsia" w:ascii="宋体" w:hAnsi="宋体"/>
          <w:b/>
          <w:bCs/>
          <w:color w:val="000000"/>
          <w:spacing w:val="4"/>
          <w:sz w:val="24"/>
          <w:szCs w:val="22"/>
          <w:highlight w:val="none"/>
        </w:rPr>
        <w:t>六、澄清有关问题</w:t>
      </w:r>
    </w:p>
    <w:p w14:paraId="09F6AE7E">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1.对于响应文件中含义不明确、同类问题表述不一致或者有明显文字和计算错误的内容，磋商小组以书面形式要求供应商做出必要的澄清、说明或者补正。供应商的澄清、说明或者补正应当采用书面形式，由法定代表人或其授权的代表签署全名。供应商的澄清、说明或者补正不得超出响应文件的范围或者改变响应文件的实质性内容。</w:t>
      </w:r>
    </w:p>
    <w:p w14:paraId="049F4700">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2.磋商小组可以书面形式要求供应商对响应文件不明确的内容作必要的澄清或说明，供应商应采用书面形式进行澄清或说明，但不得超出响应文件的范围或响应文件的实质性内容。</w:t>
      </w:r>
    </w:p>
    <w:p w14:paraId="2E33332D">
      <w:pPr>
        <w:keepNext w:val="0"/>
        <w:keepLines w:val="0"/>
        <w:pageBreakBefore w:val="0"/>
        <w:widowControl w:val="0"/>
        <w:kinsoku/>
        <w:wordWrap w:val="0"/>
        <w:overflowPunct/>
        <w:topLinePunct w:val="0"/>
        <w:autoSpaceDE/>
        <w:autoSpaceDN/>
        <w:bidi w:val="0"/>
        <w:adjustRightInd w:val="0"/>
        <w:snapToGrid w:val="0"/>
        <w:spacing w:line="360" w:lineRule="auto"/>
        <w:ind w:firstLine="498" w:firstLineChars="200"/>
        <w:textAlignment w:val="auto"/>
        <w:rPr>
          <w:rFonts w:hint="eastAsia" w:ascii="宋体" w:hAnsi="宋体"/>
          <w:color w:val="000000"/>
          <w:spacing w:val="4"/>
          <w:sz w:val="24"/>
          <w:szCs w:val="22"/>
          <w:highlight w:val="none"/>
        </w:rPr>
      </w:pPr>
      <w:r>
        <w:rPr>
          <w:rFonts w:hint="eastAsia" w:ascii="宋体" w:hAnsi="宋体"/>
          <w:b/>
          <w:bCs/>
          <w:color w:val="000000"/>
          <w:spacing w:val="4"/>
          <w:sz w:val="24"/>
          <w:szCs w:val="22"/>
          <w:highlight w:val="none"/>
        </w:rPr>
        <w:t>七、评审价的确定</w:t>
      </w:r>
    </w:p>
    <w:p w14:paraId="75CF5474">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响应文件经符合性评审合格的，为有效磋商。对于所有有效磋商按照以下规则进行评审价的确定：</w:t>
      </w:r>
    </w:p>
    <w:p w14:paraId="66D412DE">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1.对于不需要进行政策性价格优惠调整的，其评审价为磋商最后报价。</w:t>
      </w:r>
    </w:p>
    <w:p w14:paraId="0725F4D8">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2.对于符合政策性优惠的，其评审价按照以下规则进行计算调整：</w:t>
      </w:r>
    </w:p>
    <w:p w14:paraId="028DF5BA">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对非专门面向中小企业采购的项目或者采购包，供应商为小型和微型企业、监狱企业、残疾人福利性单位的评审价计算规则：【其评审价=磋商最后报价*90%】；</w:t>
      </w:r>
    </w:p>
    <w:p w14:paraId="48DDEF8E">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对专门面向中小企业采购的项目或者采购包，不执行面向中小企业的“价格评审优惠”。</w:t>
      </w:r>
    </w:p>
    <w:p w14:paraId="6CAC85C5">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依据政府采购促进中小企业发展管理办法财库〔2020〕46号文件，在政府采购活动中，供应商提供的</w:t>
      </w:r>
      <w:r>
        <w:rPr>
          <w:rFonts w:hint="eastAsia" w:ascii="宋体" w:hAnsi="宋体"/>
          <w:color w:val="000000"/>
          <w:spacing w:val="4"/>
          <w:sz w:val="24"/>
          <w:szCs w:val="22"/>
          <w:highlight w:val="none"/>
          <w:lang w:val="en-US" w:eastAsia="zh-CN"/>
        </w:rPr>
        <w:t>服务</w:t>
      </w:r>
      <w:r>
        <w:rPr>
          <w:rFonts w:hint="eastAsia" w:ascii="宋体" w:hAnsi="宋体"/>
          <w:color w:val="000000"/>
          <w:spacing w:val="4"/>
          <w:sz w:val="24"/>
          <w:szCs w:val="22"/>
          <w:highlight w:val="none"/>
        </w:rPr>
        <w:t>符合下列情形的，享受本办法规定的中小企业扶持政策：</w:t>
      </w:r>
    </w:p>
    <w:p w14:paraId="7FA00674">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color w:val="000000"/>
          <w:spacing w:val="4"/>
          <w:sz w:val="24"/>
          <w:szCs w:val="22"/>
          <w:highlight w:val="none"/>
          <w:lang w:val="en-US" w:eastAsia="zh-CN"/>
        </w:rPr>
      </w:pPr>
      <w:r>
        <w:rPr>
          <w:rFonts w:hint="eastAsia" w:ascii="宋体" w:hAnsi="宋体"/>
          <w:color w:val="000000"/>
          <w:spacing w:val="4"/>
          <w:sz w:val="24"/>
          <w:szCs w:val="22"/>
          <w:highlight w:val="none"/>
          <w:lang w:val="en-US" w:eastAsia="zh-CN"/>
        </w:rPr>
        <w:t>在服务采购项目中，服务由中小企业承接，即提供服务的人员为中小企业依照《中华人民共和国劳动合同法》订立劳动合同的从业人员。</w:t>
      </w:r>
    </w:p>
    <w:p w14:paraId="0DFC01D6">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微软雅黑" w:hAnsi="微软雅黑" w:cs="微软雅黑"/>
          <w:b/>
          <w:bCs/>
          <w:color w:val="000000"/>
          <w:sz w:val="42"/>
          <w:szCs w:val="42"/>
          <w:highlight w:val="none"/>
        </w:rPr>
      </w:pPr>
      <w:r>
        <w:rPr>
          <w:rFonts w:hint="eastAsia" w:ascii="宋体" w:hAnsi="宋体"/>
          <w:color w:val="000000"/>
          <w:spacing w:val="4"/>
          <w:sz w:val="24"/>
          <w:szCs w:val="22"/>
          <w:highlight w:val="none"/>
          <w:lang w:val="en-US" w:eastAsia="zh-CN"/>
        </w:rPr>
        <w:t>以联合体形式参加政府采购活动，联合体各方均为中小企业的，联合体视同中小企业。其中，联合体各方均为小微企业的，联合体视同小微企业</w:t>
      </w:r>
      <w:r>
        <w:rPr>
          <w:rFonts w:hint="eastAsia" w:ascii="宋体" w:hAnsi="宋体"/>
          <w:color w:val="000000"/>
          <w:spacing w:val="4"/>
          <w:sz w:val="24"/>
          <w:szCs w:val="22"/>
          <w:highlight w:val="none"/>
        </w:rPr>
        <w:t>。</w:t>
      </w:r>
    </w:p>
    <w:p w14:paraId="2A5C22DC">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3.其他方式按照国家相关现行规定执行。</w:t>
      </w:r>
    </w:p>
    <w:p w14:paraId="42448F79">
      <w:pPr>
        <w:keepNext w:val="0"/>
        <w:keepLines w:val="0"/>
        <w:pageBreakBefore w:val="0"/>
        <w:widowControl w:val="0"/>
        <w:kinsoku/>
        <w:wordWrap w:val="0"/>
        <w:overflowPunct/>
        <w:topLinePunct w:val="0"/>
        <w:autoSpaceDE/>
        <w:autoSpaceDN/>
        <w:bidi w:val="0"/>
        <w:adjustRightInd w:val="0"/>
        <w:snapToGrid w:val="0"/>
        <w:spacing w:line="360" w:lineRule="auto"/>
        <w:ind w:firstLine="498" w:firstLineChars="200"/>
        <w:textAlignment w:val="auto"/>
        <w:rPr>
          <w:rFonts w:hint="eastAsia" w:ascii="宋体" w:hAnsi="宋体" w:cs="宋体"/>
          <w:color w:val="000000"/>
          <w:sz w:val="24"/>
          <w:szCs w:val="24"/>
          <w:highlight w:val="none"/>
        </w:rPr>
      </w:pPr>
      <w:r>
        <w:rPr>
          <w:rFonts w:hint="eastAsia" w:ascii="宋体" w:hAnsi="宋体"/>
          <w:b/>
          <w:bCs/>
          <w:color w:val="000000"/>
          <w:spacing w:val="4"/>
          <w:sz w:val="24"/>
          <w:szCs w:val="22"/>
          <w:highlight w:val="none"/>
        </w:rPr>
        <w:t>八、</w:t>
      </w:r>
      <w:r>
        <w:rPr>
          <w:rFonts w:hint="eastAsia" w:ascii="宋体" w:hAnsi="宋体" w:cs="宋体"/>
          <w:b/>
          <w:bCs/>
          <w:color w:val="000000"/>
          <w:sz w:val="24"/>
          <w:szCs w:val="24"/>
          <w:highlight w:val="none"/>
        </w:rPr>
        <w:t>响应文件计算错误的修正</w:t>
      </w:r>
    </w:p>
    <w:p w14:paraId="49F73DD9">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1.响应文件中磋商一次报价表（报价表）内容与响应文件中相应内容不一致的，以磋商一次报价表（报价表）为准；</w:t>
      </w:r>
    </w:p>
    <w:p w14:paraId="50522EEB">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2.大写金额和小写金额不一致的，以大写金额为准；</w:t>
      </w:r>
    </w:p>
    <w:p w14:paraId="746285DD">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3.单价金额小数点或者百分比有明显错位的，以磋商一次报价表的总价为准，并修改单价；</w:t>
      </w:r>
    </w:p>
    <w:p w14:paraId="3A56FFDF">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4.总价金额与按单价汇总金额不一致的，以单价金额计算结果为准。</w:t>
      </w:r>
    </w:p>
    <w:p w14:paraId="6B55557B">
      <w:pPr>
        <w:keepNext w:val="0"/>
        <w:keepLines w:val="0"/>
        <w:pageBreakBefore w:val="0"/>
        <w:widowControl w:val="0"/>
        <w:kinsoku/>
        <w:wordWrap w:val="0"/>
        <w:overflowPunct/>
        <w:topLinePunct w:val="0"/>
        <w:autoSpaceDE/>
        <w:autoSpaceDN/>
        <w:bidi w:val="0"/>
        <w:adjustRightInd w:val="0"/>
        <w:snapToGrid w:val="0"/>
        <w:spacing w:line="360" w:lineRule="auto"/>
        <w:ind w:firstLine="498" w:firstLineChars="200"/>
        <w:textAlignment w:val="auto"/>
        <w:rPr>
          <w:rFonts w:hint="eastAsia" w:ascii="宋体" w:hAnsi="宋体"/>
          <w:color w:val="000000"/>
          <w:spacing w:val="4"/>
          <w:sz w:val="24"/>
          <w:szCs w:val="22"/>
          <w:highlight w:val="none"/>
        </w:rPr>
      </w:pPr>
      <w:r>
        <w:rPr>
          <w:rFonts w:hint="eastAsia" w:ascii="宋体" w:hAnsi="宋体"/>
          <w:b/>
          <w:bCs/>
          <w:color w:val="000000"/>
          <w:spacing w:val="4"/>
          <w:sz w:val="24"/>
          <w:szCs w:val="22"/>
          <w:highlight w:val="none"/>
        </w:rPr>
        <w:t>九、响应文件的评审、比较和否决</w:t>
      </w:r>
    </w:p>
    <w:p w14:paraId="166FF3B0">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1.磋商小组仅对在实质上响应竞争性磋商文件要求的响应文件进行评估和比较。未响应竞争性磋商文件和合同条款的响应文件，不得进行评审。</w:t>
      </w:r>
    </w:p>
    <w:p w14:paraId="68FD3F70">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2.在评审过程中，磋商小组可以书面形式要求供应商就响应文件中含义不明确的内容进行书面说明并提供相关材料。</w:t>
      </w:r>
    </w:p>
    <w:p w14:paraId="27499287">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3.磋商小组依据本次评审标准和方法，对响应文件进行评审，向采购人提出书面评审报告，并根据得分由高到低的顺序，推荐成交候选人。</w:t>
      </w:r>
    </w:p>
    <w:p w14:paraId="00AC8078">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ascii="宋体" w:hAnsi="宋体"/>
          <w:color w:val="000000"/>
          <w:spacing w:val="4"/>
          <w:sz w:val="24"/>
          <w:szCs w:val="22"/>
          <w:highlight w:val="none"/>
        </w:rPr>
      </w:pPr>
      <w:r>
        <w:rPr>
          <w:rFonts w:hint="eastAsia" w:ascii="宋体" w:hAnsi="宋体"/>
          <w:color w:val="000000"/>
          <w:spacing w:val="4"/>
          <w:sz w:val="24"/>
          <w:szCs w:val="22"/>
          <w:highlight w:val="none"/>
        </w:rPr>
        <w:t>4.磋商小组各成员按照《评审办法》规定的内容，独立进行综合比较、评价打分。若出现综合得分并列时，竞争性磋商报价最低者排名在前；如竞争性磋商报价相同，则以技术指标响应情况内容优先；若技术指标响应情况内容得分也相同的，依次以后续评审内容得分高的优先。</w:t>
      </w:r>
    </w:p>
    <w:p w14:paraId="004242E5">
      <w:pPr>
        <w:keepNext w:val="0"/>
        <w:keepLines w:val="0"/>
        <w:pageBreakBefore w:val="0"/>
        <w:widowControl w:val="0"/>
        <w:kinsoku/>
        <w:wordWrap w:val="0"/>
        <w:overflowPunct/>
        <w:topLinePunct w:val="0"/>
        <w:autoSpaceDE/>
        <w:autoSpaceDN/>
        <w:bidi w:val="0"/>
        <w:adjustRightInd w:val="0"/>
        <w:snapToGrid w:val="0"/>
        <w:spacing w:line="360" w:lineRule="auto"/>
        <w:ind w:firstLine="498" w:firstLineChars="200"/>
        <w:textAlignment w:val="auto"/>
        <w:rPr>
          <w:rFonts w:hint="eastAsia" w:ascii="宋体" w:hAnsi="宋体" w:cs="宋体"/>
          <w:b/>
          <w:color w:val="000000"/>
          <w:sz w:val="24"/>
          <w:szCs w:val="24"/>
          <w:highlight w:val="none"/>
        </w:rPr>
      </w:pPr>
      <w:r>
        <w:rPr>
          <w:rFonts w:hint="eastAsia" w:ascii="宋体" w:hAnsi="宋体"/>
          <w:b/>
          <w:bCs/>
          <w:color w:val="000000"/>
          <w:spacing w:val="4"/>
          <w:sz w:val="24"/>
          <w:szCs w:val="22"/>
          <w:highlight w:val="none"/>
        </w:rPr>
        <w:t>十、</w:t>
      </w:r>
      <w:r>
        <w:rPr>
          <w:rFonts w:hint="eastAsia" w:ascii="宋体" w:hAnsi="宋体" w:cs="宋体"/>
          <w:b/>
          <w:bCs/>
          <w:color w:val="000000"/>
          <w:sz w:val="24"/>
          <w:szCs w:val="24"/>
          <w:highlight w:val="none"/>
        </w:rPr>
        <w:t>根据相关法律、法规的规定，对政府采购相关政策落实如下：</w:t>
      </w:r>
    </w:p>
    <w:p w14:paraId="584BA829">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cs="宋体"/>
          <w:color w:val="000000"/>
          <w:spacing w:val="4"/>
          <w:sz w:val="24"/>
          <w:highlight w:val="none"/>
        </w:rPr>
      </w:pPr>
      <w:r>
        <w:rPr>
          <w:rFonts w:hint="eastAsia" w:ascii="宋体" w:hAnsi="宋体" w:cs="宋体"/>
          <w:color w:val="000000"/>
          <w:spacing w:val="4"/>
          <w:sz w:val="24"/>
          <w:highlight w:val="none"/>
        </w:rPr>
        <w:t>1.促进中小企业发展优惠政策</w:t>
      </w:r>
    </w:p>
    <w:p w14:paraId="29EF992C">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cs="宋体"/>
          <w:color w:val="000000"/>
          <w:spacing w:val="4"/>
          <w:sz w:val="24"/>
          <w:highlight w:val="none"/>
        </w:rPr>
      </w:pPr>
      <w:r>
        <w:rPr>
          <w:rFonts w:hint="eastAsia" w:ascii="宋体" w:hAnsi="宋体" w:cs="宋体"/>
          <w:color w:val="000000"/>
          <w:spacing w:val="4"/>
          <w:sz w:val="24"/>
          <w:highlight w:val="none"/>
        </w:rPr>
        <w:t>根据《政府采购促进中小企业发展管理办法》</w:t>
      </w:r>
      <w:r>
        <w:rPr>
          <w:rFonts w:hint="eastAsia" w:ascii="宋体" w:hAnsi="宋体" w:cs="宋体"/>
          <w:color w:val="000000"/>
          <w:sz w:val="24"/>
          <w:szCs w:val="24"/>
          <w:highlight w:val="none"/>
        </w:rPr>
        <w:t>（财库〔2020〕46号）</w:t>
      </w:r>
      <w:r>
        <w:rPr>
          <w:rFonts w:hint="eastAsia" w:ascii="宋体" w:hAnsi="宋体" w:cs="宋体"/>
          <w:color w:val="000000"/>
          <w:spacing w:val="4"/>
          <w:sz w:val="24"/>
          <w:highlight w:val="none"/>
        </w:rPr>
        <w:t>的相关规定，</w:t>
      </w:r>
      <w:r>
        <w:rPr>
          <w:rFonts w:hint="eastAsia" w:ascii="宋体" w:hAnsi="宋体" w:cs="宋体"/>
          <w:color w:val="000000"/>
          <w:sz w:val="24"/>
          <w:szCs w:val="24"/>
          <w:highlight w:val="none"/>
        </w:rPr>
        <w:t>各</w:t>
      </w:r>
      <w:r>
        <w:rPr>
          <w:rFonts w:hint="eastAsia" w:ascii="宋体" w:hAnsi="宋体" w:cs="宋体"/>
          <w:color w:val="000000"/>
          <w:spacing w:val="4"/>
          <w:sz w:val="24"/>
          <w:highlight w:val="none"/>
        </w:rPr>
        <w:t>供应商</w:t>
      </w:r>
      <w:r>
        <w:rPr>
          <w:rFonts w:hint="eastAsia" w:ascii="宋体" w:hAnsi="宋体" w:cs="宋体"/>
          <w:color w:val="000000"/>
          <w:sz w:val="24"/>
          <w:szCs w:val="24"/>
          <w:highlight w:val="none"/>
        </w:rPr>
        <w:t>须在响应文件文件中提供《中小企业声明函》，中小企业划型标准按照《关于印发中小企业划型标准规定的通知（工信部联企业〔2011〕300号）》文件的相关规定认定，未提供以上材料的不予以认定。</w:t>
      </w:r>
    </w:p>
    <w:p w14:paraId="6DB6B85D">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2.监狱企业</w:t>
      </w:r>
    </w:p>
    <w:p w14:paraId="1316977F">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根据《关于政府采购支持监狱企业发展有关问题的通知》规定，在政府采购活动中，监狱企业视同小型、微型企业，享受政府采购促进中小企业发展的政府采购政策。</w:t>
      </w:r>
    </w:p>
    <w:p w14:paraId="1425651A">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监狱企业参加政府采购活动时，应当提供省级以上监狱管理局、戒毒管理局（含新疆生产建设兵团）出具的属于监狱企业的证明文件。</w:t>
      </w:r>
    </w:p>
    <w:p w14:paraId="596DD041">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磋商小组对各供应商提供的监狱企业的证明文件进行核实后，根据相关规定，对监狱企业在评审时给予10%的扣除，用扣除后的价格参加评审。</w:t>
      </w:r>
    </w:p>
    <w:p w14:paraId="22DE5238">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3.福利企业</w:t>
      </w:r>
    </w:p>
    <w:p w14:paraId="7E05E54C">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根据《关于政府采购优先购买福利性企业产品和服务的意见》的规定，在政府采购活动中，本省福利性企业享受我省规定的采购扶持政策。</w:t>
      </w:r>
    </w:p>
    <w:p w14:paraId="5BBFA279">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福利企业参加政府采购活动时，应当提供市级以上民政局、财政局、残联部门出具的福利性企业的证明文件。</w:t>
      </w:r>
    </w:p>
    <w:p w14:paraId="06B7FADE">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4.残疾人福利性单位</w:t>
      </w:r>
    </w:p>
    <w:p w14:paraId="27511847">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符合条件的残疾人福利性单位在参加政府采购活动时，应当提供本通知规定的《残疾人福利性单位声明函》（见附件），并对声明的真实性负责。</w:t>
      </w:r>
    </w:p>
    <w:p w14:paraId="68718C47">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5.为落实政府采购相关政策，采购人或者采购代理机构将在中标结果发布的同时公告上述声明函，接受社会监督。供应商提供的上述声明函与事实不符的，依照《中华人民共和国政府采购法》第七十七条第一款的规定追究法律责任。</w:t>
      </w:r>
    </w:p>
    <w:p w14:paraId="3BA34C49">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6.如供应商同时提供上述优惠内容，磋商小组只认可其一项有效声明函，不予以重复给价格扣除。</w:t>
      </w:r>
    </w:p>
    <w:p w14:paraId="17428A04">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7.环境标志、节能的产品</w:t>
      </w:r>
    </w:p>
    <w:p w14:paraId="768BB042">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对于采购标的列入政府采购节能产品、环境标志产品实施品目清单的产品，应根据财政部、国家发展和改革委员会、生态环境部等部门确定的实施政府优先采购和强制采购；采购人及采购代理机构将依据国家确定的认证机构出具的、处于有效期之内的节能产品、环境标志产品认证证书，对获得证书的产品实施政府优先采购或强制采购。各供应商应在响应文件中提供有效证明材料（证明材料须加盖供应商红色公章），否则不予计分（注：政府采购节能产品、环境标志产品品目清单以最新公布内容为准）。</w:t>
      </w:r>
    </w:p>
    <w:p w14:paraId="526B5DD1">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除上述已表述的内容外，其余对政府采购相关政策予以落实根据相关法律、法规的规定执行。如供应商同时提供优惠内容的，磋商小组只认可其一项有效声明函，不予以重复给价格扣除。</w:t>
      </w:r>
    </w:p>
    <w:p w14:paraId="31A8D5DD">
      <w:pPr>
        <w:keepNext w:val="0"/>
        <w:keepLines w:val="0"/>
        <w:pageBreakBefore w:val="0"/>
        <w:widowControl w:val="0"/>
        <w:kinsoku/>
        <w:wordWrap w:val="0"/>
        <w:overflowPunct/>
        <w:topLinePunct w:val="0"/>
        <w:autoSpaceDE/>
        <w:autoSpaceDN/>
        <w:bidi w:val="0"/>
        <w:adjustRightInd w:val="0"/>
        <w:snapToGrid w:val="0"/>
        <w:spacing w:line="360" w:lineRule="auto"/>
        <w:ind w:firstLine="498" w:firstLineChars="200"/>
        <w:textAlignment w:val="auto"/>
        <w:rPr>
          <w:rFonts w:hint="eastAsia" w:ascii="宋体" w:hAnsi="宋体"/>
          <w:color w:val="000000"/>
          <w:spacing w:val="4"/>
          <w:sz w:val="24"/>
          <w:szCs w:val="22"/>
          <w:highlight w:val="none"/>
        </w:rPr>
      </w:pPr>
      <w:r>
        <w:rPr>
          <w:rFonts w:hint="eastAsia" w:ascii="宋体" w:hAnsi="宋体"/>
          <w:b/>
          <w:bCs/>
          <w:color w:val="000000"/>
          <w:spacing w:val="4"/>
          <w:sz w:val="24"/>
          <w:szCs w:val="22"/>
          <w:highlight w:val="none"/>
        </w:rPr>
        <w:t>十一、推荐成交候选人名单</w:t>
      </w:r>
    </w:p>
    <w:p w14:paraId="00FBEA42">
      <w:pPr>
        <w:keepNext w:val="0"/>
        <w:keepLines w:val="0"/>
        <w:pageBreakBefore w:val="0"/>
        <w:widowControl w:val="0"/>
        <w:kinsoku/>
        <w:wordWrap w:val="0"/>
        <w:overflowPunct/>
        <w:topLinePunct w:val="0"/>
        <w:autoSpaceDE/>
        <w:autoSpaceDN/>
        <w:bidi w:val="0"/>
        <w:adjustRightInd w:val="0"/>
        <w:snapToGrid w:val="0"/>
        <w:spacing w:line="360" w:lineRule="auto"/>
        <w:ind w:firstLine="496" w:firstLineChars="200"/>
        <w:textAlignment w:val="auto"/>
        <w:rPr>
          <w:rFonts w:hint="eastAsia" w:ascii="宋体" w:hAnsi="宋体"/>
          <w:color w:val="000000"/>
          <w:spacing w:val="4"/>
          <w:sz w:val="24"/>
          <w:szCs w:val="22"/>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color w:val="000000"/>
          <w:spacing w:val="4"/>
          <w:sz w:val="24"/>
          <w:szCs w:val="22"/>
          <w:highlight w:val="none"/>
        </w:rPr>
        <w:t>汇总全体评委对每个供应商的赋分，计算出每个供应商的综合得分，取平均值（小数点后保留后两位）后按照总得分从高到低的顺序进行排列，推荐成交候选人。</w:t>
      </w:r>
      <w:bookmarkEnd w:id="37"/>
      <w:bookmarkStart w:id="390" w:name="_Toc557"/>
      <w:bookmarkStart w:id="391" w:name="_Toc511316296"/>
      <w:bookmarkStart w:id="392" w:name="_Toc2619"/>
    </w:p>
    <w:p w14:paraId="6CF322D8">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hAnsi="宋体" w:cs="宋体"/>
          <w:b/>
          <w:color w:val="000000"/>
          <w:sz w:val="32"/>
          <w:szCs w:val="32"/>
          <w:highlight w:val="none"/>
        </w:rPr>
      </w:pPr>
      <w:r>
        <w:rPr>
          <w:rFonts w:hint="eastAsia" w:hAnsi="宋体" w:cs="宋体"/>
          <w:b/>
          <w:color w:val="000000"/>
          <w:sz w:val="32"/>
          <w:szCs w:val="32"/>
          <w:highlight w:val="none"/>
        </w:rPr>
        <w:t>评审因素</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0"/>
        <w:gridCol w:w="842"/>
        <w:gridCol w:w="6142"/>
      </w:tblGrid>
      <w:tr w14:paraId="4FEBD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290" w:type="dxa"/>
            <w:tcMar>
              <w:top w:w="0" w:type="dxa"/>
              <w:left w:w="108" w:type="dxa"/>
              <w:bottom w:w="0" w:type="dxa"/>
              <w:right w:w="108" w:type="dxa"/>
            </w:tcMar>
            <w:vAlign w:val="center"/>
          </w:tcPr>
          <w:p w14:paraId="28D4DBF4">
            <w:pPr>
              <w:pStyle w:val="91"/>
              <w:keepNext w:val="0"/>
              <w:keepLines w:val="0"/>
              <w:pageBreakBefore w:val="0"/>
              <w:widowControl/>
              <w:kinsoku/>
              <w:wordWrap w:val="0"/>
              <w:overflowPunct/>
              <w:topLinePunct w:val="0"/>
              <w:autoSpaceDE/>
              <w:autoSpaceDN/>
              <w:bidi w:val="0"/>
              <w:adjustRightInd w:val="0"/>
              <w:snapToGrid w:val="0"/>
              <w:spacing w:before="0" w:after="0" w:line="360" w:lineRule="auto"/>
              <w:ind w:left="0" w:right="0"/>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评审因素</w:t>
            </w:r>
          </w:p>
        </w:tc>
        <w:tc>
          <w:tcPr>
            <w:tcW w:w="842" w:type="dxa"/>
            <w:tcMar>
              <w:top w:w="0" w:type="dxa"/>
              <w:left w:w="108" w:type="dxa"/>
              <w:bottom w:w="0" w:type="dxa"/>
              <w:right w:w="108" w:type="dxa"/>
            </w:tcMar>
            <w:vAlign w:val="center"/>
          </w:tcPr>
          <w:p w14:paraId="624F2BC2">
            <w:pPr>
              <w:pStyle w:val="91"/>
              <w:keepNext w:val="0"/>
              <w:keepLines w:val="0"/>
              <w:pageBreakBefore w:val="0"/>
              <w:widowControl/>
              <w:kinsoku/>
              <w:wordWrap w:val="0"/>
              <w:overflowPunct/>
              <w:topLinePunct w:val="0"/>
              <w:autoSpaceDE/>
              <w:autoSpaceDN/>
              <w:bidi w:val="0"/>
              <w:adjustRightInd w:val="0"/>
              <w:snapToGrid w:val="0"/>
              <w:spacing w:before="0" w:after="0" w:line="360" w:lineRule="auto"/>
              <w:ind w:left="0" w:right="0"/>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分值</w:t>
            </w:r>
          </w:p>
        </w:tc>
        <w:tc>
          <w:tcPr>
            <w:tcW w:w="6142" w:type="dxa"/>
            <w:tcMar>
              <w:top w:w="0" w:type="dxa"/>
              <w:left w:w="108" w:type="dxa"/>
              <w:bottom w:w="0" w:type="dxa"/>
              <w:right w:w="108" w:type="dxa"/>
            </w:tcMar>
            <w:vAlign w:val="center"/>
          </w:tcPr>
          <w:p w14:paraId="26FF4CEC">
            <w:pPr>
              <w:pStyle w:val="91"/>
              <w:keepNext w:val="0"/>
              <w:keepLines w:val="0"/>
              <w:pageBreakBefore w:val="0"/>
              <w:widowControl/>
              <w:kinsoku/>
              <w:wordWrap w:val="0"/>
              <w:overflowPunct/>
              <w:topLinePunct w:val="0"/>
              <w:autoSpaceDE/>
              <w:autoSpaceDN/>
              <w:bidi w:val="0"/>
              <w:adjustRightInd w:val="0"/>
              <w:snapToGrid w:val="0"/>
              <w:spacing w:before="0" w:after="0" w:line="360" w:lineRule="auto"/>
              <w:ind w:left="0" w:right="0"/>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评分标准说明</w:t>
            </w:r>
          </w:p>
        </w:tc>
      </w:tr>
      <w:tr w14:paraId="14FCF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290" w:type="dxa"/>
            <w:tcMar>
              <w:top w:w="0" w:type="dxa"/>
              <w:left w:w="108" w:type="dxa"/>
              <w:bottom w:w="0" w:type="dxa"/>
              <w:right w:w="108" w:type="dxa"/>
            </w:tcMar>
            <w:vAlign w:val="center"/>
          </w:tcPr>
          <w:p w14:paraId="713110C3">
            <w:pPr>
              <w:pStyle w:val="91"/>
              <w:keepNext w:val="0"/>
              <w:keepLines w:val="0"/>
              <w:pageBreakBefore w:val="0"/>
              <w:widowControl/>
              <w:kinsoku/>
              <w:wordWrap w:val="0"/>
              <w:overflowPunct/>
              <w:topLinePunct w:val="0"/>
              <w:autoSpaceDE/>
              <w:autoSpaceDN/>
              <w:bidi w:val="0"/>
              <w:adjustRightInd w:val="0"/>
              <w:snapToGrid w:val="0"/>
              <w:spacing w:before="0" w:after="0" w:line="360" w:lineRule="auto"/>
              <w:ind w:left="0" w:right="0"/>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响应报价</w:t>
            </w:r>
          </w:p>
        </w:tc>
        <w:tc>
          <w:tcPr>
            <w:tcW w:w="842" w:type="dxa"/>
            <w:tcMar>
              <w:top w:w="0" w:type="dxa"/>
              <w:left w:w="108" w:type="dxa"/>
              <w:bottom w:w="0" w:type="dxa"/>
              <w:right w:w="108" w:type="dxa"/>
            </w:tcMar>
            <w:vAlign w:val="center"/>
          </w:tcPr>
          <w:p w14:paraId="567A531C">
            <w:pPr>
              <w:pStyle w:val="91"/>
              <w:keepNext w:val="0"/>
              <w:keepLines w:val="0"/>
              <w:pageBreakBefore w:val="0"/>
              <w:widowControl/>
              <w:kinsoku/>
              <w:wordWrap w:val="0"/>
              <w:overflowPunct/>
              <w:topLinePunct w:val="0"/>
              <w:autoSpaceDE/>
              <w:autoSpaceDN/>
              <w:bidi w:val="0"/>
              <w:adjustRightInd w:val="0"/>
              <w:snapToGrid w:val="0"/>
              <w:spacing w:before="0" w:after="0" w:line="360" w:lineRule="auto"/>
              <w:ind w:left="0" w:right="0"/>
              <w:jc w:val="center"/>
              <w:textAlignment w:val="auto"/>
              <w:rPr>
                <w:rFonts w:hint="eastAsia" w:asciiTheme="minorEastAsia" w:hAnsiTheme="minorEastAsia" w:eastAsiaTheme="minorEastAsia" w:cstheme="minorEastAsia"/>
                <w:b/>
                <w:sz w:val="24"/>
                <w:szCs w:val="24"/>
                <w:highlight w:val="none"/>
                <w:lang w:val="en-US" w:eastAsia="zh-CN"/>
              </w:rPr>
            </w:pPr>
            <w:r>
              <w:rPr>
                <w:rFonts w:hint="eastAsia" w:asciiTheme="minorEastAsia" w:hAnsiTheme="minorEastAsia" w:eastAsiaTheme="minorEastAsia" w:cstheme="minorEastAsia"/>
                <w:b/>
                <w:sz w:val="24"/>
                <w:szCs w:val="24"/>
                <w:highlight w:val="none"/>
                <w:lang w:val="en-US" w:eastAsia="zh-CN"/>
              </w:rPr>
              <w:t>满分</w:t>
            </w:r>
          </w:p>
          <w:p w14:paraId="087B59BD">
            <w:pPr>
              <w:pStyle w:val="91"/>
              <w:keepNext w:val="0"/>
              <w:keepLines w:val="0"/>
              <w:pageBreakBefore w:val="0"/>
              <w:widowControl/>
              <w:kinsoku/>
              <w:wordWrap w:val="0"/>
              <w:overflowPunct/>
              <w:topLinePunct w:val="0"/>
              <w:autoSpaceDE/>
              <w:autoSpaceDN/>
              <w:bidi w:val="0"/>
              <w:adjustRightInd w:val="0"/>
              <w:snapToGrid w:val="0"/>
              <w:spacing w:before="0" w:after="0" w:line="360" w:lineRule="auto"/>
              <w:ind w:left="0" w:right="0"/>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20分</w:t>
            </w:r>
          </w:p>
        </w:tc>
        <w:tc>
          <w:tcPr>
            <w:tcW w:w="6142" w:type="dxa"/>
            <w:tcMar>
              <w:top w:w="0" w:type="dxa"/>
              <w:left w:w="108" w:type="dxa"/>
              <w:bottom w:w="0" w:type="dxa"/>
              <w:right w:w="108" w:type="dxa"/>
            </w:tcMar>
            <w:vAlign w:val="top"/>
          </w:tcPr>
          <w:p w14:paraId="14702DE7">
            <w:pPr>
              <w:pStyle w:val="91"/>
              <w:keepNext w:val="0"/>
              <w:keepLines w:val="0"/>
              <w:pageBreakBefore w:val="0"/>
              <w:widowControl/>
              <w:kinsoku/>
              <w:wordWrap w:val="0"/>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综合评分法中的价格分统一采用低价优先法计算，即满足磋商文件要求且最后报价最低的供应商的价格为磋商基准价，其价格分为满分。其他供应商的价格分统一按照下列公式计算：</w:t>
            </w:r>
          </w:p>
          <w:p w14:paraId="0E988A13">
            <w:pPr>
              <w:pStyle w:val="91"/>
              <w:keepNext w:val="0"/>
              <w:keepLines w:val="0"/>
              <w:pageBreakBefore w:val="0"/>
              <w:widowControl/>
              <w:kinsoku/>
              <w:wordWrap w:val="0"/>
              <w:overflowPunct/>
              <w:topLinePunct w:val="0"/>
              <w:autoSpaceDE/>
              <w:autoSpaceDN/>
              <w:bidi w:val="0"/>
              <w:adjustRightInd w:val="0"/>
              <w:snapToGrid w:val="0"/>
              <w:spacing w:before="0" w:after="0" w:line="360" w:lineRule="auto"/>
              <w:ind w:left="0" w:right="0"/>
              <w:jc w:val="lef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磋商报价得分=（磋商基准价/最后磋商报价）</w:t>
            </w:r>
            <w:r>
              <w:rPr>
                <w:rFonts w:hint="eastAsia" w:asciiTheme="minorEastAsia" w:hAnsiTheme="minorEastAsia" w:eastAsiaTheme="minorEastAsia" w:cstheme="minorEastAsia"/>
                <w:color w:val="000000"/>
                <w:sz w:val="24"/>
                <w:szCs w:val="24"/>
                <w:highlight w:val="none"/>
                <w:lang w:val="en-US" w:eastAsia="zh-CN"/>
              </w:rPr>
              <w:t>×20</w:t>
            </w:r>
          </w:p>
        </w:tc>
      </w:tr>
      <w:tr w14:paraId="032BE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290" w:type="dxa"/>
            <w:tcMar>
              <w:top w:w="0" w:type="dxa"/>
              <w:left w:w="108" w:type="dxa"/>
              <w:bottom w:w="0" w:type="dxa"/>
              <w:right w:w="108" w:type="dxa"/>
            </w:tcMar>
            <w:vAlign w:val="center"/>
          </w:tcPr>
          <w:p w14:paraId="0396EEC7">
            <w:pPr>
              <w:pStyle w:val="91"/>
              <w:keepNext w:val="0"/>
              <w:keepLines w:val="0"/>
              <w:pageBreakBefore w:val="0"/>
              <w:widowControl/>
              <w:kinsoku/>
              <w:wordWrap w:val="0"/>
              <w:overflowPunct/>
              <w:topLinePunct w:val="0"/>
              <w:autoSpaceDE/>
              <w:autoSpaceDN/>
              <w:bidi w:val="0"/>
              <w:adjustRightInd w:val="0"/>
              <w:snapToGrid w:val="0"/>
              <w:spacing w:before="0" w:after="0" w:line="360" w:lineRule="auto"/>
              <w:ind w:left="0" w:right="0"/>
              <w:jc w:val="center"/>
              <w:textAlignment w:val="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服务</w:t>
            </w:r>
            <w:r>
              <w:rPr>
                <w:rFonts w:hint="eastAsia" w:asciiTheme="minorEastAsia" w:hAnsiTheme="minorEastAsia" w:eastAsiaTheme="minorEastAsia" w:cstheme="minorEastAsia"/>
                <w:b/>
                <w:sz w:val="24"/>
                <w:szCs w:val="24"/>
                <w:highlight w:val="none"/>
                <w:lang w:val="en-US" w:eastAsia="zh-CN"/>
              </w:rPr>
              <w:t>需求</w:t>
            </w:r>
            <w:r>
              <w:rPr>
                <w:rFonts w:hint="eastAsia" w:asciiTheme="minorEastAsia" w:hAnsiTheme="minorEastAsia" w:eastAsiaTheme="minorEastAsia" w:cstheme="minorEastAsia"/>
                <w:b/>
                <w:sz w:val="24"/>
                <w:szCs w:val="24"/>
                <w:highlight w:val="none"/>
              </w:rPr>
              <w:t>的响应</w:t>
            </w:r>
          </w:p>
        </w:tc>
        <w:tc>
          <w:tcPr>
            <w:tcW w:w="842" w:type="dxa"/>
            <w:tcMar>
              <w:top w:w="0" w:type="dxa"/>
              <w:left w:w="108" w:type="dxa"/>
              <w:bottom w:w="0" w:type="dxa"/>
              <w:right w:w="108" w:type="dxa"/>
            </w:tcMar>
            <w:vAlign w:val="center"/>
          </w:tcPr>
          <w:p w14:paraId="5493DFC6">
            <w:pPr>
              <w:pStyle w:val="91"/>
              <w:keepNext w:val="0"/>
              <w:keepLines w:val="0"/>
              <w:pageBreakBefore w:val="0"/>
              <w:widowControl/>
              <w:kinsoku/>
              <w:wordWrap w:val="0"/>
              <w:overflowPunct/>
              <w:topLinePunct w:val="0"/>
              <w:autoSpaceDE/>
              <w:autoSpaceDN/>
              <w:bidi w:val="0"/>
              <w:adjustRightInd w:val="0"/>
              <w:snapToGrid w:val="0"/>
              <w:spacing w:before="0" w:after="0" w:line="360" w:lineRule="auto"/>
              <w:ind w:left="0" w:right="0"/>
              <w:jc w:val="center"/>
              <w:textAlignment w:val="auto"/>
              <w:rPr>
                <w:rFonts w:hint="default" w:asciiTheme="minorEastAsia" w:hAnsiTheme="minorEastAsia" w:eastAsiaTheme="minorEastAsia" w:cstheme="minorEastAsia"/>
                <w:b/>
                <w:sz w:val="24"/>
                <w:szCs w:val="24"/>
                <w:highlight w:val="none"/>
                <w:lang w:val="en-US" w:eastAsia="zh-CN"/>
              </w:rPr>
            </w:pPr>
            <w:r>
              <w:rPr>
                <w:rFonts w:hint="eastAsia" w:asciiTheme="minorEastAsia" w:hAnsiTheme="minorEastAsia" w:eastAsiaTheme="minorEastAsia" w:cstheme="minorEastAsia"/>
                <w:b/>
                <w:sz w:val="24"/>
                <w:szCs w:val="24"/>
                <w:highlight w:val="none"/>
                <w:lang w:val="en-US" w:eastAsia="zh-CN"/>
              </w:rPr>
              <w:t>满分12分</w:t>
            </w:r>
          </w:p>
        </w:tc>
        <w:tc>
          <w:tcPr>
            <w:tcW w:w="6142" w:type="dxa"/>
            <w:tcMar>
              <w:top w:w="0" w:type="dxa"/>
              <w:left w:w="108" w:type="dxa"/>
              <w:bottom w:w="0" w:type="dxa"/>
              <w:right w:w="108" w:type="dxa"/>
            </w:tcMar>
            <w:vAlign w:val="top"/>
          </w:tcPr>
          <w:p w14:paraId="4D1ACF0C">
            <w:pPr>
              <w:keepNext w:val="0"/>
              <w:keepLines w:val="0"/>
              <w:pageBreakBefore w:val="0"/>
              <w:widowControl/>
              <w:kinsoku/>
              <w:wordWrap w:val="0"/>
              <w:overflowPunct/>
              <w:topLinePunct w:val="0"/>
              <w:autoSpaceDE/>
              <w:autoSpaceDN/>
              <w:bidi w:val="0"/>
              <w:adjustRightInd w:val="0"/>
              <w:snapToGrid w:val="0"/>
              <w:spacing w:line="360" w:lineRule="auto"/>
              <w:jc w:val="left"/>
              <w:textAlignment w:val="auto"/>
              <w:rPr>
                <w:rFonts w:hint="eastAsia" w:asciiTheme="minorEastAsia" w:hAnsiTheme="minorEastAsia" w:eastAsiaTheme="minorEastAsia" w:cstheme="minorEastAsia"/>
                <w:color w:val="000000"/>
                <w:kern w:val="0"/>
                <w:sz w:val="24"/>
                <w:szCs w:val="24"/>
                <w:highlight w:val="none"/>
                <w:lang w:val="en-US" w:eastAsia="zh-CN" w:bidi="ar-SA"/>
              </w:rPr>
            </w:pPr>
            <w:r>
              <w:rPr>
                <w:rFonts w:hint="eastAsia" w:asciiTheme="minorEastAsia" w:hAnsiTheme="minorEastAsia" w:eastAsiaTheme="minorEastAsia" w:cstheme="minorEastAsia"/>
                <w:color w:val="000000"/>
                <w:kern w:val="0"/>
                <w:sz w:val="24"/>
                <w:szCs w:val="24"/>
                <w:highlight w:val="none"/>
                <w:lang w:val="en-US" w:eastAsia="zh-CN" w:bidi="ar-SA"/>
              </w:rPr>
              <w:t>根据供应商针对服务要求响应情况进行评审，完全响应并满足服务要求的得12分，有一项未响应或不满足采购需求的扣1分，扣完为止。</w:t>
            </w:r>
          </w:p>
          <w:p w14:paraId="1848961F">
            <w:pPr>
              <w:pStyle w:val="91"/>
              <w:keepNext w:val="0"/>
              <w:keepLines w:val="0"/>
              <w:pageBreakBefore w:val="0"/>
              <w:widowControl/>
              <w:kinsoku/>
              <w:wordWrap w:val="0"/>
              <w:overflowPunct/>
              <w:topLinePunct w:val="0"/>
              <w:autoSpaceDE/>
              <w:autoSpaceDN/>
              <w:bidi w:val="0"/>
              <w:adjustRightInd w:val="0"/>
              <w:snapToGrid w:val="0"/>
              <w:spacing w:before="0" w:after="0" w:line="360" w:lineRule="auto"/>
              <w:ind w:left="0" w:right="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color w:val="000000"/>
                <w:kern w:val="0"/>
                <w:sz w:val="24"/>
                <w:szCs w:val="24"/>
                <w:highlight w:val="none"/>
                <w:lang w:val="en-US" w:eastAsia="zh-CN" w:bidi="ar-SA"/>
              </w:rPr>
              <w:t>备注：相应的各服务要求均需提供佐证材料。佐证材料为供应商认为可以佐证参数响应性的材料或服务方案。供应商对材料的真实性、完整性、有效性及针对性承担责任，自行承担因材料提供不全导致服务要求被认定为不满足或负偏离的风险。</w:t>
            </w:r>
          </w:p>
        </w:tc>
      </w:tr>
      <w:tr w14:paraId="08AE3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290" w:type="dxa"/>
            <w:shd w:val="clear" w:color="auto" w:fill="auto"/>
            <w:tcMar>
              <w:top w:w="0" w:type="dxa"/>
              <w:left w:w="108" w:type="dxa"/>
              <w:bottom w:w="0" w:type="dxa"/>
              <w:right w:w="108" w:type="dxa"/>
            </w:tcMar>
            <w:vAlign w:val="center"/>
          </w:tcPr>
          <w:p w14:paraId="7E1694A8">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整体服务的思路及要点</w:t>
            </w:r>
          </w:p>
        </w:tc>
        <w:tc>
          <w:tcPr>
            <w:tcW w:w="842" w:type="dxa"/>
            <w:shd w:val="clear" w:color="auto" w:fill="auto"/>
            <w:tcMar>
              <w:top w:w="0" w:type="dxa"/>
              <w:left w:w="108" w:type="dxa"/>
              <w:bottom w:w="0" w:type="dxa"/>
              <w:right w:w="108" w:type="dxa"/>
            </w:tcMar>
            <w:vAlign w:val="center"/>
          </w:tcPr>
          <w:p w14:paraId="1C155B93">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满分</w:t>
            </w:r>
          </w:p>
          <w:p w14:paraId="3FD712D2">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rPr>
              <w:t>6</w:t>
            </w:r>
            <w:r>
              <w:rPr>
                <w:rFonts w:hint="eastAsia" w:asciiTheme="minorEastAsia" w:hAnsiTheme="minorEastAsia" w:eastAsiaTheme="minorEastAsia" w:cstheme="minorEastAsia"/>
                <w:b/>
                <w:bCs/>
                <w:color w:val="auto"/>
                <w:sz w:val="24"/>
                <w:szCs w:val="24"/>
                <w:highlight w:val="none"/>
              </w:rPr>
              <w:t>分</w:t>
            </w:r>
          </w:p>
        </w:tc>
        <w:tc>
          <w:tcPr>
            <w:tcW w:w="6142" w:type="dxa"/>
            <w:shd w:val="clear" w:color="auto" w:fill="auto"/>
            <w:tcMar>
              <w:top w:w="0" w:type="dxa"/>
              <w:left w:w="108" w:type="dxa"/>
              <w:bottom w:w="0" w:type="dxa"/>
              <w:right w:w="108" w:type="dxa"/>
            </w:tcMar>
            <w:vAlign w:val="center"/>
          </w:tcPr>
          <w:p w14:paraId="003A9184">
            <w:pPr>
              <w:keepNext w:val="0"/>
              <w:keepLines w:val="0"/>
              <w:pageBreakBefore w:val="0"/>
              <w:kinsoku/>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eastAsia="zh-CN"/>
              </w:rPr>
              <w:t>供应商</w:t>
            </w:r>
            <w:r>
              <w:rPr>
                <w:rFonts w:hint="eastAsia" w:asciiTheme="minorEastAsia" w:hAnsiTheme="minorEastAsia" w:eastAsiaTheme="minorEastAsia" w:cstheme="minorEastAsia"/>
                <w:b/>
                <w:bCs/>
                <w:color w:val="auto"/>
                <w:sz w:val="24"/>
                <w:szCs w:val="24"/>
                <w:highlight w:val="none"/>
                <w:lang w:val="en-US" w:eastAsia="zh-CN"/>
              </w:rPr>
              <w:t>提供的</w:t>
            </w:r>
            <w:r>
              <w:rPr>
                <w:rFonts w:hint="eastAsia" w:asciiTheme="minorEastAsia" w:hAnsiTheme="minorEastAsia" w:eastAsiaTheme="minorEastAsia" w:cstheme="minorEastAsia"/>
                <w:b/>
                <w:bCs/>
                <w:color w:val="auto"/>
                <w:kern w:val="2"/>
                <w:sz w:val="24"/>
                <w:szCs w:val="24"/>
                <w:highlight w:val="none"/>
                <w:lang w:val="en-US" w:eastAsia="zh-CN" w:bidi="ar-SA"/>
              </w:rPr>
              <w:t>整体服务的思路及要点</w:t>
            </w:r>
            <w:r>
              <w:rPr>
                <w:rFonts w:hint="eastAsia" w:asciiTheme="minorEastAsia" w:hAnsiTheme="minorEastAsia" w:eastAsiaTheme="minorEastAsia" w:cstheme="minorEastAsia"/>
                <w:b/>
                <w:bCs/>
                <w:color w:val="auto"/>
                <w:sz w:val="24"/>
                <w:szCs w:val="24"/>
                <w:highlight w:val="none"/>
              </w:rPr>
              <w:t>需包含</w:t>
            </w:r>
            <w:r>
              <w:rPr>
                <w:rFonts w:hint="eastAsia" w:asciiTheme="minorEastAsia" w:hAnsiTheme="minorEastAsia" w:eastAsiaTheme="minorEastAsia" w:cstheme="minorEastAsia"/>
                <w:b/>
                <w:bCs/>
                <w:color w:val="auto"/>
                <w:sz w:val="24"/>
                <w:szCs w:val="24"/>
                <w:highlight w:val="none"/>
                <w:lang w:val="zh-CN" w:eastAsia="zh-CN"/>
              </w:rPr>
              <w:t>①</w:t>
            </w:r>
            <w:r>
              <w:rPr>
                <w:rFonts w:hint="eastAsia" w:asciiTheme="minorEastAsia" w:hAnsiTheme="minorEastAsia" w:eastAsiaTheme="minorEastAsia" w:cstheme="minorEastAsia"/>
                <w:b/>
                <w:bCs/>
                <w:color w:val="auto"/>
                <w:sz w:val="24"/>
                <w:szCs w:val="24"/>
                <w:highlight w:val="none"/>
              </w:rPr>
              <w:t>核心需求把握度</w:t>
            </w:r>
            <w:r>
              <w:rPr>
                <w:rFonts w:hint="eastAsia" w:asciiTheme="minorEastAsia" w:hAnsiTheme="minorEastAsia" w:eastAsiaTheme="minorEastAsia" w:cstheme="minorEastAsia"/>
                <w:b/>
                <w:bCs/>
                <w:color w:val="auto"/>
                <w:sz w:val="24"/>
                <w:szCs w:val="24"/>
                <w:highlight w:val="none"/>
                <w:lang w:val="en-US" w:eastAsia="zh-CN"/>
              </w:rPr>
              <w:t>；</w:t>
            </w:r>
            <w:r>
              <w:rPr>
                <w:rFonts w:hint="eastAsia" w:asciiTheme="minorEastAsia" w:hAnsiTheme="minorEastAsia" w:eastAsiaTheme="minorEastAsia" w:cstheme="minorEastAsia"/>
                <w:b/>
                <w:bCs/>
                <w:color w:val="auto"/>
                <w:sz w:val="24"/>
                <w:szCs w:val="24"/>
                <w:highlight w:val="none"/>
                <w:lang w:val="zh-CN" w:eastAsia="zh-CN"/>
              </w:rPr>
              <w:t>②</w:t>
            </w:r>
            <w:r>
              <w:rPr>
                <w:rFonts w:hint="eastAsia" w:asciiTheme="minorEastAsia" w:hAnsiTheme="minorEastAsia" w:eastAsiaTheme="minorEastAsia" w:cstheme="minorEastAsia"/>
                <w:b/>
                <w:bCs/>
                <w:color w:val="auto"/>
                <w:sz w:val="24"/>
                <w:szCs w:val="24"/>
                <w:highlight w:val="none"/>
              </w:rPr>
              <w:t>重难点深度分析</w:t>
            </w:r>
            <w:r>
              <w:rPr>
                <w:rFonts w:hint="eastAsia" w:asciiTheme="minorEastAsia" w:hAnsiTheme="minorEastAsia" w:eastAsiaTheme="minorEastAsia" w:cstheme="minorEastAsia"/>
                <w:b/>
                <w:bCs/>
                <w:color w:val="auto"/>
                <w:sz w:val="24"/>
                <w:szCs w:val="24"/>
                <w:highlight w:val="none"/>
                <w:lang w:val="en-US" w:eastAsia="zh-CN"/>
              </w:rPr>
              <w:t>及</w:t>
            </w:r>
            <w:r>
              <w:rPr>
                <w:rFonts w:hint="eastAsia" w:asciiTheme="minorEastAsia" w:hAnsiTheme="minorEastAsia" w:eastAsiaTheme="minorEastAsia" w:cstheme="minorEastAsia"/>
                <w:b/>
                <w:bCs/>
                <w:color w:val="auto"/>
                <w:sz w:val="24"/>
                <w:szCs w:val="24"/>
                <w:highlight w:val="none"/>
              </w:rPr>
              <w:t>需求适配针对性</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共2项内容，</w:t>
            </w:r>
            <w:r>
              <w:rPr>
                <w:rFonts w:hint="eastAsia" w:asciiTheme="minorEastAsia" w:hAnsiTheme="minorEastAsia" w:eastAsiaTheme="minorEastAsia" w:cstheme="minorEastAsia"/>
                <w:b/>
                <w:bCs/>
                <w:color w:val="auto"/>
                <w:sz w:val="24"/>
                <w:szCs w:val="24"/>
                <w:highlight w:val="none"/>
              </w:rPr>
              <w:t>每项满分3分，</w:t>
            </w:r>
            <w:r>
              <w:rPr>
                <w:rFonts w:hint="eastAsia" w:asciiTheme="minorEastAsia" w:hAnsiTheme="minorEastAsia" w:eastAsiaTheme="minorEastAsia" w:cstheme="minorEastAsia"/>
                <w:b/>
                <w:bCs/>
                <w:color w:val="auto"/>
                <w:sz w:val="24"/>
                <w:szCs w:val="24"/>
                <w:highlight w:val="none"/>
                <w:lang w:val="en-US" w:eastAsia="zh-CN"/>
              </w:rPr>
              <w:t>总分6分。</w:t>
            </w:r>
          </w:p>
          <w:p w14:paraId="0B678E54">
            <w:pPr>
              <w:keepNext w:val="0"/>
              <w:keepLines w:val="0"/>
              <w:pageBreakBefore w:val="0"/>
              <w:kinsoku/>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eastAsia="zh-CN"/>
              </w:rPr>
              <w:t>其中，每项以具体内容与本项目及</w:t>
            </w:r>
            <w:r>
              <w:rPr>
                <w:rFonts w:hint="eastAsia" w:asciiTheme="minorEastAsia" w:hAnsiTheme="minorEastAsia" w:eastAsiaTheme="minorEastAsia" w:cstheme="minorEastAsia"/>
                <w:color w:val="auto"/>
                <w:sz w:val="24"/>
                <w:szCs w:val="24"/>
                <w:highlight w:val="none"/>
                <w:lang w:val="en-US" w:eastAsia="zh-CN"/>
              </w:rPr>
              <w:t>服务需求</w:t>
            </w:r>
            <w:r>
              <w:rPr>
                <w:rFonts w:hint="eastAsia" w:asciiTheme="minorEastAsia" w:hAnsiTheme="minorEastAsia" w:eastAsiaTheme="minorEastAsia" w:cstheme="minorEastAsia"/>
                <w:color w:val="auto"/>
                <w:sz w:val="24"/>
                <w:szCs w:val="24"/>
                <w:highlight w:val="none"/>
                <w:lang w:eastAsia="zh-CN"/>
              </w:rPr>
              <w:t>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3D915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290" w:type="dxa"/>
            <w:shd w:val="clear" w:color="auto" w:fill="auto"/>
            <w:tcMar>
              <w:top w:w="0" w:type="dxa"/>
              <w:left w:w="108" w:type="dxa"/>
              <w:bottom w:w="0" w:type="dxa"/>
              <w:right w:w="108" w:type="dxa"/>
            </w:tcMar>
            <w:vAlign w:val="center"/>
          </w:tcPr>
          <w:p w14:paraId="1E9BDD89">
            <w:pPr>
              <w:keepNext w:val="0"/>
              <w:keepLines w:val="0"/>
              <w:pageBreakBefore w:val="0"/>
              <w:kinsoku/>
              <w:overflowPunct/>
              <w:topLinePunct w:val="0"/>
              <w:autoSpaceDE/>
              <w:autoSpaceDN/>
              <w:bidi w:val="0"/>
              <w:adjustRightInd w:val="0"/>
              <w:snapToGrid w:val="0"/>
              <w:spacing w:line="360" w:lineRule="auto"/>
              <w:jc w:val="center"/>
              <w:textAlignment w:val="auto"/>
              <w:rPr>
                <w:rFonts w:hint="default"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服务方案</w:t>
            </w:r>
          </w:p>
        </w:tc>
        <w:tc>
          <w:tcPr>
            <w:tcW w:w="842" w:type="dxa"/>
            <w:shd w:val="clear" w:color="auto" w:fill="auto"/>
            <w:tcMar>
              <w:top w:w="0" w:type="dxa"/>
              <w:left w:w="108" w:type="dxa"/>
              <w:bottom w:w="0" w:type="dxa"/>
              <w:right w:w="108" w:type="dxa"/>
            </w:tcMar>
            <w:vAlign w:val="center"/>
          </w:tcPr>
          <w:p w14:paraId="04593006">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满分</w:t>
            </w:r>
          </w:p>
          <w:p w14:paraId="036860EF">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9</w:t>
            </w:r>
            <w:r>
              <w:rPr>
                <w:rFonts w:hint="eastAsia" w:asciiTheme="minorEastAsia" w:hAnsiTheme="minorEastAsia" w:eastAsiaTheme="minorEastAsia" w:cstheme="minorEastAsia"/>
                <w:b/>
                <w:bCs/>
                <w:color w:val="auto"/>
                <w:sz w:val="24"/>
                <w:szCs w:val="24"/>
                <w:highlight w:val="none"/>
              </w:rPr>
              <w:t>分</w:t>
            </w:r>
          </w:p>
        </w:tc>
        <w:tc>
          <w:tcPr>
            <w:tcW w:w="6142" w:type="dxa"/>
            <w:shd w:val="clear" w:color="auto" w:fill="auto"/>
            <w:tcMar>
              <w:top w:w="0" w:type="dxa"/>
              <w:left w:w="108" w:type="dxa"/>
              <w:bottom w:w="0" w:type="dxa"/>
              <w:right w:w="108" w:type="dxa"/>
            </w:tcMar>
            <w:vAlign w:val="center"/>
          </w:tcPr>
          <w:p w14:paraId="23CA768C">
            <w:pPr>
              <w:keepNext w:val="0"/>
              <w:keepLines w:val="0"/>
              <w:pageBreakBefore w:val="0"/>
              <w:kinsoku/>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eastAsia="zh-CN"/>
              </w:rPr>
              <w:t>供应商</w:t>
            </w:r>
            <w:r>
              <w:rPr>
                <w:rFonts w:hint="eastAsia" w:asciiTheme="minorEastAsia" w:hAnsiTheme="minorEastAsia" w:eastAsiaTheme="minorEastAsia" w:cstheme="minorEastAsia"/>
                <w:b/>
                <w:bCs/>
                <w:color w:val="auto"/>
                <w:sz w:val="24"/>
                <w:szCs w:val="24"/>
                <w:highlight w:val="none"/>
                <w:lang w:val="en-US" w:eastAsia="zh-CN"/>
              </w:rPr>
              <w:t>提供的</w:t>
            </w:r>
            <w:r>
              <w:rPr>
                <w:rFonts w:hint="eastAsia" w:asciiTheme="minorEastAsia" w:hAnsiTheme="minorEastAsia" w:eastAsiaTheme="minorEastAsia" w:cstheme="minorEastAsia"/>
                <w:b/>
                <w:bCs/>
                <w:color w:val="auto"/>
                <w:kern w:val="2"/>
                <w:sz w:val="24"/>
                <w:szCs w:val="24"/>
                <w:highlight w:val="none"/>
                <w:lang w:val="en-US" w:eastAsia="zh-CN" w:bidi="ar-SA"/>
              </w:rPr>
              <w:t>服务方案</w:t>
            </w:r>
            <w:r>
              <w:rPr>
                <w:rFonts w:hint="eastAsia" w:asciiTheme="minorEastAsia" w:hAnsiTheme="minorEastAsia" w:eastAsiaTheme="minorEastAsia" w:cstheme="minorEastAsia"/>
                <w:b/>
                <w:bCs/>
                <w:color w:val="auto"/>
                <w:sz w:val="24"/>
                <w:szCs w:val="24"/>
                <w:highlight w:val="none"/>
              </w:rPr>
              <w:t>需</w:t>
            </w:r>
            <w:r>
              <w:rPr>
                <w:rFonts w:hint="eastAsia" w:asciiTheme="minorEastAsia" w:hAnsiTheme="minorEastAsia" w:eastAsiaTheme="minorEastAsia" w:cstheme="minorEastAsia"/>
                <w:b/>
                <w:bCs/>
                <w:color w:val="auto"/>
                <w:sz w:val="24"/>
                <w:szCs w:val="24"/>
                <w:highlight w:val="none"/>
                <w:lang w:eastAsia="zh-CN"/>
              </w:rPr>
              <w:t>包含</w:t>
            </w:r>
            <w:r>
              <w:rPr>
                <w:rFonts w:hint="eastAsia" w:asciiTheme="minorEastAsia" w:hAnsiTheme="minorEastAsia" w:eastAsiaTheme="minorEastAsia" w:cstheme="minorEastAsia"/>
                <w:b/>
                <w:bCs/>
                <w:color w:val="auto"/>
                <w:sz w:val="24"/>
                <w:szCs w:val="24"/>
                <w:highlight w:val="none"/>
                <w:lang w:val="zh-CN" w:eastAsia="zh-CN"/>
              </w:rPr>
              <w:t>①</w:t>
            </w:r>
            <w:r>
              <w:rPr>
                <w:rFonts w:hint="eastAsia" w:asciiTheme="minorEastAsia" w:hAnsiTheme="minorEastAsia" w:eastAsiaTheme="minorEastAsia" w:cstheme="minorEastAsia"/>
                <w:b/>
                <w:bCs/>
                <w:color w:val="auto"/>
                <w:sz w:val="24"/>
                <w:szCs w:val="24"/>
                <w:highlight w:val="none"/>
                <w:lang w:val="en-US" w:eastAsia="zh-CN"/>
              </w:rPr>
              <w:t>审核筹划组织方案；</w:t>
            </w:r>
            <w:r>
              <w:rPr>
                <w:rFonts w:hint="eastAsia" w:asciiTheme="minorEastAsia" w:hAnsiTheme="minorEastAsia" w:eastAsiaTheme="minorEastAsia" w:cstheme="minorEastAsia"/>
                <w:b/>
                <w:bCs/>
                <w:color w:val="auto"/>
                <w:sz w:val="24"/>
                <w:szCs w:val="24"/>
                <w:highlight w:val="none"/>
                <w:lang w:val="zh-CN" w:eastAsia="zh-CN"/>
              </w:rPr>
              <w:t>②</w:t>
            </w:r>
            <w:r>
              <w:rPr>
                <w:rFonts w:hint="eastAsia" w:asciiTheme="minorEastAsia" w:hAnsiTheme="minorEastAsia" w:eastAsiaTheme="minorEastAsia" w:cstheme="minorEastAsia"/>
                <w:b/>
                <w:bCs/>
                <w:color w:val="auto"/>
                <w:sz w:val="24"/>
                <w:szCs w:val="24"/>
                <w:highlight w:val="none"/>
                <w:lang w:val="en-US" w:eastAsia="zh-CN"/>
              </w:rPr>
              <w:t>预评估、评估与衡算实施方案、方案产生与筛选措施方案</w:t>
            </w:r>
            <w:r>
              <w:rPr>
                <w:rFonts w:hint="eastAsia" w:asciiTheme="minorEastAsia" w:hAnsiTheme="minorEastAsia" w:eastAsiaTheme="minorEastAsia" w:cstheme="minorEastAsia"/>
                <w:b/>
                <w:bCs/>
                <w:color w:val="auto"/>
                <w:sz w:val="24"/>
                <w:szCs w:val="24"/>
                <w:highlight w:val="none"/>
                <w:lang w:eastAsia="zh-CN"/>
              </w:rPr>
              <w:t>，</w:t>
            </w:r>
            <w:r>
              <w:rPr>
                <w:rFonts w:hint="default" w:asciiTheme="minorEastAsia" w:hAnsiTheme="minorEastAsia" w:eastAsiaTheme="minorEastAsia" w:cstheme="minorEastAsia"/>
                <w:b/>
                <w:bCs/>
                <w:color w:val="auto"/>
                <w:sz w:val="24"/>
                <w:szCs w:val="24"/>
                <w:highlight w:val="none"/>
                <w:lang w:eastAsia="zh-CN"/>
              </w:rPr>
              <w:t>③</w:t>
            </w:r>
            <w:r>
              <w:rPr>
                <w:rFonts w:hint="eastAsia" w:asciiTheme="minorEastAsia" w:hAnsiTheme="minorEastAsia" w:eastAsiaTheme="minorEastAsia" w:cstheme="minorEastAsia"/>
                <w:b/>
                <w:bCs/>
                <w:color w:val="auto"/>
                <w:sz w:val="24"/>
                <w:szCs w:val="24"/>
                <w:highlight w:val="none"/>
                <w:lang w:val="en-US" w:eastAsia="zh-CN"/>
              </w:rPr>
              <w:t>报告编制、审核跟踪与实施衔接实施方案，共3项内容，</w:t>
            </w:r>
            <w:r>
              <w:rPr>
                <w:rFonts w:hint="eastAsia" w:asciiTheme="minorEastAsia" w:hAnsiTheme="minorEastAsia" w:eastAsiaTheme="minorEastAsia" w:cstheme="minorEastAsia"/>
                <w:b/>
                <w:bCs/>
                <w:color w:val="auto"/>
                <w:sz w:val="24"/>
                <w:szCs w:val="24"/>
                <w:highlight w:val="none"/>
                <w:lang w:eastAsia="zh-CN"/>
              </w:rPr>
              <w:t>每项满分3分，</w:t>
            </w:r>
            <w:r>
              <w:rPr>
                <w:rFonts w:hint="eastAsia" w:asciiTheme="minorEastAsia" w:hAnsiTheme="minorEastAsia" w:eastAsiaTheme="minorEastAsia" w:cstheme="minorEastAsia"/>
                <w:b/>
                <w:bCs/>
                <w:color w:val="auto"/>
                <w:sz w:val="24"/>
                <w:szCs w:val="24"/>
                <w:highlight w:val="none"/>
                <w:lang w:val="en-US" w:eastAsia="zh-CN"/>
              </w:rPr>
              <w:t>总分9分。</w:t>
            </w:r>
          </w:p>
          <w:p w14:paraId="11312218">
            <w:pPr>
              <w:keepNext w:val="0"/>
              <w:keepLines w:val="0"/>
              <w:pageBreakBefore w:val="0"/>
              <w:kinsoku/>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其中，每项以具体内容与本项目及</w:t>
            </w:r>
            <w:r>
              <w:rPr>
                <w:rFonts w:hint="eastAsia" w:asciiTheme="minorEastAsia" w:hAnsiTheme="minorEastAsia" w:eastAsiaTheme="minorEastAsia" w:cstheme="minorEastAsia"/>
                <w:color w:val="auto"/>
                <w:sz w:val="24"/>
                <w:szCs w:val="24"/>
                <w:highlight w:val="none"/>
                <w:lang w:val="en-US" w:eastAsia="zh-CN"/>
              </w:rPr>
              <w:t>服务需求</w:t>
            </w:r>
            <w:r>
              <w:rPr>
                <w:rFonts w:hint="eastAsia" w:asciiTheme="minorEastAsia" w:hAnsiTheme="minorEastAsia" w:eastAsiaTheme="minorEastAsia" w:cstheme="minorEastAsia"/>
                <w:color w:val="auto"/>
                <w:sz w:val="24"/>
                <w:szCs w:val="24"/>
                <w:highlight w:val="none"/>
                <w:lang w:eastAsia="zh-CN"/>
              </w:rPr>
              <w:t>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45EDD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290" w:type="dxa"/>
            <w:tcMar>
              <w:top w:w="0" w:type="dxa"/>
              <w:left w:w="108" w:type="dxa"/>
              <w:bottom w:w="0" w:type="dxa"/>
              <w:right w:w="108" w:type="dxa"/>
            </w:tcMar>
            <w:vAlign w:val="center"/>
          </w:tcPr>
          <w:p w14:paraId="3CFCC8DA">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服务质量的保障</w:t>
            </w:r>
          </w:p>
          <w:p w14:paraId="289B955B">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auto"/>
                <w:kern w:val="2"/>
                <w:sz w:val="24"/>
                <w:szCs w:val="24"/>
                <w:highlight w:val="none"/>
                <w:lang w:val="en-US" w:eastAsia="zh-CN" w:bidi="ar-SA"/>
              </w:rPr>
              <w:t>措施</w:t>
            </w:r>
          </w:p>
        </w:tc>
        <w:tc>
          <w:tcPr>
            <w:tcW w:w="842" w:type="dxa"/>
            <w:tcMar>
              <w:top w:w="0" w:type="dxa"/>
              <w:left w:w="108" w:type="dxa"/>
              <w:bottom w:w="0" w:type="dxa"/>
              <w:right w:w="108" w:type="dxa"/>
            </w:tcMar>
            <w:vAlign w:val="center"/>
          </w:tcPr>
          <w:p w14:paraId="37FED3D0">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满分</w:t>
            </w:r>
          </w:p>
          <w:p w14:paraId="4ED5F0FF">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6</w:t>
            </w:r>
            <w:r>
              <w:rPr>
                <w:rFonts w:hint="eastAsia" w:asciiTheme="minorEastAsia" w:hAnsiTheme="minorEastAsia" w:eastAsiaTheme="minorEastAsia" w:cstheme="minorEastAsia"/>
                <w:b/>
                <w:bCs/>
                <w:color w:val="auto"/>
                <w:sz w:val="24"/>
                <w:szCs w:val="24"/>
                <w:highlight w:val="none"/>
              </w:rPr>
              <w:t>分</w:t>
            </w:r>
          </w:p>
        </w:tc>
        <w:tc>
          <w:tcPr>
            <w:tcW w:w="6142" w:type="dxa"/>
            <w:tcMar>
              <w:top w:w="0" w:type="dxa"/>
              <w:left w:w="108" w:type="dxa"/>
              <w:bottom w:w="0" w:type="dxa"/>
              <w:right w:w="108" w:type="dxa"/>
            </w:tcMar>
            <w:vAlign w:val="center"/>
          </w:tcPr>
          <w:p w14:paraId="799D8B15">
            <w:pPr>
              <w:keepNext w:val="0"/>
              <w:keepLines w:val="0"/>
              <w:pageBreakBefore w:val="0"/>
              <w:kinsoku/>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eastAsia="zh-CN"/>
              </w:rPr>
              <w:t>供应商</w:t>
            </w:r>
            <w:r>
              <w:rPr>
                <w:rFonts w:hint="eastAsia" w:asciiTheme="minorEastAsia" w:hAnsiTheme="minorEastAsia" w:eastAsiaTheme="minorEastAsia" w:cstheme="minorEastAsia"/>
                <w:b/>
                <w:bCs/>
                <w:color w:val="auto"/>
                <w:sz w:val="24"/>
                <w:szCs w:val="24"/>
                <w:highlight w:val="none"/>
                <w:lang w:val="en-US" w:eastAsia="zh-CN"/>
              </w:rPr>
              <w:t>提供的服务质量保障措施</w:t>
            </w:r>
            <w:r>
              <w:rPr>
                <w:rFonts w:hint="eastAsia" w:asciiTheme="minorEastAsia" w:hAnsiTheme="minorEastAsia" w:eastAsiaTheme="minorEastAsia" w:cstheme="minorEastAsia"/>
                <w:b/>
                <w:bCs/>
                <w:color w:val="auto"/>
                <w:sz w:val="24"/>
                <w:szCs w:val="24"/>
                <w:highlight w:val="none"/>
              </w:rPr>
              <w:t>方案需包含</w:t>
            </w:r>
            <w:r>
              <w:rPr>
                <w:rFonts w:hint="eastAsia" w:asciiTheme="minorEastAsia" w:hAnsiTheme="minorEastAsia" w:eastAsiaTheme="minorEastAsia" w:cstheme="minorEastAsia"/>
                <w:b/>
                <w:bCs/>
                <w:color w:val="auto"/>
                <w:sz w:val="24"/>
                <w:szCs w:val="24"/>
                <w:highlight w:val="none"/>
                <w:lang w:val="zh-CN" w:eastAsia="zh-CN"/>
              </w:rPr>
              <w:t>①</w:t>
            </w:r>
            <w:r>
              <w:rPr>
                <w:rFonts w:hint="eastAsia" w:asciiTheme="minorEastAsia" w:hAnsiTheme="minorEastAsia" w:eastAsiaTheme="minorEastAsia" w:cstheme="minorEastAsia"/>
                <w:b/>
                <w:bCs/>
                <w:color w:val="auto"/>
                <w:sz w:val="24"/>
                <w:szCs w:val="24"/>
                <w:highlight w:val="none"/>
                <w:lang w:val="en-US" w:eastAsia="zh-CN"/>
              </w:rPr>
              <w:t>核心环节质量管控措施；</w:t>
            </w:r>
            <w:r>
              <w:rPr>
                <w:rFonts w:hint="eastAsia" w:asciiTheme="minorEastAsia" w:hAnsiTheme="minorEastAsia" w:eastAsiaTheme="minorEastAsia" w:cstheme="minorEastAsia"/>
                <w:b/>
                <w:bCs/>
                <w:color w:val="auto"/>
                <w:sz w:val="24"/>
                <w:szCs w:val="24"/>
                <w:highlight w:val="none"/>
                <w:lang w:val="zh-CN" w:eastAsia="zh-CN"/>
              </w:rPr>
              <w:t>②</w:t>
            </w:r>
            <w:r>
              <w:rPr>
                <w:rFonts w:hint="eastAsia" w:asciiTheme="minorEastAsia" w:hAnsiTheme="minorEastAsia" w:eastAsiaTheme="minorEastAsia" w:cstheme="minorEastAsia"/>
                <w:b/>
                <w:bCs/>
                <w:color w:val="auto"/>
                <w:sz w:val="24"/>
                <w:szCs w:val="24"/>
                <w:highlight w:val="none"/>
                <w:lang w:val="en-US" w:eastAsia="zh-CN"/>
              </w:rPr>
              <w:t>整改机制及完善的售后服务体系，共2项内容，</w:t>
            </w:r>
            <w:r>
              <w:rPr>
                <w:rFonts w:hint="eastAsia" w:asciiTheme="minorEastAsia" w:hAnsiTheme="minorEastAsia" w:eastAsiaTheme="minorEastAsia" w:cstheme="minorEastAsia"/>
                <w:b/>
                <w:bCs/>
                <w:color w:val="auto"/>
                <w:sz w:val="24"/>
                <w:szCs w:val="24"/>
                <w:highlight w:val="none"/>
              </w:rPr>
              <w:t>每项满分3分，</w:t>
            </w:r>
            <w:r>
              <w:rPr>
                <w:rFonts w:hint="eastAsia" w:asciiTheme="minorEastAsia" w:hAnsiTheme="minorEastAsia" w:eastAsiaTheme="minorEastAsia" w:cstheme="minorEastAsia"/>
                <w:b/>
                <w:bCs/>
                <w:color w:val="auto"/>
                <w:sz w:val="24"/>
                <w:szCs w:val="24"/>
                <w:highlight w:val="none"/>
                <w:lang w:val="en-US" w:eastAsia="zh-CN"/>
              </w:rPr>
              <w:t>总分6分。</w:t>
            </w:r>
          </w:p>
          <w:p w14:paraId="1CCFB7F0">
            <w:pPr>
              <w:keepNext w:val="0"/>
              <w:keepLines w:val="0"/>
              <w:pageBreakBefore w:val="0"/>
              <w:kinsoku/>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sz w:val="24"/>
                <w:szCs w:val="24"/>
                <w:highlight w:val="none"/>
                <w:lang w:eastAsia="zh-CN"/>
              </w:rPr>
              <w:t>其中，每项以具体内容与本项目及</w:t>
            </w:r>
            <w:r>
              <w:rPr>
                <w:rFonts w:hint="eastAsia" w:asciiTheme="minorEastAsia" w:hAnsiTheme="minorEastAsia" w:eastAsiaTheme="minorEastAsia" w:cstheme="minorEastAsia"/>
                <w:color w:val="auto"/>
                <w:sz w:val="24"/>
                <w:szCs w:val="24"/>
                <w:highlight w:val="none"/>
                <w:lang w:val="en-US" w:eastAsia="zh-CN"/>
              </w:rPr>
              <w:t>服务需求</w:t>
            </w:r>
            <w:r>
              <w:rPr>
                <w:rFonts w:hint="eastAsia" w:asciiTheme="minorEastAsia" w:hAnsiTheme="minorEastAsia" w:eastAsiaTheme="minorEastAsia" w:cstheme="minorEastAsia"/>
                <w:color w:val="auto"/>
                <w:sz w:val="24"/>
                <w:szCs w:val="24"/>
                <w:highlight w:val="none"/>
                <w:lang w:eastAsia="zh-CN"/>
              </w:rPr>
              <w:t>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307B2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290" w:type="dxa"/>
            <w:shd w:val="clear" w:color="auto" w:fill="auto"/>
            <w:tcMar>
              <w:top w:w="0" w:type="dxa"/>
              <w:left w:w="108" w:type="dxa"/>
              <w:bottom w:w="0" w:type="dxa"/>
              <w:right w:w="108" w:type="dxa"/>
            </w:tcMar>
            <w:vAlign w:val="center"/>
          </w:tcPr>
          <w:p w14:paraId="6285D045">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服务开展的流程及规范</w:t>
            </w:r>
          </w:p>
        </w:tc>
        <w:tc>
          <w:tcPr>
            <w:tcW w:w="842" w:type="dxa"/>
            <w:shd w:val="clear" w:color="auto" w:fill="auto"/>
            <w:tcMar>
              <w:top w:w="0" w:type="dxa"/>
              <w:left w:w="108" w:type="dxa"/>
              <w:bottom w:w="0" w:type="dxa"/>
              <w:right w:w="108" w:type="dxa"/>
            </w:tcMar>
            <w:vAlign w:val="center"/>
          </w:tcPr>
          <w:p w14:paraId="71F018A4">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满分</w:t>
            </w:r>
          </w:p>
          <w:p w14:paraId="260A89CB">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rPr>
              <w:t>6</w:t>
            </w:r>
            <w:r>
              <w:rPr>
                <w:rFonts w:hint="eastAsia" w:asciiTheme="minorEastAsia" w:hAnsiTheme="minorEastAsia" w:eastAsiaTheme="minorEastAsia" w:cstheme="minorEastAsia"/>
                <w:b/>
                <w:bCs/>
                <w:color w:val="auto"/>
                <w:sz w:val="24"/>
                <w:szCs w:val="24"/>
                <w:highlight w:val="none"/>
              </w:rPr>
              <w:t>分</w:t>
            </w:r>
          </w:p>
        </w:tc>
        <w:tc>
          <w:tcPr>
            <w:tcW w:w="6142" w:type="dxa"/>
            <w:shd w:val="clear" w:color="auto" w:fill="auto"/>
            <w:tcMar>
              <w:top w:w="0" w:type="dxa"/>
              <w:left w:w="108" w:type="dxa"/>
              <w:bottom w:w="0" w:type="dxa"/>
              <w:right w:w="108" w:type="dxa"/>
            </w:tcMar>
            <w:vAlign w:val="center"/>
          </w:tcPr>
          <w:p w14:paraId="55894000">
            <w:pPr>
              <w:keepNext w:val="0"/>
              <w:keepLines w:val="0"/>
              <w:pageBreakBefore w:val="0"/>
              <w:kinsoku/>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eastAsia="zh-CN"/>
              </w:rPr>
              <w:t>供应商</w:t>
            </w:r>
            <w:r>
              <w:rPr>
                <w:rFonts w:hint="eastAsia" w:asciiTheme="minorEastAsia" w:hAnsiTheme="minorEastAsia" w:eastAsiaTheme="minorEastAsia" w:cstheme="minorEastAsia"/>
                <w:b/>
                <w:bCs/>
                <w:color w:val="auto"/>
                <w:sz w:val="24"/>
                <w:szCs w:val="24"/>
                <w:highlight w:val="none"/>
                <w:lang w:val="en-US" w:eastAsia="zh-CN"/>
              </w:rPr>
              <w:t>提供的</w:t>
            </w:r>
            <w:r>
              <w:rPr>
                <w:rFonts w:hint="eastAsia" w:asciiTheme="minorEastAsia" w:hAnsiTheme="minorEastAsia" w:eastAsiaTheme="minorEastAsia" w:cstheme="minorEastAsia"/>
                <w:b/>
                <w:bCs/>
                <w:color w:val="auto"/>
                <w:kern w:val="2"/>
                <w:sz w:val="24"/>
                <w:szCs w:val="24"/>
                <w:highlight w:val="none"/>
                <w:lang w:val="en-US" w:eastAsia="zh-CN" w:bidi="ar-SA"/>
              </w:rPr>
              <w:t>服务开展的流程及规范</w:t>
            </w:r>
            <w:r>
              <w:rPr>
                <w:rFonts w:hint="eastAsia" w:asciiTheme="minorEastAsia" w:hAnsiTheme="minorEastAsia" w:eastAsiaTheme="minorEastAsia" w:cstheme="minorEastAsia"/>
                <w:b/>
                <w:bCs/>
                <w:color w:val="auto"/>
                <w:sz w:val="24"/>
                <w:szCs w:val="24"/>
                <w:highlight w:val="none"/>
                <w:lang w:val="en-US" w:eastAsia="zh-CN"/>
              </w:rPr>
              <w:t>方案需包含</w:t>
            </w:r>
            <w:r>
              <w:rPr>
                <w:rFonts w:hint="eastAsia" w:asciiTheme="minorEastAsia" w:hAnsiTheme="minorEastAsia" w:eastAsiaTheme="minorEastAsia" w:cstheme="minorEastAsia"/>
                <w:b/>
                <w:bCs/>
                <w:color w:val="auto"/>
                <w:sz w:val="24"/>
                <w:szCs w:val="24"/>
                <w:highlight w:val="none"/>
                <w:lang w:val="zh-CN" w:eastAsia="zh-CN"/>
              </w:rPr>
              <w:t>①</w:t>
            </w:r>
            <w:r>
              <w:rPr>
                <w:rFonts w:hint="eastAsia" w:asciiTheme="minorEastAsia" w:hAnsiTheme="minorEastAsia" w:eastAsiaTheme="minorEastAsia" w:cstheme="minorEastAsia"/>
                <w:b/>
                <w:bCs/>
                <w:color w:val="auto"/>
                <w:sz w:val="24"/>
                <w:szCs w:val="24"/>
                <w:highlight w:val="none"/>
                <w:lang w:val="en-US" w:eastAsia="zh-CN"/>
              </w:rPr>
              <w:t>服务流程及实施；</w:t>
            </w:r>
            <w:r>
              <w:rPr>
                <w:rFonts w:hint="eastAsia" w:asciiTheme="minorEastAsia" w:hAnsiTheme="minorEastAsia" w:eastAsiaTheme="minorEastAsia" w:cstheme="minorEastAsia"/>
                <w:b/>
                <w:bCs/>
                <w:color w:val="auto"/>
                <w:sz w:val="24"/>
                <w:szCs w:val="24"/>
                <w:highlight w:val="none"/>
                <w:lang w:val="zh-CN" w:eastAsia="zh-CN"/>
              </w:rPr>
              <w:t>②</w:t>
            </w:r>
            <w:r>
              <w:rPr>
                <w:rFonts w:hint="eastAsia" w:asciiTheme="minorEastAsia" w:hAnsiTheme="minorEastAsia" w:eastAsiaTheme="minorEastAsia" w:cstheme="minorEastAsia"/>
                <w:b/>
                <w:bCs/>
                <w:color w:val="auto"/>
                <w:sz w:val="24"/>
                <w:szCs w:val="24"/>
                <w:highlight w:val="none"/>
                <w:lang w:val="en-US" w:eastAsia="zh-CN"/>
              </w:rPr>
              <w:t>各环节衔接保障措施及内外部沟通机制</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共2项内容，</w:t>
            </w:r>
            <w:r>
              <w:rPr>
                <w:rFonts w:hint="eastAsia" w:asciiTheme="minorEastAsia" w:hAnsiTheme="minorEastAsia" w:eastAsiaTheme="minorEastAsia" w:cstheme="minorEastAsia"/>
                <w:b/>
                <w:bCs/>
                <w:color w:val="auto"/>
                <w:sz w:val="24"/>
                <w:szCs w:val="24"/>
                <w:highlight w:val="none"/>
              </w:rPr>
              <w:t>每项满分3分，</w:t>
            </w:r>
            <w:r>
              <w:rPr>
                <w:rFonts w:hint="eastAsia" w:asciiTheme="minorEastAsia" w:hAnsiTheme="minorEastAsia" w:eastAsiaTheme="minorEastAsia" w:cstheme="minorEastAsia"/>
                <w:b/>
                <w:bCs/>
                <w:color w:val="auto"/>
                <w:sz w:val="24"/>
                <w:szCs w:val="24"/>
                <w:highlight w:val="none"/>
                <w:lang w:val="en-US" w:eastAsia="zh-CN"/>
              </w:rPr>
              <w:t>总分6分。</w:t>
            </w:r>
          </w:p>
          <w:p w14:paraId="5527DBFE">
            <w:pPr>
              <w:keepNext w:val="0"/>
              <w:keepLines w:val="0"/>
              <w:pageBreakBefore w:val="0"/>
              <w:kinsoku/>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eastAsia="zh-CN"/>
              </w:rPr>
              <w:t>其中，每项以具体内容与本项目及</w:t>
            </w:r>
            <w:r>
              <w:rPr>
                <w:rFonts w:hint="eastAsia" w:asciiTheme="minorEastAsia" w:hAnsiTheme="minorEastAsia" w:eastAsiaTheme="minorEastAsia" w:cstheme="minorEastAsia"/>
                <w:color w:val="auto"/>
                <w:sz w:val="24"/>
                <w:szCs w:val="24"/>
                <w:highlight w:val="none"/>
                <w:lang w:val="en-US" w:eastAsia="zh-CN"/>
              </w:rPr>
              <w:t>服务需求</w:t>
            </w:r>
            <w:r>
              <w:rPr>
                <w:rFonts w:hint="eastAsia" w:asciiTheme="minorEastAsia" w:hAnsiTheme="minorEastAsia" w:eastAsiaTheme="minorEastAsia" w:cstheme="minorEastAsia"/>
                <w:color w:val="auto"/>
                <w:sz w:val="24"/>
                <w:szCs w:val="24"/>
                <w:highlight w:val="none"/>
                <w:lang w:eastAsia="zh-CN"/>
              </w:rPr>
              <w:t>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7EA48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290" w:type="dxa"/>
            <w:shd w:val="clear" w:color="auto" w:fill="auto"/>
            <w:tcMar>
              <w:top w:w="0" w:type="dxa"/>
              <w:left w:w="108" w:type="dxa"/>
              <w:bottom w:w="0" w:type="dxa"/>
              <w:right w:w="108" w:type="dxa"/>
            </w:tcMar>
            <w:vAlign w:val="center"/>
          </w:tcPr>
          <w:p w14:paraId="2DE55759">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服务开展的组织措施及制度</w:t>
            </w:r>
          </w:p>
        </w:tc>
        <w:tc>
          <w:tcPr>
            <w:tcW w:w="842" w:type="dxa"/>
            <w:shd w:val="clear" w:color="auto" w:fill="auto"/>
            <w:tcMar>
              <w:top w:w="0" w:type="dxa"/>
              <w:left w:w="108" w:type="dxa"/>
              <w:bottom w:w="0" w:type="dxa"/>
              <w:right w:w="108" w:type="dxa"/>
            </w:tcMar>
            <w:vAlign w:val="center"/>
          </w:tcPr>
          <w:p w14:paraId="6F03ED96">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满分</w:t>
            </w:r>
          </w:p>
          <w:p w14:paraId="50069FA2">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rPr>
              <w:t>6</w:t>
            </w:r>
            <w:r>
              <w:rPr>
                <w:rFonts w:hint="eastAsia" w:asciiTheme="minorEastAsia" w:hAnsiTheme="minorEastAsia" w:eastAsiaTheme="minorEastAsia" w:cstheme="minorEastAsia"/>
                <w:b/>
                <w:bCs/>
                <w:color w:val="auto"/>
                <w:sz w:val="24"/>
                <w:szCs w:val="24"/>
                <w:highlight w:val="none"/>
              </w:rPr>
              <w:t>分</w:t>
            </w:r>
          </w:p>
        </w:tc>
        <w:tc>
          <w:tcPr>
            <w:tcW w:w="6142" w:type="dxa"/>
            <w:shd w:val="clear" w:color="auto" w:fill="auto"/>
            <w:tcMar>
              <w:top w:w="0" w:type="dxa"/>
              <w:left w:w="108" w:type="dxa"/>
              <w:bottom w:w="0" w:type="dxa"/>
              <w:right w:w="108" w:type="dxa"/>
            </w:tcMar>
            <w:vAlign w:val="center"/>
          </w:tcPr>
          <w:p w14:paraId="724E5FEC">
            <w:pPr>
              <w:keepNext w:val="0"/>
              <w:keepLines w:val="0"/>
              <w:pageBreakBefore w:val="0"/>
              <w:kinsoku/>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eastAsia="zh-CN"/>
              </w:rPr>
              <w:t>供应商</w:t>
            </w:r>
            <w:r>
              <w:rPr>
                <w:rFonts w:hint="eastAsia" w:asciiTheme="minorEastAsia" w:hAnsiTheme="minorEastAsia" w:eastAsiaTheme="minorEastAsia" w:cstheme="minorEastAsia"/>
                <w:b/>
                <w:bCs/>
                <w:color w:val="auto"/>
                <w:sz w:val="24"/>
                <w:szCs w:val="24"/>
                <w:highlight w:val="none"/>
                <w:lang w:val="en-US" w:eastAsia="zh-CN"/>
              </w:rPr>
              <w:t>提供的</w:t>
            </w:r>
            <w:r>
              <w:rPr>
                <w:rFonts w:hint="eastAsia" w:asciiTheme="minorEastAsia" w:hAnsiTheme="minorEastAsia" w:eastAsiaTheme="minorEastAsia" w:cstheme="minorEastAsia"/>
                <w:b/>
                <w:bCs/>
                <w:color w:val="auto"/>
                <w:kern w:val="2"/>
                <w:sz w:val="24"/>
                <w:szCs w:val="24"/>
                <w:highlight w:val="none"/>
                <w:lang w:val="en-US" w:eastAsia="zh-CN" w:bidi="ar-SA"/>
              </w:rPr>
              <w:t>服务开展的组织措施及制度</w:t>
            </w:r>
            <w:r>
              <w:rPr>
                <w:rFonts w:hint="eastAsia" w:asciiTheme="minorEastAsia" w:hAnsiTheme="minorEastAsia" w:eastAsiaTheme="minorEastAsia" w:cstheme="minorEastAsia"/>
                <w:b/>
                <w:bCs/>
                <w:color w:val="auto"/>
                <w:sz w:val="24"/>
                <w:szCs w:val="24"/>
                <w:highlight w:val="none"/>
              </w:rPr>
              <w:t>方案需包含</w:t>
            </w:r>
            <w:r>
              <w:rPr>
                <w:rFonts w:hint="eastAsia" w:asciiTheme="minorEastAsia" w:hAnsiTheme="minorEastAsia" w:eastAsiaTheme="minorEastAsia" w:cstheme="minorEastAsia"/>
                <w:b/>
                <w:bCs/>
                <w:color w:val="auto"/>
                <w:sz w:val="24"/>
                <w:szCs w:val="24"/>
                <w:highlight w:val="none"/>
                <w:lang w:val="zh-CN" w:eastAsia="zh-CN"/>
              </w:rPr>
              <w:t>①</w:t>
            </w:r>
            <w:r>
              <w:rPr>
                <w:rFonts w:hint="eastAsia" w:asciiTheme="minorEastAsia" w:hAnsiTheme="minorEastAsia" w:eastAsiaTheme="minorEastAsia" w:cstheme="minorEastAsia"/>
                <w:b/>
                <w:bCs/>
                <w:color w:val="auto"/>
                <w:sz w:val="24"/>
                <w:szCs w:val="24"/>
                <w:highlight w:val="none"/>
                <w:lang w:val="en-US" w:eastAsia="zh-CN"/>
              </w:rPr>
              <w:t>组织机构设置；</w:t>
            </w:r>
            <w:r>
              <w:rPr>
                <w:rFonts w:hint="eastAsia" w:asciiTheme="minorEastAsia" w:hAnsiTheme="minorEastAsia" w:eastAsiaTheme="minorEastAsia" w:cstheme="minorEastAsia"/>
                <w:b/>
                <w:bCs/>
                <w:color w:val="auto"/>
                <w:sz w:val="24"/>
                <w:szCs w:val="24"/>
                <w:highlight w:val="none"/>
                <w:lang w:val="zh-CN" w:eastAsia="zh-CN"/>
              </w:rPr>
              <w:t>②</w:t>
            </w:r>
            <w:r>
              <w:rPr>
                <w:rFonts w:hint="eastAsia" w:asciiTheme="minorEastAsia" w:hAnsiTheme="minorEastAsia" w:eastAsiaTheme="minorEastAsia" w:cstheme="minorEastAsia"/>
                <w:b/>
                <w:bCs/>
                <w:color w:val="auto"/>
                <w:sz w:val="24"/>
                <w:szCs w:val="24"/>
                <w:highlight w:val="none"/>
                <w:lang w:val="en-US" w:eastAsia="zh-CN"/>
              </w:rPr>
              <w:t>有关管理制度及应急保障能力，共2项内容，</w:t>
            </w:r>
            <w:r>
              <w:rPr>
                <w:rFonts w:hint="eastAsia" w:asciiTheme="minorEastAsia" w:hAnsiTheme="minorEastAsia" w:eastAsiaTheme="minorEastAsia" w:cstheme="minorEastAsia"/>
                <w:b/>
                <w:bCs/>
                <w:color w:val="auto"/>
                <w:sz w:val="24"/>
                <w:szCs w:val="24"/>
                <w:highlight w:val="none"/>
              </w:rPr>
              <w:t>每项满分3分，</w:t>
            </w:r>
            <w:r>
              <w:rPr>
                <w:rFonts w:hint="eastAsia" w:asciiTheme="minorEastAsia" w:hAnsiTheme="minorEastAsia" w:eastAsiaTheme="minorEastAsia" w:cstheme="minorEastAsia"/>
                <w:b/>
                <w:bCs/>
                <w:color w:val="auto"/>
                <w:sz w:val="24"/>
                <w:szCs w:val="24"/>
                <w:highlight w:val="none"/>
                <w:lang w:val="en-US" w:eastAsia="zh-CN"/>
              </w:rPr>
              <w:t>总分6分。</w:t>
            </w:r>
          </w:p>
          <w:p w14:paraId="2B829F67">
            <w:pPr>
              <w:keepNext w:val="0"/>
              <w:keepLines w:val="0"/>
              <w:pageBreakBefore w:val="0"/>
              <w:kinsoku/>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eastAsia="zh-CN"/>
              </w:rPr>
              <w:t>其中，每项以具体内容与本项目及</w:t>
            </w:r>
            <w:r>
              <w:rPr>
                <w:rFonts w:hint="eastAsia" w:asciiTheme="minorEastAsia" w:hAnsiTheme="minorEastAsia" w:eastAsiaTheme="minorEastAsia" w:cstheme="minorEastAsia"/>
                <w:color w:val="auto"/>
                <w:sz w:val="24"/>
                <w:szCs w:val="24"/>
                <w:highlight w:val="none"/>
                <w:lang w:val="en-US" w:eastAsia="zh-CN"/>
              </w:rPr>
              <w:t>服务需求</w:t>
            </w:r>
            <w:r>
              <w:rPr>
                <w:rFonts w:hint="eastAsia" w:asciiTheme="minorEastAsia" w:hAnsiTheme="minorEastAsia" w:eastAsiaTheme="minorEastAsia" w:cstheme="minorEastAsia"/>
                <w:color w:val="auto"/>
                <w:sz w:val="24"/>
                <w:szCs w:val="24"/>
                <w:highlight w:val="none"/>
                <w:lang w:eastAsia="zh-CN"/>
              </w:rPr>
              <w:t>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47CA6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290" w:type="dxa"/>
            <w:shd w:val="clear" w:color="auto" w:fill="auto"/>
            <w:tcMar>
              <w:top w:w="0" w:type="dxa"/>
              <w:left w:w="108" w:type="dxa"/>
              <w:bottom w:w="0" w:type="dxa"/>
              <w:right w:w="108" w:type="dxa"/>
            </w:tcMar>
            <w:vAlign w:val="center"/>
          </w:tcPr>
          <w:p w14:paraId="1638337C">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rPr>
              <w:t>服务团队配备情况</w:t>
            </w:r>
          </w:p>
        </w:tc>
        <w:tc>
          <w:tcPr>
            <w:tcW w:w="842" w:type="dxa"/>
            <w:shd w:val="clear" w:color="auto" w:fill="auto"/>
            <w:tcMar>
              <w:top w:w="0" w:type="dxa"/>
              <w:left w:w="108" w:type="dxa"/>
              <w:bottom w:w="0" w:type="dxa"/>
              <w:right w:w="108" w:type="dxa"/>
            </w:tcMar>
            <w:vAlign w:val="center"/>
          </w:tcPr>
          <w:p w14:paraId="7BD2C32B">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满分</w:t>
            </w:r>
          </w:p>
          <w:p w14:paraId="5C889159">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rPr>
              <w:t>19</w:t>
            </w:r>
            <w:r>
              <w:rPr>
                <w:rFonts w:hint="eastAsia" w:asciiTheme="minorEastAsia" w:hAnsiTheme="minorEastAsia" w:eastAsiaTheme="minorEastAsia" w:cstheme="minorEastAsia"/>
                <w:b/>
                <w:bCs/>
                <w:color w:val="auto"/>
                <w:sz w:val="24"/>
                <w:szCs w:val="24"/>
                <w:highlight w:val="none"/>
              </w:rPr>
              <w:t>分</w:t>
            </w:r>
          </w:p>
        </w:tc>
        <w:tc>
          <w:tcPr>
            <w:tcW w:w="6142" w:type="dxa"/>
            <w:shd w:val="clear" w:color="auto" w:fill="auto"/>
            <w:tcMar>
              <w:top w:w="0" w:type="dxa"/>
              <w:left w:w="108" w:type="dxa"/>
              <w:bottom w:w="0" w:type="dxa"/>
              <w:right w:w="108" w:type="dxa"/>
            </w:tcMar>
            <w:vAlign w:val="center"/>
          </w:tcPr>
          <w:p w14:paraId="01F199D9">
            <w:pPr>
              <w:pStyle w:val="96"/>
              <w:keepNext w:val="0"/>
              <w:keepLines w:val="0"/>
              <w:pageBreakBefore w:val="0"/>
              <w:kinsoku/>
              <w:wordWrap/>
              <w:overflowPunct/>
              <w:topLinePunct w:val="0"/>
              <w:autoSpaceDE/>
              <w:autoSpaceDN/>
              <w:bidi w:val="0"/>
              <w:adjustRightInd w:val="0"/>
              <w:snapToGrid w:val="0"/>
              <w:spacing w:line="360" w:lineRule="auto"/>
              <w:textAlignment w:val="auto"/>
              <w:rPr>
                <w:highlight w:val="none"/>
              </w:rPr>
            </w:pPr>
            <w:r>
              <w:rPr>
                <w:rFonts w:hint="eastAsia" w:asciiTheme="minorEastAsia" w:hAnsiTheme="minorEastAsia" w:eastAsiaTheme="minorEastAsia" w:cstheme="minorEastAsia"/>
                <w:b/>
                <w:bCs/>
                <w:color w:val="auto"/>
                <w:sz w:val="24"/>
                <w:szCs w:val="24"/>
                <w:highlight w:val="none"/>
                <w:lang w:val="en-US" w:eastAsia="zh-CN"/>
              </w:rPr>
              <w:t>1.拟派项目负责人学历（5分）</w:t>
            </w:r>
            <w:r>
              <w:rPr>
                <w:rFonts w:hint="eastAsia" w:asciiTheme="minorEastAsia" w:hAnsiTheme="minorEastAsia" w:eastAsiaTheme="minorEastAsia" w:cstheme="minorEastAsia"/>
                <w:b/>
                <w:bCs/>
                <w:color w:val="auto"/>
                <w:sz w:val="24"/>
                <w:szCs w:val="24"/>
                <w:highlight w:val="none"/>
                <w:lang w:val="en-US" w:eastAsia="zh-CN"/>
              </w:rPr>
              <w:br w:type="textWrapping"/>
            </w:r>
            <w:r>
              <w:rPr>
                <w:rFonts w:ascii="宋体" w:hAnsi="宋体" w:eastAsia="宋体" w:cs="宋体"/>
                <w:sz w:val="24"/>
                <w:highlight w:val="none"/>
              </w:rPr>
              <w:t>拟派项目</w:t>
            </w:r>
            <w:r>
              <w:rPr>
                <w:rFonts w:hint="eastAsia" w:ascii="宋体" w:hAnsi="宋体" w:eastAsia="宋体" w:cs="宋体"/>
                <w:sz w:val="24"/>
                <w:highlight w:val="none"/>
              </w:rPr>
              <w:t>负责人</w:t>
            </w:r>
            <w:r>
              <w:rPr>
                <w:rFonts w:ascii="宋体" w:hAnsi="宋体" w:eastAsia="宋体" w:cs="宋体"/>
                <w:sz w:val="24"/>
                <w:highlight w:val="none"/>
              </w:rPr>
              <w:t>具备</w:t>
            </w:r>
            <w:r>
              <w:rPr>
                <w:rFonts w:hint="eastAsia" w:cs="宋体"/>
                <w:sz w:val="24"/>
                <w:highlight w:val="none"/>
                <w:lang w:val="en-US" w:eastAsia="zh-CN"/>
              </w:rPr>
              <w:t>本科</w:t>
            </w:r>
            <w:r>
              <w:rPr>
                <w:rFonts w:ascii="宋体" w:hAnsi="宋体" w:eastAsia="宋体" w:cs="宋体"/>
                <w:sz w:val="24"/>
                <w:highlight w:val="none"/>
              </w:rPr>
              <w:t>及以上学历的得</w:t>
            </w:r>
            <w:r>
              <w:rPr>
                <w:rFonts w:hint="eastAsia" w:cs="宋体"/>
                <w:sz w:val="24"/>
                <w:highlight w:val="none"/>
                <w:lang w:val="en-US" w:eastAsia="zh-CN"/>
              </w:rPr>
              <w:t>5</w:t>
            </w:r>
            <w:r>
              <w:rPr>
                <w:rFonts w:ascii="宋体" w:hAnsi="宋体" w:eastAsia="宋体" w:cs="宋体"/>
                <w:sz w:val="24"/>
                <w:highlight w:val="none"/>
              </w:rPr>
              <w:t>分</w:t>
            </w:r>
            <w:r>
              <w:rPr>
                <w:rFonts w:hint="eastAsia" w:cs="宋体"/>
                <w:sz w:val="24"/>
                <w:highlight w:val="none"/>
                <w:lang w:eastAsia="zh-CN"/>
              </w:rPr>
              <w:t>，</w:t>
            </w:r>
            <w:r>
              <w:rPr>
                <w:rFonts w:hint="eastAsia" w:cs="宋体"/>
                <w:sz w:val="24"/>
                <w:highlight w:val="none"/>
                <w:lang w:val="en-US" w:eastAsia="zh-CN"/>
              </w:rPr>
              <w:t>专科学历的得2分，</w:t>
            </w:r>
            <w:r>
              <w:rPr>
                <w:rFonts w:ascii="宋体" w:hAnsi="宋体" w:eastAsia="宋体" w:cs="宋体"/>
                <w:sz w:val="24"/>
                <w:highlight w:val="none"/>
              </w:rPr>
              <w:t>其他情况不得分。</w:t>
            </w:r>
          </w:p>
          <w:p w14:paraId="2C80DCC9">
            <w:pPr>
              <w:keepNext w:val="0"/>
              <w:keepLines w:val="0"/>
              <w:pageBreakBefore w:val="0"/>
              <w:kinsoku/>
              <w:wordWrap/>
              <w:overflowPunct/>
              <w:topLinePunct w:val="0"/>
              <w:autoSpaceDE/>
              <w:autoSpaceDN/>
              <w:bidi w:val="0"/>
              <w:adjustRightInd w:val="0"/>
              <w:snapToGrid w:val="0"/>
              <w:spacing w:line="360" w:lineRule="auto"/>
              <w:textAlignment w:val="auto"/>
              <w:rPr>
                <w:rFonts w:hint="default" w:asciiTheme="minorEastAsia" w:hAnsiTheme="minorEastAsia" w:eastAsiaTheme="minorEastAsia" w:cstheme="minorEastAsia"/>
                <w:b/>
                <w:bCs/>
                <w:color w:val="auto"/>
                <w:sz w:val="24"/>
                <w:szCs w:val="24"/>
                <w:highlight w:val="none"/>
                <w:lang w:val="en-US" w:eastAsia="zh-CN"/>
              </w:rPr>
            </w:pPr>
            <w:r>
              <w:rPr>
                <w:rFonts w:ascii="宋体" w:hAnsi="宋体" w:eastAsia="宋体" w:cs="宋体"/>
                <w:b/>
                <w:sz w:val="24"/>
                <w:highlight w:val="none"/>
              </w:rPr>
              <w:t>评审依据：以供应商提供拟派</w:t>
            </w:r>
            <w:r>
              <w:rPr>
                <w:rFonts w:hint="eastAsia" w:asciiTheme="minorEastAsia" w:hAnsiTheme="minorEastAsia" w:eastAsiaTheme="minorEastAsia" w:cstheme="minorEastAsia"/>
                <w:b/>
                <w:bCs/>
                <w:color w:val="auto"/>
                <w:sz w:val="24"/>
                <w:szCs w:val="24"/>
                <w:highlight w:val="none"/>
                <w:lang w:val="en-US" w:eastAsia="zh-CN"/>
              </w:rPr>
              <w:t>项目负责人</w:t>
            </w:r>
            <w:r>
              <w:rPr>
                <w:rFonts w:ascii="宋体" w:hAnsi="宋体" w:eastAsia="宋体" w:cs="宋体"/>
                <w:b/>
                <w:sz w:val="24"/>
                <w:highlight w:val="none"/>
              </w:rPr>
              <w:t>学历证书的扫描件或复印件为准，提供多个学历或学位证书的，以最高学历为准，未提供的不得分。</w:t>
            </w:r>
          </w:p>
          <w:p w14:paraId="522481ED">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2.</w:t>
            </w:r>
            <w:r>
              <w:rPr>
                <w:rFonts w:hint="eastAsia" w:ascii="宋体" w:hAnsi="宋体" w:eastAsia="宋体" w:cs="宋体"/>
                <w:b/>
                <w:bCs/>
                <w:sz w:val="24"/>
                <w:szCs w:val="24"/>
                <w:highlight w:val="none"/>
              </w:rPr>
              <w:t>拟派</w:t>
            </w:r>
            <w:r>
              <w:rPr>
                <w:rFonts w:hint="eastAsia" w:asciiTheme="minorEastAsia" w:hAnsiTheme="minorEastAsia" w:eastAsiaTheme="minorEastAsia" w:cstheme="minorEastAsia"/>
                <w:b/>
                <w:bCs/>
                <w:color w:val="auto"/>
                <w:sz w:val="24"/>
                <w:szCs w:val="24"/>
                <w:highlight w:val="none"/>
                <w:lang w:val="en-US" w:eastAsia="zh-CN"/>
              </w:rPr>
              <w:t>项目负责人</w:t>
            </w:r>
            <w:r>
              <w:rPr>
                <w:rFonts w:hint="eastAsia" w:ascii="宋体" w:hAnsi="宋体" w:eastAsia="宋体" w:cs="宋体"/>
                <w:b/>
                <w:bCs/>
                <w:sz w:val="24"/>
                <w:szCs w:val="24"/>
                <w:highlight w:val="none"/>
              </w:rPr>
              <w:t>的</w:t>
            </w:r>
            <w:r>
              <w:rPr>
                <w:rFonts w:hint="eastAsia" w:ascii="宋体" w:hAnsi="宋体" w:eastAsia="宋体" w:cs="宋体"/>
                <w:b/>
                <w:bCs/>
                <w:sz w:val="24"/>
                <w:szCs w:val="24"/>
                <w:highlight w:val="none"/>
                <w:lang w:val="en-US" w:eastAsia="zh-CN"/>
              </w:rPr>
              <w:t>执业证书</w:t>
            </w:r>
            <w:r>
              <w:rPr>
                <w:rFonts w:hint="eastAsia" w:ascii="宋体" w:hAnsi="宋体" w:eastAsia="宋体" w:cs="宋体"/>
                <w:b/>
                <w:bCs/>
                <w:sz w:val="24"/>
                <w:szCs w:val="24"/>
                <w:highlight w:val="none"/>
              </w:rPr>
              <w:t>（</w:t>
            </w:r>
            <w:r>
              <w:rPr>
                <w:rFonts w:hint="eastAsia" w:ascii="宋体" w:hAnsi="宋体" w:cs="宋体"/>
                <w:b/>
                <w:bCs/>
                <w:sz w:val="24"/>
                <w:szCs w:val="24"/>
                <w:highlight w:val="none"/>
                <w:lang w:val="en-US" w:eastAsia="zh-CN"/>
              </w:rPr>
              <w:t>5</w:t>
            </w:r>
            <w:r>
              <w:rPr>
                <w:rFonts w:hint="eastAsia" w:ascii="宋体" w:hAnsi="宋体" w:eastAsia="宋体" w:cs="宋体"/>
                <w:b/>
                <w:bCs/>
                <w:sz w:val="24"/>
                <w:szCs w:val="24"/>
                <w:highlight w:val="none"/>
              </w:rPr>
              <w:t>分）</w:t>
            </w:r>
          </w:p>
          <w:p w14:paraId="12096BDD">
            <w:pPr>
              <w:keepNext w:val="0"/>
              <w:keepLines w:val="0"/>
              <w:pageBreakBefore w:val="0"/>
              <w:kinsoku/>
              <w:wordWrap/>
              <w:overflowPunct/>
              <w:topLinePunct w:val="0"/>
              <w:autoSpaceDE/>
              <w:autoSpaceDN/>
              <w:bidi w:val="0"/>
              <w:adjustRightInd w:val="0"/>
              <w:snapToGrid w:val="0"/>
              <w:spacing w:line="360" w:lineRule="auto"/>
              <w:textAlignment w:val="auto"/>
              <w:rPr>
                <w:rFonts w:hint="default" w:asciiTheme="minorEastAsia" w:hAnsiTheme="minorEastAsia" w:eastAsiaTheme="minorEastAsia" w:cstheme="minorEastAsia"/>
                <w:b/>
                <w:bCs/>
                <w:color w:val="auto"/>
                <w:sz w:val="24"/>
                <w:szCs w:val="24"/>
                <w:highlight w:val="none"/>
                <w:lang w:val="en-US" w:eastAsia="zh-CN"/>
              </w:rPr>
            </w:pPr>
            <w:r>
              <w:rPr>
                <w:rFonts w:hint="eastAsia" w:ascii="宋体" w:hAnsi="宋体" w:eastAsia="宋体" w:cs="宋体"/>
                <w:b w:val="0"/>
                <w:bCs w:val="0"/>
                <w:sz w:val="24"/>
                <w:szCs w:val="24"/>
                <w:highlight w:val="none"/>
              </w:rPr>
              <w:t>拟派项目负责人具备二级及以上注册环保工程专业证书及安全生产考核合格证书（B证）得5分。</w:t>
            </w:r>
            <w:r>
              <w:rPr>
                <w:rFonts w:hint="eastAsia" w:ascii="宋体" w:hAnsi="宋体" w:eastAsia="宋体" w:cs="宋体"/>
                <w:b/>
                <w:bCs/>
                <w:sz w:val="24"/>
                <w:szCs w:val="24"/>
                <w:highlight w:val="none"/>
              </w:rPr>
              <w:br w:type="textWrapping"/>
            </w:r>
            <w:r>
              <w:rPr>
                <w:rFonts w:hint="eastAsia" w:ascii="宋体" w:hAnsi="宋体" w:eastAsia="宋体" w:cs="宋体"/>
                <w:b/>
                <w:bCs/>
                <w:sz w:val="24"/>
                <w:szCs w:val="24"/>
                <w:highlight w:val="none"/>
              </w:rPr>
              <w:t>评审依据：评审时以</w:t>
            </w:r>
            <w:r>
              <w:rPr>
                <w:rFonts w:hint="eastAsia" w:ascii="宋体" w:hAnsi="宋体" w:eastAsia="宋体" w:cs="宋体"/>
                <w:b/>
                <w:bCs/>
                <w:sz w:val="24"/>
                <w:szCs w:val="24"/>
                <w:highlight w:val="none"/>
                <w:lang w:eastAsia="zh-CN"/>
              </w:rPr>
              <w:t>供应商</w:t>
            </w:r>
            <w:r>
              <w:rPr>
                <w:rFonts w:hint="eastAsia" w:ascii="宋体" w:hAnsi="宋体" w:eastAsia="宋体" w:cs="宋体"/>
                <w:b/>
                <w:bCs/>
                <w:sz w:val="24"/>
                <w:szCs w:val="24"/>
                <w:highlight w:val="none"/>
              </w:rPr>
              <w:t>提供</w:t>
            </w:r>
            <w:r>
              <w:rPr>
                <w:rFonts w:hint="eastAsia" w:ascii="宋体" w:hAnsi="宋体" w:eastAsia="宋体" w:cs="宋体"/>
                <w:b/>
                <w:bCs/>
                <w:sz w:val="24"/>
                <w:szCs w:val="24"/>
                <w:highlight w:val="none"/>
                <w:lang w:val="en-US" w:eastAsia="zh-CN"/>
              </w:rPr>
              <w:t>满足上述要求证明材料</w:t>
            </w:r>
            <w:r>
              <w:rPr>
                <w:rFonts w:hint="eastAsia" w:ascii="宋体" w:hAnsi="宋体" w:eastAsia="宋体" w:cs="宋体"/>
                <w:b/>
                <w:bCs/>
                <w:sz w:val="24"/>
                <w:szCs w:val="24"/>
                <w:highlight w:val="none"/>
              </w:rPr>
              <w:t>的扫描件或复印件。</w:t>
            </w:r>
          </w:p>
          <w:p w14:paraId="39F9642A">
            <w:pPr>
              <w:pStyle w:val="96"/>
              <w:keepNext w:val="0"/>
              <w:keepLines w:val="0"/>
              <w:pageBreakBefore w:val="0"/>
              <w:kinsoku/>
              <w:wordWrap/>
              <w:overflowPunct/>
              <w:topLinePunct w:val="0"/>
              <w:autoSpaceDE/>
              <w:autoSpaceDN/>
              <w:bidi w:val="0"/>
              <w:adjustRightInd w:val="0"/>
              <w:snapToGrid w:val="0"/>
              <w:spacing w:line="360" w:lineRule="auto"/>
              <w:jc w:val="both"/>
              <w:textAlignment w:val="auto"/>
              <w:rPr>
                <w:highlight w:val="none"/>
              </w:rPr>
            </w:pPr>
            <w:r>
              <w:rPr>
                <w:rFonts w:hint="eastAsia" w:cs="宋体"/>
                <w:b/>
                <w:bCs/>
                <w:sz w:val="24"/>
                <w:highlight w:val="none"/>
                <w:lang w:val="en-US" w:eastAsia="zh-CN"/>
              </w:rPr>
              <w:t>3.拟派项目负责人业绩（5分）</w:t>
            </w:r>
            <w:r>
              <w:rPr>
                <w:rFonts w:ascii="宋体" w:hAnsi="宋体" w:eastAsia="宋体" w:cs="宋体"/>
                <w:sz w:val="24"/>
                <w:highlight w:val="none"/>
              </w:rPr>
              <w:br w:type="textWrapping"/>
            </w:r>
            <w:r>
              <w:rPr>
                <w:rFonts w:ascii="宋体" w:hAnsi="宋体" w:eastAsia="宋体" w:cs="宋体"/>
                <w:sz w:val="24"/>
                <w:highlight w:val="none"/>
              </w:rPr>
              <w:t>供应商提供拟派项目经理自2023年</w:t>
            </w:r>
            <w:r>
              <w:rPr>
                <w:rFonts w:hint="eastAsia" w:cs="宋体"/>
                <w:sz w:val="24"/>
                <w:highlight w:val="none"/>
                <w:lang w:val="en-US" w:eastAsia="zh-CN"/>
              </w:rPr>
              <w:t>8</w:t>
            </w:r>
            <w:r>
              <w:rPr>
                <w:rFonts w:ascii="宋体" w:hAnsi="宋体" w:eastAsia="宋体" w:cs="宋体"/>
                <w:sz w:val="24"/>
                <w:highlight w:val="none"/>
              </w:rPr>
              <w:t>月1日以来至今已完成的类似项目业绩证明材料的（在该项目中担任项目</w:t>
            </w:r>
            <w:r>
              <w:rPr>
                <w:rFonts w:hint="eastAsia" w:cs="宋体"/>
                <w:sz w:val="24"/>
                <w:highlight w:val="none"/>
                <w:lang w:val="en-US" w:eastAsia="zh-CN"/>
              </w:rPr>
              <w:t>负责人</w:t>
            </w:r>
            <w:r>
              <w:rPr>
                <w:rFonts w:ascii="宋体" w:hAnsi="宋体" w:eastAsia="宋体" w:cs="宋体"/>
                <w:sz w:val="24"/>
                <w:highlight w:val="none"/>
              </w:rPr>
              <w:t>一职）提供1项的得</w:t>
            </w:r>
            <w:r>
              <w:rPr>
                <w:rFonts w:hint="eastAsia" w:cs="宋体"/>
                <w:sz w:val="24"/>
                <w:highlight w:val="none"/>
                <w:lang w:val="en-US" w:eastAsia="zh-CN"/>
              </w:rPr>
              <w:t>2.5</w:t>
            </w:r>
            <w:r>
              <w:rPr>
                <w:rFonts w:ascii="宋体" w:hAnsi="宋体" w:eastAsia="宋体" w:cs="宋体"/>
                <w:sz w:val="24"/>
                <w:highlight w:val="none"/>
              </w:rPr>
              <w:t>分</w:t>
            </w:r>
            <w:r>
              <w:rPr>
                <w:rFonts w:hint="eastAsia" w:cs="宋体"/>
                <w:sz w:val="24"/>
                <w:highlight w:val="none"/>
                <w:lang w:eastAsia="zh-CN"/>
              </w:rPr>
              <w:t>，</w:t>
            </w:r>
            <w:r>
              <w:rPr>
                <w:rFonts w:hint="eastAsia" w:cs="宋体"/>
                <w:sz w:val="24"/>
                <w:highlight w:val="none"/>
                <w:lang w:val="en-US" w:eastAsia="zh-CN"/>
              </w:rPr>
              <w:t>满分5分</w:t>
            </w:r>
            <w:r>
              <w:rPr>
                <w:rFonts w:ascii="宋体" w:hAnsi="宋体" w:eastAsia="宋体" w:cs="宋体"/>
                <w:sz w:val="24"/>
                <w:highlight w:val="none"/>
              </w:rPr>
              <w:t>。未提供的不得分。</w:t>
            </w:r>
          </w:p>
          <w:p w14:paraId="6467F2FA">
            <w:pPr>
              <w:pStyle w:val="96"/>
              <w:keepNext w:val="0"/>
              <w:keepLines w:val="0"/>
              <w:pageBreakBefore w:val="0"/>
              <w:kinsoku/>
              <w:wordWrap/>
              <w:overflowPunct/>
              <w:topLinePunct w:val="0"/>
              <w:autoSpaceDE/>
              <w:autoSpaceDN/>
              <w:bidi w:val="0"/>
              <w:adjustRightInd w:val="0"/>
              <w:snapToGrid w:val="0"/>
              <w:spacing w:line="360" w:lineRule="auto"/>
              <w:textAlignment w:val="auto"/>
              <w:rPr>
                <w:highlight w:val="none"/>
              </w:rPr>
            </w:pPr>
            <w:r>
              <w:rPr>
                <w:rFonts w:ascii="宋体" w:hAnsi="宋体" w:eastAsia="宋体" w:cs="宋体"/>
                <w:b/>
                <w:sz w:val="24"/>
                <w:highlight w:val="none"/>
              </w:rPr>
              <w:t>评审依据：类似业绩应提供合同扫描件或复印件，</w:t>
            </w:r>
            <w:r>
              <w:rPr>
                <w:rFonts w:hint="eastAsia" w:cs="宋体"/>
                <w:b/>
                <w:sz w:val="24"/>
                <w:highlight w:val="none"/>
                <w:lang w:val="en-US" w:eastAsia="zh-CN"/>
              </w:rPr>
              <w:t>时间</w:t>
            </w:r>
            <w:r>
              <w:rPr>
                <w:rFonts w:ascii="宋体" w:hAnsi="宋体" w:eastAsia="宋体" w:cs="宋体"/>
                <w:b/>
                <w:sz w:val="24"/>
                <w:highlight w:val="none"/>
              </w:rPr>
              <w:t>以合同</w:t>
            </w:r>
            <w:r>
              <w:rPr>
                <w:rFonts w:hint="eastAsia" w:cs="宋体"/>
                <w:b/>
                <w:sz w:val="24"/>
                <w:highlight w:val="none"/>
                <w:lang w:val="en-US" w:eastAsia="zh-CN"/>
              </w:rPr>
              <w:t>签订</w:t>
            </w:r>
            <w:r>
              <w:rPr>
                <w:rFonts w:ascii="宋体" w:hAnsi="宋体" w:eastAsia="宋体" w:cs="宋体"/>
                <w:b/>
                <w:sz w:val="24"/>
                <w:highlight w:val="none"/>
              </w:rPr>
              <w:t>的时间为准，合同中应体现的项目</w:t>
            </w:r>
            <w:r>
              <w:rPr>
                <w:rFonts w:hint="eastAsia" w:cs="宋体"/>
                <w:b/>
                <w:sz w:val="24"/>
                <w:highlight w:val="none"/>
                <w:lang w:val="en-US" w:eastAsia="zh-CN"/>
              </w:rPr>
              <w:t>负责人</w:t>
            </w:r>
            <w:r>
              <w:rPr>
                <w:rFonts w:ascii="宋体" w:hAnsi="宋体" w:eastAsia="宋体" w:cs="宋体"/>
                <w:b/>
                <w:sz w:val="24"/>
                <w:highlight w:val="none"/>
              </w:rPr>
              <w:t>姓名</w:t>
            </w:r>
            <w:r>
              <w:rPr>
                <w:rFonts w:hint="eastAsia" w:cs="宋体"/>
                <w:b/>
                <w:sz w:val="24"/>
                <w:highlight w:val="none"/>
                <w:lang w:val="en-US" w:eastAsia="zh-CN"/>
              </w:rPr>
              <w:t>或提</w:t>
            </w:r>
            <w:r>
              <w:rPr>
                <w:rFonts w:hint="eastAsia" w:cs="宋体"/>
                <w:b/>
                <w:bCs w:val="0"/>
                <w:sz w:val="24"/>
                <w:highlight w:val="none"/>
                <w:lang w:val="en-US" w:eastAsia="zh-CN"/>
              </w:rPr>
              <w:t>供</w:t>
            </w:r>
            <w:r>
              <w:rPr>
                <w:rFonts w:hint="eastAsia"/>
                <w:b/>
                <w:bCs w:val="0"/>
                <w:highlight w:val="none"/>
                <w:lang w:val="en-US" w:eastAsia="zh-CN"/>
              </w:rPr>
              <w:t>其他能证明所提供业绩为本次拟派项目负责人业绩的相关证明材料</w:t>
            </w:r>
            <w:r>
              <w:rPr>
                <w:rFonts w:ascii="宋体" w:hAnsi="宋体" w:eastAsia="宋体" w:cs="宋体"/>
                <w:b/>
                <w:sz w:val="24"/>
                <w:highlight w:val="none"/>
              </w:rPr>
              <w:t>。</w:t>
            </w:r>
            <w:r>
              <w:rPr>
                <w:rFonts w:hint="eastAsia" w:cs="宋体"/>
                <w:b/>
                <w:bCs/>
                <w:sz w:val="24"/>
                <w:highlight w:val="none"/>
                <w:lang w:val="en-US" w:eastAsia="zh-CN"/>
              </w:rPr>
              <w:t>拟派项目负责人业绩</w:t>
            </w:r>
            <w:r>
              <w:rPr>
                <w:rFonts w:ascii="宋体" w:hAnsi="宋体" w:eastAsia="宋体" w:cs="宋体"/>
                <w:b/>
                <w:sz w:val="24"/>
                <w:highlight w:val="none"/>
              </w:rPr>
              <w:t>可与企业业绩重复</w:t>
            </w:r>
            <w:r>
              <w:rPr>
                <w:rFonts w:hint="eastAsia" w:cs="宋体"/>
                <w:b/>
                <w:sz w:val="24"/>
                <w:highlight w:val="none"/>
                <w:lang w:val="en-US" w:eastAsia="zh-CN"/>
              </w:rPr>
              <w:t>评审</w:t>
            </w:r>
            <w:r>
              <w:rPr>
                <w:rFonts w:ascii="宋体" w:hAnsi="宋体" w:eastAsia="宋体" w:cs="宋体"/>
                <w:b/>
                <w:sz w:val="24"/>
                <w:highlight w:val="none"/>
              </w:rPr>
              <w:t>。</w:t>
            </w:r>
          </w:p>
          <w:p w14:paraId="183740AB">
            <w:pPr>
              <w:keepNext w:val="0"/>
              <w:keepLines w:val="0"/>
              <w:pageBreakBefore w:val="0"/>
              <w:kinsoku/>
              <w:wordWrap/>
              <w:overflowPunct/>
              <w:topLinePunct w:val="0"/>
              <w:autoSpaceDE/>
              <w:autoSpaceDN/>
              <w:bidi w:val="0"/>
              <w:adjustRightInd w:val="0"/>
              <w:snapToGrid w:val="0"/>
              <w:spacing w:line="360" w:lineRule="auto"/>
              <w:textAlignment w:val="auto"/>
              <w:rPr>
                <w:rFonts w:hint="default" w:eastAsia="宋体" w:asciiTheme="minorEastAsia" w:hAnsiTheme="minorEastAsia" w:cstheme="minorEastAsia"/>
                <w:b/>
                <w:bCs/>
                <w:color w:val="auto"/>
                <w:sz w:val="24"/>
                <w:szCs w:val="24"/>
                <w:highlight w:val="none"/>
                <w:lang w:val="en-US" w:eastAsia="zh-CN"/>
              </w:rPr>
            </w:pPr>
            <w:r>
              <w:rPr>
                <w:rFonts w:hint="eastAsia" w:cs="宋体"/>
                <w:b/>
                <w:sz w:val="24"/>
                <w:highlight w:val="none"/>
                <w:lang w:val="en-US" w:eastAsia="zh-CN"/>
              </w:rPr>
              <w:t>备</w:t>
            </w:r>
            <w:r>
              <w:rPr>
                <w:rFonts w:ascii="宋体" w:hAnsi="宋体" w:eastAsia="宋体" w:cs="宋体"/>
                <w:b/>
                <w:sz w:val="24"/>
                <w:highlight w:val="none"/>
              </w:rPr>
              <w:t>注：类似业绩证明材料意指</w:t>
            </w:r>
            <w:r>
              <w:rPr>
                <w:rFonts w:hint="eastAsia" w:ascii="宋体" w:hAnsi="宋体" w:eastAsia="宋体" w:cs="宋体"/>
                <w:b/>
                <w:sz w:val="24"/>
                <w:highlight w:val="none"/>
              </w:rPr>
              <w:t>医疗机构清洁生产审核案例</w:t>
            </w:r>
            <w:r>
              <w:rPr>
                <w:rFonts w:ascii="宋体" w:hAnsi="宋体" w:eastAsia="宋体" w:cs="宋体"/>
                <w:b/>
                <w:sz w:val="24"/>
                <w:highlight w:val="none"/>
              </w:rPr>
              <w:t>或包含</w:t>
            </w:r>
            <w:r>
              <w:rPr>
                <w:rFonts w:hint="eastAsia" w:ascii="宋体" w:hAnsi="宋体" w:eastAsia="宋体" w:cs="宋体"/>
                <w:b/>
                <w:sz w:val="24"/>
                <w:highlight w:val="none"/>
              </w:rPr>
              <w:t>医疗机构清洁生产审核案例</w:t>
            </w:r>
            <w:r>
              <w:rPr>
                <w:rFonts w:hint="eastAsia" w:ascii="宋体" w:hAnsi="宋体" w:eastAsia="宋体" w:cs="宋体"/>
                <w:b/>
                <w:sz w:val="24"/>
                <w:highlight w:val="none"/>
                <w:lang w:val="en-US" w:eastAsia="zh-CN"/>
              </w:rPr>
              <w:t>服务</w:t>
            </w:r>
            <w:r>
              <w:rPr>
                <w:rFonts w:ascii="宋体" w:hAnsi="宋体" w:eastAsia="宋体" w:cs="宋体"/>
                <w:b/>
                <w:sz w:val="24"/>
                <w:highlight w:val="none"/>
              </w:rPr>
              <w:t>内容的业绩。</w:t>
            </w:r>
            <w:r>
              <w:rPr>
                <w:rFonts w:hint="eastAsia" w:ascii="宋体" w:hAnsi="宋体" w:cs="宋体"/>
                <w:b/>
                <w:sz w:val="24"/>
                <w:highlight w:val="none"/>
                <w:lang w:val="en-US" w:eastAsia="zh-CN"/>
              </w:rPr>
              <w:t>项目负责人业绩与企业业绩可重复评审。</w:t>
            </w:r>
          </w:p>
          <w:p w14:paraId="48742636">
            <w:pPr>
              <w:keepNext w:val="0"/>
              <w:keepLines w:val="0"/>
              <w:pageBreakBefore w:val="0"/>
              <w:numPr>
                <w:ilvl w:val="0"/>
                <w:numId w:val="0"/>
              </w:numPr>
              <w:kinsoku/>
              <w:overflowPunct/>
              <w:topLinePunct w:val="0"/>
              <w:autoSpaceDE/>
              <w:autoSpaceDN/>
              <w:bidi w:val="0"/>
              <w:adjustRightInd w:val="0"/>
              <w:snapToGrid w:val="0"/>
              <w:spacing w:line="360" w:lineRule="auto"/>
              <w:textAlignment w:val="auto"/>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SA"/>
              </w:rPr>
              <w:t>4.拟派项目审核团队人员（4分）</w:t>
            </w:r>
            <w:r>
              <w:rPr>
                <w:rFonts w:hint="eastAsia" w:asciiTheme="minorEastAsia" w:hAnsiTheme="minorEastAsia" w:eastAsiaTheme="minorEastAsia" w:cstheme="minorEastAsia"/>
                <w:b w:val="0"/>
                <w:bCs w:val="0"/>
                <w:color w:val="auto"/>
                <w:kern w:val="2"/>
                <w:sz w:val="24"/>
                <w:szCs w:val="24"/>
                <w:highlight w:val="none"/>
                <w:lang w:val="en-US" w:eastAsia="zh-CN" w:bidi="ar-SA"/>
              </w:rPr>
              <w:br w:type="textWrapping"/>
            </w:r>
            <w:r>
              <w:rPr>
                <w:rFonts w:hint="eastAsia" w:asciiTheme="minorEastAsia" w:hAnsiTheme="minorEastAsia" w:eastAsiaTheme="minorEastAsia" w:cstheme="minorEastAsia"/>
                <w:b w:val="0"/>
                <w:bCs w:val="0"/>
                <w:color w:val="auto"/>
                <w:sz w:val="24"/>
                <w:szCs w:val="24"/>
                <w:highlight w:val="none"/>
                <w:lang w:val="en-US" w:eastAsia="zh-CN"/>
              </w:rPr>
              <w:t>供应商拟派审核团队成员≥2名且同时</w:t>
            </w:r>
            <w:r>
              <w:rPr>
                <w:rFonts w:hint="eastAsia" w:asciiTheme="minorEastAsia" w:hAnsiTheme="minorEastAsia" w:eastAsiaTheme="minorEastAsia" w:cstheme="minorEastAsia"/>
                <w:b w:val="0"/>
                <w:bCs w:val="0"/>
                <w:sz w:val="24"/>
                <w:szCs w:val="24"/>
                <w:highlight w:val="none"/>
                <w:lang w:val="en-US" w:eastAsia="zh-CN"/>
              </w:rPr>
              <w:t>具备清洁生产审核师培训合格证书（或结业证书）</w:t>
            </w:r>
            <w:r>
              <w:rPr>
                <w:rFonts w:hint="eastAsia" w:asciiTheme="minorEastAsia" w:hAnsiTheme="minorEastAsia" w:eastAsiaTheme="minorEastAsia" w:cstheme="minorEastAsia"/>
                <w:b w:val="0"/>
                <w:bCs w:val="0"/>
                <w:sz w:val="24"/>
                <w:szCs w:val="24"/>
                <w:highlight w:val="none"/>
              </w:rPr>
              <w:t>，具备医疗卫生行业审核经验</w:t>
            </w:r>
            <w:r>
              <w:rPr>
                <w:rFonts w:hint="eastAsia" w:asciiTheme="minorEastAsia" w:hAnsiTheme="minorEastAsia" w:eastAsiaTheme="minorEastAsia" w:cstheme="minorEastAsia"/>
                <w:b w:val="0"/>
                <w:bCs w:val="0"/>
                <w:color w:val="auto"/>
                <w:sz w:val="24"/>
                <w:szCs w:val="24"/>
                <w:highlight w:val="none"/>
                <w:lang w:val="en-US" w:eastAsia="zh-CN"/>
              </w:rPr>
              <w:t>得3分，在此基础上每增加1名的得0.5分，最多得1分。</w:t>
            </w:r>
          </w:p>
          <w:p w14:paraId="22D915CB">
            <w:pPr>
              <w:keepNext w:val="0"/>
              <w:keepLines w:val="0"/>
              <w:pageBreakBefore w:val="0"/>
              <w:kinsoku/>
              <w:overflowPunct/>
              <w:topLinePunct w:val="0"/>
              <w:autoSpaceDE/>
              <w:autoSpaceDN/>
              <w:bidi w:val="0"/>
              <w:adjustRightInd w:val="0"/>
              <w:snapToGrid w:val="0"/>
              <w:spacing w:line="360" w:lineRule="auto"/>
              <w:textAlignment w:val="auto"/>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评审依据：不满足基础要求的本项不得分。提供满足拟派团队人员清单，并提供上述要求的人员证明材料复印件或扫描件。</w:t>
            </w:r>
          </w:p>
        </w:tc>
      </w:tr>
      <w:tr w14:paraId="106CF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290" w:type="dxa"/>
            <w:shd w:val="clear" w:color="auto" w:fill="auto"/>
            <w:tcMar>
              <w:top w:w="0" w:type="dxa"/>
              <w:left w:w="108" w:type="dxa"/>
              <w:bottom w:w="0" w:type="dxa"/>
              <w:right w:w="108" w:type="dxa"/>
            </w:tcMar>
            <w:vAlign w:val="center"/>
          </w:tcPr>
          <w:p w14:paraId="2E091026">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项目配套服务设备</w:t>
            </w:r>
          </w:p>
        </w:tc>
        <w:tc>
          <w:tcPr>
            <w:tcW w:w="842" w:type="dxa"/>
            <w:shd w:val="clear" w:color="auto" w:fill="auto"/>
            <w:tcMar>
              <w:top w:w="0" w:type="dxa"/>
              <w:left w:w="108" w:type="dxa"/>
              <w:bottom w:w="0" w:type="dxa"/>
              <w:right w:w="108" w:type="dxa"/>
            </w:tcMar>
            <w:vAlign w:val="center"/>
          </w:tcPr>
          <w:p w14:paraId="72481A93">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满分</w:t>
            </w:r>
          </w:p>
          <w:p w14:paraId="43620903">
            <w:pPr>
              <w:keepNext w:val="0"/>
              <w:keepLines w:val="0"/>
              <w:pageBreakBefore w:val="0"/>
              <w:kinsoku/>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rPr>
              <w:t>6</w:t>
            </w:r>
            <w:r>
              <w:rPr>
                <w:rFonts w:hint="eastAsia" w:asciiTheme="minorEastAsia" w:hAnsiTheme="minorEastAsia" w:eastAsiaTheme="minorEastAsia" w:cstheme="minorEastAsia"/>
                <w:b/>
                <w:bCs/>
                <w:color w:val="auto"/>
                <w:sz w:val="24"/>
                <w:szCs w:val="24"/>
                <w:highlight w:val="none"/>
              </w:rPr>
              <w:t>分</w:t>
            </w:r>
          </w:p>
        </w:tc>
        <w:tc>
          <w:tcPr>
            <w:tcW w:w="6142" w:type="dxa"/>
            <w:shd w:val="clear" w:color="auto" w:fill="auto"/>
            <w:tcMar>
              <w:top w:w="0" w:type="dxa"/>
              <w:left w:w="108" w:type="dxa"/>
              <w:bottom w:w="0" w:type="dxa"/>
              <w:right w:w="108" w:type="dxa"/>
            </w:tcMar>
            <w:vAlign w:val="center"/>
          </w:tcPr>
          <w:p w14:paraId="28B3A27F">
            <w:pPr>
              <w:keepNext w:val="0"/>
              <w:keepLines w:val="0"/>
              <w:pageBreakBefore w:val="0"/>
              <w:kinsoku/>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供应商</w:t>
            </w:r>
            <w:r>
              <w:rPr>
                <w:rFonts w:hint="eastAsia" w:asciiTheme="minorEastAsia" w:hAnsiTheme="minorEastAsia" w:eastAsiaTheme="minorEastAsia" w:cstheme="minorEastAsia"/>
                <w:b/>
                <w:bCs/>
                <w:color w:val="auto"/>
                <w:sz w:val="24"/>
                <w:szCs w:val="24"/>
                <w:highlight w:val="none"/>
                <w:lang w:val="en-US" w:eastAsia="zh-CN"/>
              </w:rPr>
              <w:t>提供的</w:t>
            </w:r>
            <w:r>
              <w:rPr>
                <w:rFonts w:hint="eastAsia" w:asciiTheme="minorEastAsia" w:hAnsiTheme="minorEastAsia" w:eastAsiaTheme="minorEastAsia" w:cstheme="minorEastAsia"/>
                <w:b/>
                <w:bCs/>
                <w:color w:val="auto"/>
                <w:kern w:val="2"/>
                <w:sz w:val="24"/>
                <w:szCs w:val="24"/>
                <w:highlight w:val="none"/>
                <w:lang w:val="en-US" w:eastAsia="zh-CN" w:bidi="ar-SA"/>
              </w:rPr>
              <w:t>项目配套服务设备</w:t>
            </w:r>
            <w:r>
              <w:rPr>
                <w:rFonts w:hint="eastAsia" w:asciiTheme="minorEastAsia" w:hAnsiTheme="minorEastAsia" w:eastAsiaTheme="minorEastAsia" w:cstheme="minorEastAsia"/>
                <w:b/>
                <w:bCs/>
                <w:color w:val="auto"/>
                <w:sz w:val="24"/>
                <w:szCs w:val="24"/>
                <w:highlight w:val="none"/>
                <w:lang w:val="en-US" w:eastAsia="zh-CN"/>
              </w:rPr>
              <w:t>需包含</w:t>
            </w:r>
            <w:r>
              <w:rPr>
                <w:rFonts w:hint="eastAsia" w:asciiTheme="minorEastAsia" w:hAnsiTheme="minorEastAsia" w:eastAsiaTheme="minorEastAsia" w:cstheme="minorEastAsia"/>
                <w:b/>
                <w:bCs/>
                <w:color w:val="auto"/>
                <w:sz w:val="24"/>
                <w:szCs w:val="24"/>
                <w:highlight w:val="none"/>
                <w:lang w:val="zh-CN" w:eastAsia="zh-CN"/>
              </w:rPr>
              <w:t>①</w:t>
            </w:r>
            <w:r>
              <w:rPr>
                <w:rFonts w:hint="eastAsia" w:asciiTheme="minorEastAsia" w:hAnsiTheme="minorEastAsia" w:eastAsiaTheme="minorEastAsia" w:cstheme="minorEastAsia"/>
                <w:b/>
                <w:bCs/>
                <w:color w:val="auto"/>
                <w:kern w:val="2"/>
                <w:sz w:val="24"/>
                <w:szCs w:val="24"/>
                <w:highlight w:val="none"/>
                <w:lang w:val="en-US" w:eastAsia="zh-CN" w:bidi="ar-SA"/>
              </w:rPr>
              <w:t>项目配套服务设备</w:t>
            </w:r>
            <w:r>
              <w:rPr>
                <w:rFonts w:hint="eastAsia" w:asciiTheme="minorEastAsia" w:hAnsiTheme="minorEastAsia" w:eastAsiaTheme="minorEastAsia" w:cstheme="minorEastAsia"/>
                <w:b/>
                <w:bCs/>
                <w:color w:val="auto"/>
                <w:sz w:val="24"/>
                <w:szCs w:val="24"/>
                <w:highlight w:val="none"/>
                <w:lang w:val="en-US" w:eastAsia="zh-CN"/>
              </w:rPr>
              <w:t>配置情况表；</w:t>
            </w:r>
            <w:r>
              <w:rPr>
                <w:rFonts w:hint="eastAsia" w:asciiTheme="minorEastAsia" w:hAnsiTheme="minorEastAsia" w:eastAsiaTheme="minorEastAsia" w:cstheme="minorEastAsia"/>
                <w:b/>
                <w:bCs/>
                <w:color w:val="auto"/>
                <w:sz w:val="24"/>
                <w:szCs w:val="24"/>
                <w:highlight w:val="none"/>
                <w:lang w:val="zh-CN" w:eastAsia="zh-CN"/>
              </w:rPr>
              <w:t>②</w:t>
            </w:r>
            <w:r>
              <w:rPr>
                <w:rFonts w:hint="eastAsia" w:asciiTheme="minorEastAsia" w:hAnsiTheme="minorEastAsia" w:eastAsiaTheme="minorEastAsia" w:cstheme="minorEastAsia"/>
                <w:b/>
                <w:bCs/>
                <w:color w:val="auto"/>
                <w:kern w:val="2"/>
                <w:sz w:val="24"/>
                <w:szCs w:val="24"/>
                <w:highlight w:val="none"/>
                <w:lang w:val="en-US" w:eastAsia="zh-CN" w:bidi="ar-SA"/>
              </w:rPr>
              <w:t>项目配套服务设备</w:t>
            </w:r>
            <w:r>
              <w:rPr>
                <w:rFonts w:hint="eastAsia" w:asciiTheme="minorEastAsia" w:hAnsiTheme="minorEastAsia" w:eastAsiaTheme="minorEastAsia" w:cstheme="minorEastAsia"/>
                <w:b/>
                <w:bCs/>
                <w:color w:val="auto"/>
                <w:sz w:val="24"/>
                <w:szCs w:val="24"/>
                <w:highlight w:val="none"/>
                <w:lang w:val="en-US" w:eastAsia="zh-CN"/>
              </w:rPr>
              <w:t>的性能及运行状态及</w:t>
            </w:r>
            <w:r>
              <w:rPr>
                <w:rFonts w:hint="eastAsia" w:asciiTheme="minorEastAsia" w:hAnsiTheme="minorEastAsia" w:eastAsiaTheme="minorEastAsia" w:cstheme="minorEastAsia"/>
                <w:b/>
                <w:bCs/>
                <w:color w:val="auto"/>
                <w:kern w:val="2"/>
                <w:sz w:val="24"/>
                <w:szCs w:val="24"/>
                <w:highlight w:val="none"/>
                <w:lang w:val="en-US" w:eastAsia="zh-CN" w:bidi="ar-SA"/>
              </w:rPr>
              <w:t>项目配套服务设备</w:t>
            </w:r>
            <w:r>
              <w:rPr>
                <w:rFonts w:hint="eastAsia" w:asciiTheme="minorEastAsia" w:hAnsiTheme="minorEastAsia" w:eastAsiaTheme="minorEastAsia" w:cstheme="minorEastAsia"/>
                <w:b/>
                <w:bCs/>
                <w:color w:val="auto"/>
                <w:sz w:val="24"/>
                <w:szCs w:val="24"/>
                <w:highlight w:val="none"/>
                <w:lang w:val="en-US" w:eastAsia="zh-CN"/>
              </w:rPr>
              <w:t>的运维及备用方案，共2项内容，</w:t>
            </w:r>
            <w:r>
              <w:rPr>
                <w:rFonts w:hint="eastAsia" w:asciiTheme="minorEastAsia" w:hAnsiTheme="minorEastAsia" w:eastAsiaTheme="minorEastAsia" w:cstheme="minorEastAsia"/>
                <w:b/>
                <w:bCs/>
                <w:color w:val="auto"/>
                <w:sz w:val="24"/>
                <w:szCs w:val="24"/>
                <w:highlight w:val="none"/>
              </w:rPr>
              <w:t>每项满分3分，</w:t>
            </w:r>
            <w:r>
              <w:rPr>
                <w:rFonts w:hint="eastAsia" w:asciiTheme="minorEastAsia" w:hAnsiTheme="minorEastAsia" w:eastAsiaTheme="minorEastAsia" w:cstheme="minorEastAsia"/>
                <w:b/>
                <w:bCs/>
                <w:color w:val="auto"/>
                <w:sz w:val="24"/>
                <w:szCs w:val="24"/>
                <w:highlight w:val="none"/>
                <w:lang w:val="en-US" w:eastAsia="zh-CN"/>
              </w:rPr>
              <w:t>总分6分。</w:t>
            </w:r>
          </w:p>
          <w:p w14:paraId="5425419C">
            <w:pPr>
              <w:keepNext w:val="0"/>
              <w:keepLines w:val="0"/>
              <w:pageBreakBefore w:val="0"/>
              <w:kinsoku/>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eastAsia="zh-CN"/>
              </w:rPr>
              <w:t>其中，每项以具体内容与本项目及</w:t>
            </w:r>
            <w:r>
              <w:rPr>
                <w:rFonts w:hint="eastAsia" w:asciiTheme="minorEastAsia" w:hAnsiTheme="minorEastAsia" w:eastAsiaTheme="minorEastAsia" w:cstheme="minorEastAsia"/>
                <w:color w:val="auto"/>
                <w:sz w:val="24"/>
                <w:szCs w:val="24"/>
                <w:highlight w:val="none"/>
                <w:lang w:val="en-US" w:eastAsia="zh-CN"/>
              </w:rPr>
              <w:t>服务需求</w:t>
            </w:r>
            <w:r>
              <w:rPr>
                <w:rFonts w:hint="eastAsia" w:asciiTheme="minorEastAsia" w:hAnsiTheme="minorEastAsia" w:eastAsiaTheme="minorEastAsia" w:cstheme="minorEastAsia"/>
                <w:color w:val="auto"/>
                <w:sz w:val="24"/>
                <w:szCs w:val="24"/>
                <w:highlight w:val="none"/>
                <w:lang w:eastAsia="zh-CN"/>
              </w:rPr>
              <w:t>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2241F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290" w:type="dxa"/>
            <w:tcMar>
              <w:top w:w="0" w:type="dxa"/>
              <w:left w:w="108" w:type="dxa"/>
              <w:bottom w:w="0" w:type="dxa"/>
              <w:right w:w="108" w:type="dxa"/>
            </w:tcMar>
            <w:vAlign w:val="center"/>
          </w:tcPr>
          <w:p w14:paraId="1F6B1D39">
            <w:pPr>
              <w:pStyle w:val="91"/>
              <w:keepNext w:val="0"/>
              <w:keepLines w:val="0"/>
              <w:pageBreakBefore w:val="0"/>
              <w:widowControl/>
              <w:kinsoku/>
              <w:wordWrap w:val="0"/>
              <w:overflowPunct/>
              <w:topLinePunct w:val="0"/>
              <w:autoSpaceDE/>
              <w:autoSpaceDN/>
              <w:bidi w:val="0"/>
              <w:adjustRightInd w:val="0"/>
              <w:snapToGrid w:val="0"/>
              <w:spacing w:before="0" w:after="0" w:line="360" w:lineRule="auto"/>
              <w:ind w:left="0" w:right="0"/>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lang w:eastAsia="zh-CN"/>
              </w:rPr>
              <w:t>企业</w:t>
            </w:r>
            <w:r>
              <w:rPr>
                <w:rFonts w:hint="eastAsia" w:asciiTheme="minorEastAsia" w:hAnsiTheme="minorEastAsia" w:eastAsiaTheme="minorEastAsia" w:cstheme="minorEastAsia"/>
                <w:b/>
                <w:sz w:val="24"/>
                <w:szCs w:val="24"/>
                <w:highlight w:val="none"/>
              </w:rPr>
              <w:t>业绩</w:t>
            </w:r>
          </w:p>
        </w:tc>
        <w:tc>
          <w:tcPr>
            <w:tcW w:w="842" w:type="dxa"/>
            <w:tcMar>
              <w:top w:w="0" w:type="dxa"/>
              <w:left w:w="108" w:type="dxa"/>
              <w:bottom w:w="0" w:type="dxa"/>
              <w:right w:w="108" w:type="dxa"/>
            </w:tcMar>
            <w:vAlign w:val="center"/>
          </w:tcPr>
          <w:p w14:paraId="01A62289">
            <w:pPr>
              <w:keepNext w:val="0"/>
              <w:keepLines w:val="0"/>
              <w:pageBreakBefore w:val="0"/>
              <w:kinsoku/>
              <w:wordWrap w:val="0"/>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满分</w:t>
            </w:r>
          </w:p>
          <w:p w14:paraId="58C37505">
            <w:pPr>
              <w:pStyle w:val="91"/>
              <w:keepNext w:val="0"/>
              <w:keepLines w:val="0"/>
              <w:pageBreakBefore w:val="0"/>
              <w:widowControl/>
              <w:kinsoku/>
              <w:wordWrap w:val="0"/>
              <w:overflowPunct/>
              <w:topLinePunct w:val="0"/>
              <w:autoSpaceDE/>
              <w:autoSpaceDN/>
              <w:bidi w:val="0"/>
              <w:adjustRightInd w:val="0"/>
              <w:snapToGrid w:val="0"/>
              <w:spacing w:before="0" w:after="0" w:line="360" w:lineRule="auto"/>
              <w:ind w:left="0" w:right="0"/>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lang w:val="en-US" w:eastAsia="zh-CN"/>
              </w:rPr>
              <w:t>10</w:t>
            </w:r>
            <w:r>
              <w:rPr>
                <w:rFonts w:hint="eastAsia" w:asciiTheme="minorEastAsia" w:hAnsiTheme="minorEastAsia" w:eastAsiaTheme="minorEastAsia" w:cstheme="minorEastAsia"/>
                <w:b/>
                <w:bCs/>
                <w:sz w:val="24"/>
                <w:szCs w:val="24"/>
                <w:highlight w:val="none"/>
              </w:rPr>
              <w:t>分</w:t>
            </w:r>
          </w:p>
        </w:tc>
        <w:tc>
          <w:tcPr>
            <w:tcW w:w="6142" w:type="dxa"/>
            <w:tcMar>
              <w:top w:w="0" w:type="dxa"/>
              <w:left w:w="108" w:type="dxa"/>
              <w:bottom w:w="0" w:type="dxa"/>
              <w:right w:w="108" w:type="dxa"/>
            </w:tcMar>
            <w:vAlign w:val="top"/>
          </w:tcPr>
          <w:p w14:paraId="7B942ED5">
            <w:pPr>
              <w:pStyle w:val="91"/>
              <w:keepNext w:val="0"/>
              <w:keepLines w:val="0"/>
              <w:pageBreakBefore w:val="0"/>
              <w:widowControl/>
              <w:kinsoku/>
              <w:wordWrap w:val="0"/>
              <w:overflowPunct/>
              <w:topLinePunct w:val="0"/>
              <w:autoSpaceDE/>
              <w:autoSpaceDN/>
              <w:bidi w:val="0"/>
              <w:adjustRightInd w:val="0"/>
              <w:snapToGrid w:val="0"/>
              <w:spacing w:before="0" w:after="0" w:line="360" w:lineRule="auto"/>
              <w:ind w:left="0" w:right="0"/>
              <w:jc w:val="both"/>
              <w:textAlignment w:val="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供应商</w:t>
            </w:r>
            <w:r>
              <w:rPr>
                <w:rFonts w:hint="eastAsia" w:asciiTheme="minorEastAsia" w:hAnsiTheme="minorEastAsia" w:eastAsiaTheme="minorEastAsia" w:cstheme="minorEastAsia"/>
                <w:b w:val="0"/>
                <w:bCs w:val="0"/>
                <w:sz w:val="24"/>
                <w:szCs w:val="24"/>
                <w:highlight w:val="none"/>
                <w:lang w:eastAsia="zh-CN"/>
              </w:rPr>
              <w:t>提供</w:t>
            </w:r>
            <w:r>
              <w:rPr>
                <w:rFonts w:hint="eastAsia" w:asciiTheme="minorEastAsia" w:hAnsiTheme="minorEastAsia" w:eastAsiaTheme="minorEastAsia" w:cstheme="minorEastAsia"/>
                <w:b w:val="0"/>
                <w:bCs w:val="0"/>
                <w:sz w:val="24"/>
                <w:szCs w:val="24"/>
                <w:highlight w:val="none"/>
              </w:rPr>
              <w:t>自</w:t>
            </w:r>
            <w:r>
              <w:rPr>
                <w:rFonts w:hint="eastAsia" w:asciiTheme="minorEastAsia" w:hAnsiTheme="minorEastAsia" w:eastAsiaTheme="minorEastAsia" w:cstheme="minorEastAsia"/>
                <w:b w:val="0"/>
                <w:bCs w:val="0"/>
                <w:sz w:val="24"/>
                <w:szCs w:val="24"/>
                <w:highlight w:val="none"/>
                <w:lang w:val="en-US" w:eastAsia="zh-CN"/>
              </w:rPr>
              <w:t>2023</w:t>
            </w:r>
            <w:r>
              <w:rPr>
                <w:rFonts w:hint="eastAsia" w:asciiTheme="minorEastAsia" w:hAnsiTheme="minorEastAsia" w:eastAsiaTheme="minorEastAsia" w:cstheme="minorEastAsia"/>
                <w:b w:val="0"/>
                <w:bCs w:val="0"/>
                <w:sz w:val="24"/>
                <w:szCs w:val="24"/>
                <w:highlight w:val="none"/>
              </w:rPr>
              <w:t>年</w:t>
            </w:r>
            <w:r>
              <w:rPr>
                <w:rFonts w:hint="eastAsia" w:asciiTheme="minorEastAsia" w:hAnsiTheme="minorEastAsia" w:eastAsiaTheme="minorEastAsia" w:cstheme="minorEastAsia"/>
                <w:b w:val="0"/>
                <w:bCs w:val="0"/>
                <w:sz w:val="24"/>
                <w:szCs w:val="24"/>
                <w:highlight w:val="none"/>
                <w:lang w:val="en-US" w:eastAsia="zh-CN"/>
              </w:rPr>
              <w:t>8</w:t>
            </w:r>
            <w:r>
              <w:rPr>
                <w:rFonts w:hint="eastAsia" w:asciiTheme="minorEastAsia" w:hAnsiTheme="minorEastAsia" w:eastAsiaTheme="minorEastAsia" w:cstheme="minorEastAsia"/>
                <w:b w:val="0"/>
                <w:bCs w:val="0"/>
                <w:sz w:val="24"/>
                <w:szCs w:val="24"/>
                <w:highlight w:val="none"/>
              </w:rPr>
              <w:t>月1日起至今的类似项目业绩证明材料，每提供一份业绩合同得</w:t>
            </w:r>
            <w:r>
              <w:rPr>
                <w:rFonts w:hint="eastAsia" w:asciiTheme="minorEastAsia" w:hAnsiTheme="minorEastAsia" w:eastAsiaTheme="minorEastAsia" w:cstheme="minorEastAsia"/>
                <w:b w:val="0"/>
                <w:bCs w:val="0"/>
                <w:sz w:val="24"/>
                <w:szCs w:val="24"/>
                <w:highlight w:val="none"/>
                <w:lang w:val="en-US" w:eastAsia="zh-CN"/>
              </w:rPr>
              <w:t>2</w:t>
            </w:r>
            <w:r>
              <w:rPr>
                <w:rFonts w:hint="eastAsia" w:asciiTheme="minorEastAsia" w:hAnsiTheme="minorEastAsia" w:eastAsiaTheme="minorEastAsia" w:cstheme="minorEastAsia"/>
                <w:b w:val="0"/>
                <w:bCs w:val="0"/>
                <w:sz w:val="24"/>
                <w:szCs w:val="24"/>
                <w:highlight w:val="none"/>
              </w:rPr>
              <w:t>分，满分为</w:t>
            </w: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b w:val="0"/>
                <w:bCs w:val="0"/>
                <w:sz w:val="24"/>
                <w:szCs w:val="24"/>
                <w:highlight w:val="none"/>
              </w:rPr>
              <w:t>分，不得重复累计。</w:t>
            </w:r>
          </w:p>
          <w:p w14:paraId="5912DE81">
            <w:pPr>
              <w:pStyle w:val="91"/>
              <w:keepNext w:val="0"/>
              <w:keepLines w:val="0"/>
              <w:pageBreakBefore w:val="0"/>
              <w:widowControl/>
              <w:kinsoku/>
              <w:wordWrap w:val="0"/>
              <w:overflowPunct/>
              <w:topLinePunct w:val="0"/>
              <w:autoSpaceDE/>
              <w:autoSpaceDN/>
              <w:bidi w:val="0"/>
              <w:adjustRightInd w:val="0"/>
              <w:snapToGrid w:val="0"/>
              <w:spacing w:before="0" w:after="0" w:line="360" w:lineRule="auto"/>
              <w:ind w:left="0" w:right="0"/>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评审依据：业绩证明材料以供应商在</w:t>
            </w:r>
            <w:r>
              <w:rPr>
                <w:rFonts w:hint="eastAsia" w:asciiTheme="minorEastAsia" w:hAnsiTheme="minorEastAsia" w:eastAsiaTheme="minorEastAsia" w:cstheme="minorEastAsia"/>
                <w:b/>
                <w:bCs/>
                <w:sz w:val="24"/>
                <w:szCs w:val="24"/>
                <w:highlight w:val="none"/>
                <w:lang w:val="en-US" w:eastAsia="zh-CN"/>
              </w:rPr>
              <w:t>响应</w:t>
            </w:r>
            <w:r>
              <w:rPr>
                <w:rFonts w:hint="eastAsia" w:asciiTheme="minorEastAsia" w:hAnsiTheme="minorEastAsia" w:eastAsiaTheme="minorEastAsia" w:cstheme="minorEastAsia"/>
                <w:b/>
                <w:bCs/>
                <w:sz w:val="24"/>
                <w:szCs w:val="24"/>
                <w:highlight w:val="none"/>
              </w:rPr>
              <w:t>文件中提供</w:t>
            </w:r>
            <w:r>
              <w:rPr>
                <w:rFonts w:hint="eastAsia" w:asciiTheme="minorEastAsia" w:hAnsiTheme="minorEastAsia" w:eastAsiaTheme="minorEastAsia" w:cstheme="minorEastAsia"/>
                <w:b/>
                <w:bCs/>
                <w:sz w:val="24"/>
                <w:szCs w:val="24"/>
                <w:highlight w:val="none"/>
                <w:lang w:eastAsia="zh-CN"/>
              </w:rPr>
              <w:t>的</w:t>
            </w:r>
            <w:r>
              <w:rPr>
                <w:rFonts w:hint="eastAsia" w:asciiTheme="minorEastAsia" w:hAnsiTheme="minorEastAsia" w:eastAsiaTheme="minorEastAsia" w:cstheme="minorEastAsia"/>
                <w:b/>
                <w:bCs/>
                <w:sz w:val="24"/>
                <w:szCs w:val="24"/>
                <w:highlight w:val="none"/>
              </w:rPr>
              <w:t>业绩合同复印件或扫描件为准，时间以合同签订时间为准。</w:t>
            </w:r>
          </w:p>
        </w:tc>
      </w:tr>
    </w:tbl>
    <w:p w14:paraId="5C53542A">
      <w:pPr>
        <w:bidi w:val="0"/>
        <w:rPr>
          <w:rFonts w:hint="eastAsia"/>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bookmarkStart w:id="393" w:name="_Toc12998"/>
    </w:p>
    <w:p w14:paraId="287E6798">
      <w:pPr>
        <w:pStyle w:val="2"/>
        <w:bidi w:val="0"/>
        <w:spacing w:line="240" w:lineRule="auto"/>
        <w:rPr>
          <w:rFonts w:hint="eastAsia" w:ascii="黑体" w:hAnsi="黑体" w:cs="黑体"/>
          <w:color w:val="000000"/>
          <w:szCs w:val="32"/>
          <w:highlight w:val="none"/>
        </w:rPr>
      </w:pPr>
      <w:r>
        <w:rPr>
          <w:rFonts w:hint="eastAsia"/>
          <w:highlight w:val="none"/>
        </w:rPr>
        <w:t>第五章  拟签订的合同</w:t>
      </w:r>
      <w:bookmarkEnd w:id="390"/>
      <w:bookmarkEnd w:id="391"/>
      <w:r>
        <w:rPr>
          <w:rFonts w:hint="eastAsia"/>
          <w:highlight w:val="none"/>
        </w:rPr>
        <w:t>文本</w:t>
      </w:r>
      <w:bookmarkEnd w:id="393"/>
    </w:p>
    <w:p w14:paraId="75600D0E">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宋体" w:cs="宋体"/>
          <w:sz w:val="24"/>
          <w:szCs w:val="24"/>
          <w:highlight w:val="none"/>
        </w:rPr>
      </w:pPr>
      <w:r>
        <w:rPr>
          <w:rFonts w:hint="eastAsia" w:ascii="宋体" w:hAnsi="宋体" w:cs="宋体"/>
          <w:sz w:val="24"/>
          <w:szCs w:val="24"/>
          <w:highlight w:val="none"/>
        </w:rPr>
        <w:t>（合同签订时采购人有权根据供应商竞争性磋商响应文件中的内容及承诺对合同内容进行补充和完善）</w:t>
      </w:r>
    </w:p>
    <w:p w14:paraId="360E1209">
      <w:pPr>
        <w:bidi w:val="0"/>
        <w:rPr>
          <w:highlight w:val="none"/>
        </w:rPr>
      </w:pPr>
    </w:p>
    <w:p w14:paraId="2B26738D">
      <w:pPr>
        <w:bidi w:val="0"/>
        <w:rPr>
          <w:highlight w:val="none"/>
        </w:rPr>
      </w:pPr>
    </w:p>
    <w:p w14:paraId="7C321A0B">
      <w:pPr>
        <w:bidi w:val="0"/>
        <w:jc w:val="center"/>
        <w:rPr>
          <w:rFonts w:hint="eastAsia"/>
          <w:b/>
          <w:bCs/>
          <w:sz w:val="44"/>
          <w:szCs w:val="40"/>
          <w:highlight w:val="none"/>
          <w:lang w:eastAsia="zh-CN"/>
        </w:rPr>
      </w:pPr>
      <w:r>
        <w:rPr>
          <w:rFonts w:hint="eastAsia"/>
          <w:b/>
          <w:bCs/>
          <w:sz w:val="44"/>
          <w:szCs w:val="40"/>
          <w:highlight w:val="none"/>
          <w:lang w:eastAsia="zh-CN"/>
        </w:rPr>
        <w:t>陕西省肿瘤医院</w:t>
      </w:r>
    </w:p>
    <w:p w14:paraId="2AD40FEC">
      <w:pPr>
        <w:bidi w:val="0"/>
        <w:jc w:val="center"/>
        <w:rPr>
          <w:rFonts w:hint="eastAsia" w:eastAsia="宋体"/>
          <w:b/>
          <w:bCs/>
          <w:sz w:val="44"/>
          <w:szCs w:val="40"/>
          <w:highlight w:val="none"/>
          <w:lang w:eastAsia="zh-CN"/>
        </w:rPr>
      </w:pPr>
      <w:r>
        <w:rPr>
          <w:rFonts w:hint="eastAsia"/>
          <w:b/>
          <w:bCs/>
          <w:sz w:val="44"/>
          <w:szCs w:val="40"/>
          <w:highlight w:val="none"/>
          <w:lang w:eastAsia="zh-CN"/>
        </w:rPr>
        <w:t>强制性清洁生产审核服务项目</w:t>
      </w:r>
    </w:p>
    <w:p w14:paraId="1BC0046A">
      <w:pPr>
        <w:bidi w:val="0"/>
        <w:rPr>
          <w:highlight w:val="none"/>
        </w:rPr>
      </w:pPr>
    </w:p>
    <w:p w14:paraId="48E58FEF">
      <w:pPr>
        <w:bidi w:val="0"/>
        <w:rPr>
          <w:highlight w:val="none"/>
        </w:rPr>
      </w:pPr>
    </w:p>
    <w:p w14:paraId="4048973F">
      <w:pPr>
        <w:bidi w:val="0"/>
        <w:rPr>
          <w:highlight w:val="none"/>
        </w:rPr>
      </w:pPr>
    </w:p>
    <w:p w14:paraId="248198D8">
      <w:pPr>
        <w:bidi w:val="0"/>
        <w:rPr>
          <w:highlight w:val="none"/>
        </w:rPr>
      </w:pPr>
    </w:p>
    <w:p w14:paraId="146053B3">
      <w:pPr>
        <w:bidi w:val="0"/>
        <w:rPr>
          <w:highlight w:val="none"/>
        </w:rPr>
      </w:pPr>
    </w:p>
    <w:p w14:paraId="6D940D8E">
      <w:pPr>
        <w:bidi w:val="0"/>
        <w:rPr>
          <w:highlight w:val="none"/>
        </w:rPr>
      </w:pPr>
    </w:p>
    <w:p w14:paraId="3DD798F3">
      <w:pPr>
        <w:bidi w:val="0"/>
        <w:rPr>
          <w:highlight w:val="none"/>
        </w:rPr>
      </w:pPr>
    </w:p>
    <w:p w14:paraId="1FEA1173">
      <w:pPr>
        <w:bidi w:val="0"/>
        <w:rPr>
          <w:highlight w:val="none"/>
        </w:rPr>
      </w:pPr>
    </w:p>
    <w:p w14:paraId="1B1178B1">
      <w:pPr>
        <w:bidi w:val="0"/>
        <w:jc w:val="center"/>
        <w:rPr>
          <w:b/>
          <w:bCs/>
          <w:sz w:val="72"/>
          <w:szCs w:val="60"/>
          <w:highlight w:val="none"/>
        </w:rPr>
      </w:pPr>
      <w:r>
        <w:rPr>
          <w:b/>
          <w:bCs/>
          <w:sz w:val="72"/>
          <w:szCs w:val="60"/>
          <w:highlight w:val="none"/>
        </w:rPr>
        <w:t>服务合同</w:t>
      </w:r>
    </w:p>
    <w:p w14:paraId="7DDD190C">
      <w:pPr>
        <w:bidi w:val="0"/>
        <w:rPr>
          <w:highlight w:val="none"/>
        </w:rPr>
      </w:pPr>
    </w:p>
    <w:p w14:paraId="17828F26">
      <w:pPr>
        <w:bidi w:val="0"/>
        <w:rPr>
          <w:highlight w:val="none"/>
        </w:rPr>
      </w:pPr>
    </w:p>
    <w:p w14:paraId="066F4CB0">
      <w:pPr>
        <w:bidi w:val="0"/>
        <w:rPr>
          <w:highlight w:val="none"/>
        </w:rPr>
      </w:pPr>
    </w:p>
    <w:p w14:paraId="5010A5E4">
      <w:pPr>
        <w:bidi w:val="0"/>
        <w:rPr>
          <w:highlight w:val="none"/>
        </w:rPr>
      </w:pPr>
    </w:p>
    <w:p w14:paraId="4C57F19E">
      <w:pPr>
        <w:bidi w:val="0"/>
        <w:rPr>
          <w:highlight w:val="none"/>
        </w:rPr>
      </w:pPr>
    </w:p>
    <w:p w14:paraId="3A0FCE2C">
      <w:pPr>
        <w:bidi w:val="0"/>
        <w:rPr>
          <w:highlight w:val="none"/>
        </w:rPr>
      </w:pPr>
    </w:p>
    <w:p w14:paraId="58EAB408">
      <w:pPr>
        <w:bidi w:val="0"/>
        <w:rPr>
          <w:highlight w:val="none"/>
        </w:rPr>
      </w:pPr>
    </w:p>
    <w:p w14:paraId="7D9304B8">
      <w:pPr>
        <w:bidi w:val="0"/>
        <w:rPr>
          <w:highlight w:val="none"/>
        </w:rPr>
      </w:pPr>
    </w:p>
    <w:p w14:paraId="035103E4">
      <w:pPr>
        <w:bidi w:val="0"/>
        <w:rPr>
          <w:highlight w:val="none"/>
        </w:rPr>
      </w:pPr>
    </w:p>
    <w:p w14:paraId="0475920F">
      <w:pPr>
        <w:bidi w:val="0"/>
        <w:rPr>
          <w:highlight w:val="none"/>
        </w:rPr>
      </w:pPr>
    </w:p>
    <w:p w14:paraId="17D1F9AA">
      <w:pPr>
        <w:bidi w:val="0"/>
        <w:spacing w:line="600" w:lineRule="auto"/>
        <w:ind w:firstLine="2570" w:firstLineChars="800"/>
        <w:jc w:val="both"/>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t>甲方：</w:t>
      </w:r>
      <w:r>
        <w:rPr>
          <w:rFonts w:hint="eastAsia" w:ascii="宋体" w:hAnsi="宋体" w:eastAsia="宋体" w:cs="宋体"/>
          <w:b/>
          <w:bCs/>
          <w:sz w:val="32"/>
          <w:szCs w:val="28"/>
          <w:highlight w:val="none"/>
          <w:u w:val="single"/>
        </w:rPr>
        <w:t>陕西省肿瘤医院</w:t>
      </w:r>
    </w:p>
    <w:p w14:paraId="0D7CED28">
      <w:pPr>
        <w:bidi w:val="0"/>
        <w:spacing w:line="600" w:lineRule="auto"/>
        <w:ind w:firstLine="2570" w:firstLineChars="800"/>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t>乙方：</w:t>
      </w:r>
      <w:r>
        <w:rPr>
          <w:rFonts w:hint="eastAsia" w:ascii="宋体" w:hAnsi="宋体" w:eastAsia="宋体" w:cs="宋体"/>
          <w:b/>
          <w:bCs/>
          <w:sz w:val="32"/>
          <w:szCs w:val="28"/>
          <w:highlight w:val="none"/>
          <w:u w:val="single"/>
          <w:lang w:val="en-US" w:eastAsia="zh-CN"/>
        </w:rPr>
        <w:t xml:space="preserve">              </w:t>
      </w:r>
    </w:p>
    <w:p w14:paraId="7C6D8BC8">
      <w:pPr>
        <w:bidi w:val="0"/>
        <w:rPr>
          <w:highlight w:val="none"/>
        </w:rPr>
      </w:pPr>
    </w:p>
    <w:p w14:paraId="7FCFF955">
      <w:pPr>
        <w:bidi w:val="0"/>
        <w:rPr>
          <w:highlight w:val="none"/>
        </w:rPr>
      </w:pPr>
    </w:p>
    <w:p w14:paraId="27998D47">
      <w:pPr>
        <w:bidi w:val="0"/>
        <w:rPr>
          <w:highlight w:val="none"/>
        </w:rPr>
      </w:pPr>
    </w:p>
    <w:p w14:paraId="4BB4D520">
      <w:pPr>
        <w:bidi w:val="0"/>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t>2026年</w:t>
      </w:r>
      <w:r>
        <w:rPr>
          <w:rFonts w:hint="eastAsia" w:ascii="宋体" w:hAnsi="宋体" w:eastAsia="宋体" w:cs="宋体"/>
          <w:b/>
          <w:bCs/>
          <w:sz w:val="32"/>
          <w:szCs w:val="28"/>
          <w:highlight w:val="none"/>
          <w:u w:val="single"/>
        </w:rPr>
        <w:t xml:space="preserve">  </w:t>
      </w:r>
      <w:r>
        <w:rPr>
          <w:rFonts w:hint="eastAsia" w:ascii="宋体" w:hAnsi="宋体" w:eastAsia="宋体" w:cs="宋体"/>
          <w:b/>
          <w:bCs/>
          <w:sz w:val="32"/>
          <w:szCs w:val="28"/>
          <w:highlight w:val="none"/>
        </w:rPr>
        <w:t>月</w:t>
      </w:r>
    </w:p>
    <w:p w14:paraId="04DDBF0B">
      <w:pPr>
        <w:bidi w:val="0"/>
        <w:jc w:val="center"/>
        <w:rPr>
          <w:rFonts w:hint="eastAsia" w:ascii="宋体" w:hAnsi="宋体" w:eastAsia="宋体" w:cs="宋体"/>
          <w:b/>
          <w:bCs/>
          <w:sz w:val="32"/>
          <w:szCs w:val="28"/>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eastAsia="宋体" w:cs="宋体"/>
          <w:b/>
          <w:bCs/>
          <w:sz w:val="32"/>
          <w:szCs w:val="28"/>
          <w:highlight w:val="none"/>
        </w:rPr>
        <w:t>中国西安</w:t>
      </w:r>
    </w:p>
    <w:bookmarkEnd w:id="392"/>
    <w:p w14:paraId="5486F7F5">
      <w:pPr>
        <w:spacing w:line="360" w:lineRule="auto"/>
        <w:jc w:val="center"/>
        <w:rPr>
          <w:rFonts w:hint="eastAsia" w:ascii="宋体" w:hAnsi="宋体" w:eastAsia="宋体" w:cs="宋体"/>
          <w:b/>
          <w:caps w:val="0"/>
          <w:color w:val="auto"/>
          <w:sz w:val="30"/>
          <w:szCs w:val="30"/>
          <w:highlight w:val="none"/>
        </w:rPr>
      </w:pPr>
      <w:bookmarkStart w:id="394" w:name="_Toc10621850"/>
      <w:bookmarkStart w:id="395" w:name="_Toc12377629"/>
      <w:bookmarkStart w:id="396" w:name="_Toc6274"/>
      <w:bookmarkStart w:id="397" w:name="_Toc511316297"/>
      <w:bookmarkStart w:id="398" w:name="_Toc10563102"/>
      <w:bookmarkStart w:id="399" w:name="_Toc14776"/>
      <w:bookmarkStart w:id="400" w:name="_Toc25895"/>
      <w:bookmarkStart w:id="401" w:name="_Toc19409"/>
      <w:bookmarkStart w:id="402" w:name="_Toc10563644"/>
      <w:r>
        <w:rPr>
          <w:rFonts w:hint="eastAsia" w:ascii="宋体" w:hAnsi="宋体" w:eastAsia="宋体" w:cs="宋体"/>
          <w:b/>
          <w:caps w:val="0"/>
          <w:color w:val="auto"/>
          <w:sz w:val="44"/>
          <w:szCs w:val="44"/>
          <w:highlight w:val="none"/>
          <w:lang w:eastAsia="zh-CN"/>
        </w:rPr>
        <w:t>服务</w:t>
      </w:r>
      <w:r>
        <w:rPr>
          <w:rFonts w:hint="eastAsia" w:ascii="宋体" w:hAnsi="宋体" w:eastAsia="宋体" w:cs="宋体"/>
          <w:b/>
          <w:caps w:val="0"/>
          <w:color w:val="auto"/>
          <w:sz w:val="44"/>
          <w:szCs w:val="44"/>
          <w:highlight w:val="none"/>
        </w:rPr>
        <w:t>合同</w:t>
      </w:r>
    </w:p>
    <w:p w14:paraId="7ACD2999">
      <w:pPr>
        <w:keepNext w:val="0"/>
        <w:keepLines w:val="0"/>
        <w:pageBreakBefore w:val="0"/>
        <w:shd w:val="clear" w:color="auto" w:fill="FFFFFF"/>
        <w:wordWrap/>
        <w:overflowPunct/>
        <w:topLinePunct w:val="0"/>
        <w:bidi w:val="0"/>
        <w:adjustRightInd w:val="0"/>
        <w:snapToGrid w:val="0"/>
        <w:spacing w:line="360" w:lineRule="auto"/>
        <w:ind w:left="0" w:leftChars="0" w:firstLine="482" w:firstLineChars="200"/>
        <w:rPr>
          <w:rFonts w:hint="default" w:ascii="宋体" w:hAnsi="宋体" w:eastAsia="宋体" w:cs="宋体"/>
          <w:b/>
          <w:bCs/>
          <w:caps w:val="0"/>
          <w:color w:val="auto"/>
          <w:sz w:val="24"/>
          <w:szCs w:val="24"/>
          <w:highlight w:val="none"/>
          <w:lang w:val="en-US" w:eastAsia="zh-CN"/>
        </w:rPr>
      </w:pPr>
      <w:r>
        <w:rPr>
          <w:rFonts w:hint="eastAsia" w:ascii="宋体" w:hAnsi="宋体" w:eastAsia="宋体" w:cs="宋体"/>
          <w:b/>
          <w:bCs/>
          <w:caps w:val="0"/>
          <w:color w:val="auto"/>
          <w:sz w:val="24"/>
          <w:szCs w:val="24"/>
          <w:highlight w:val="none"/>
        </w:rPr>
        <w:t>甲方：</w:t>
      </w:r>
      <w:r>
        <w:rPr>
          <w:rFonts w:hint="eastAsia" w:ascii="宋体" w:hAnsi="宋体" w:cs="宋体"/>
          <w:b/>
          <w:bCs/>
          <w:caps w:val="0"/>
          <w:color w:val="auto"/>
          <w:sz w:val="24"/>
          <w:szCs w:val="24"/>
          <w:highlight w:val="none"/>
          <w:u w:val="single"/>
          <w:lang w:val="en-US" w:eastAsia="zh-CN"/>
        </w:rPr>
        <w:t>陕西省肿瘤医院</w:t>
      </w:r>
    </w:p>
    <w:p w14:paraId="22FF773F">
      <w:pPr>
        <w:keepNext w:val="0"/>
        <w:keepLines w:val="0"/>
        <w:pageBreakBefore w:val="0"/>
        <w:shd w:val="clear" w:color="auto" w:fill="FFFFFF"/>
        <w:wordWrap/>
        <w:overflowPunct/>
        <w:topLinePunct w:val="0"/>
        <w:bidi w:val="0"/>
        <w:adjustRightInd w:val="0"/>
        <w:snapToGrid w:val="0"/>
        <w:spacing w:line="360" w:lineRule="auto"/>
        <w:ind w:left="0" w:leftChars="0" w:firstLine="482" w:firstLineChars="200"/>
        <w:rPr>
          <w:rFonts w:hint="eastAsia" w:ascii="宋体" w:hAnsi="宋体" w:eastAsia="宋体" w:cs="宋体"/>
          <w:b/>
          <w:bCs/>
          <w:caps w:val="0"/>
          <w:color w:val="auto"/>
          <w:sz w:val="24"/>
          <w:szCs w:val="24"/>
          <w:highlight w:val="none"/>
          <w:lang w:val="en-US" w:eastAsia="zh-CN"/>
        </w:rPr>
      </w:pPr>
      <w:r>
        <w:rPr>
          <w:rFonts w:hint="eastAsia" w:ascii="宋体" w:hAnsi="宋体" w:eastAsia="宋体" w:cs="宋体"/>
          <w:b/>
          <w:bCs/>
          <w:caps w:val="0"/>
          <w:color w:val="auto"/>
          <w:sz w:val="24"/>
          <w:szCs w:val="24"/>
          <w:highlight w:val="none"/>
        </w:rPr>
        <w:t>乙方：</w:t>
      </w:r>
      <w:r>
        <w:rPr>
          <w:rFonts w:hint="eastAsia" w:ascii="宋体" w:hAnsi="宋体" w:eastAsia="宋体" w:cs="宋体"/>
          <w:bCs/>
          <w:caps w:val="0"/>
          <w:color w:val="auto"/>
          <w:sz w:val="24"/>
          <w:szCs w:val="24"/>
          <w:highlight w:val="none"/>
          <w:u w:val="single"/>
        </w:rPr>
        <w:t xml:space="preserve">           </w:t>
      </w:r>
      <w:r>
        <w:rPr>
          <w:rFonts w:hint="eastAsia" w:ascii="宋体" w:hAnsi="宋体" w:cs="宋体"/>
          <w:bCs/>
          <w:caps w:val="0"/>
          <w:color w:val="auto"/>
          <w:sz w:val="24"/>
          <w:szCs w:val="24"/>
          <w:highlight w:val="none"/>
          <w:u w:val="single"/>
          <w:lang w:val="en-US" w:eastAsia="zh-CN"/>
        </w:rPr>
        <w:t xml:space="preserve"> </w:t>
      </w:r>
    </w:p>
    <w:p w14:paraId="55E685D9">
      <w:pPr>
        <w:keepNext w:val="0"/>
        <w:keepLines w:val="0"/>
        <w:pageBreakBefore w:val="0"/>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依据《中华人民共和国</w:t>
      </w:r>
      <w:r>
        <w:rPr>
          <w:rFonts w:hint="eastAsia" w:ascii="宋体" w:hAnsi="宋体" w:eastAsia="宋体" w:cs="宋体"/>
          <w:sz w:val="24"/>
          <w:szCs w:val="24"/>
          <w:highlight w:val="none"/>
          <w:lang w:val="en-US" w:eastAsia="zh-CN"/>
        </w:rPr>
        <w:t>民法典</w:t>
      </w:r>
      <w:r>
        <w:rPr>
          <w:rFonts w:hint="eastAsia" w:ascii="宋体" w:hAnsi="宋体" w:eastAsia="宋体" w:cs="宋体"/>
          <w:sz w:val="24"/>
          <w:szCs w:val="24"/>
          <w:highlight w:val="none"/>
        </w:rPr>
        <w:t>》与项目行业有关的法律法规，以及</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sz w:val="24"/>
          <w:szCs w:val="24"/>
          <w:highlight w:val="none"/>
          <w:u w:val="single"/>
        </w:rPr>
        <w:t>项目</w:t>
      </w:r>
      <w:r>
        <w:rPr>
          <w:rFonts w:hint="eastAsia" w:ascii="宋体" w:hAnsi="宋体" w:eastAsia="宋体" w:cs="宋体"/>
          <w:sz w:val="24"/>
          <w:szCs w:val="24"/>
          <w:highlight w:val="none"/>
        </w:rPr>
        <w:t>（项目编号：</w:t>
      </w:r>
      <w:r>
        <w:rPr>
          <w:rFonts w:hint="eastAsia" w:ascii="宋体" w:hAnsi="宋体" w:cs="宋体"/>
          <w:sz w:val="24"/>
          <w:szCs w:val="24"/>
          <w:highlight w:val="none"/>
          <w:lang w:eastAsia="zh-CN"/>
        </w:rPr>
        <w:t>陕西省肿瘤医院强制性清洁生产审核服务项目</w:t>
      </w:r>
      <w:r>
        <w:rPr>
          <w:rFonts w:hint="eastAsia" w:ascii="宋体" w:hAnsi="宋体" w:eastAsia="宋体" w:cs="宋体"/>
          <w:sz w:val="24"/>
          <w:szCs w:val="24"/>
          <w:highlight w:val="none"/>
        </w:rPr>
        <w:t>）的《</w:t>
      </w:r>
      <w:r>
        <w:rPr>
          <w:rFonts w:hint="eastAsia" w:ascii="宋体" w:hAnsi="宋体" w:cs="宋体"/>
          <w:sz w:val="24"/>
          <w:szCs w:val="24"/>
          <w:highlight w:val="none"/>
          <w:lang w:val="en-US" w:eastAsia="zh-CN"/>
        </w:rPr>
        <w:t>竞争性磋商文件</w:t>
      </w:r>
      <w:r>
        <w:rPr>
          <w:rFonts w:hint="eastAsia" w:ascii="宋体" w:hAnsi="宋体" w:eastAsia="宋体" w:cs="宋体"/>
          <w:sz w:val="24"/>
          <w:szCs w:val="24"/>
          <w:highlight w:val="none"/>
        </w:rPr>
        <w:t>》，乙方的《</w:t>
      </w:r>
      <w:r>
        <w:rPr>
          <w:rFonts w:hint="eastAsia" w:ascii="宋体" w:hAnsi="宋体" w:cs="宋体"/>
          <w:sz w:val="24"/>
          <w:szCs w:val="24"/>
          <w:highlight w:val="none"/>
          <w:lang w:val="en-US" w:eastAsia="zh-CN"/>
        </w:rPr>
        <w:t>竞争性磋商响应文件</w:t>
      </w:r>
      <w:r>
        <w:rPr>
          <w:rFonts w:hint="eastAsia" w:ascii="宋体" w:hAnsi="宋体" w:eastAsia="宋体" w:cs="宋体"/>
          <w:sz w:val="24"/>
          <w:szCs w:val="24"/>
          <w:highlight w:val="none"/>
        </w:rPr>
        <w:t>》及《</w:t>
      </w:r>
      <w:r>
        <w:rPr>
          <w:rFonts w:hint="eastAsia" w:ascii="宋体" w:hAnsi="宋体" w:cs="宋体"/>
          <w:sz w:val="24"/>
          <w:szCs w:val="24"/>
          <w:highlight w:val="none"/>
          <w:lang w:val="en-US" w:eastAsia="zh-CN"/>
        </w:rPr>
        <w:t>成交通知书</w:t>
      </w:r>
      <w:r>
        <w:rPr>
          <w:rFonts w:hint="eastAsia" w:ascii="宋体" w:hAnsi="宋体" w:eastAsia="宋体" w:cs="宋体"/>
          <w:sz w:val="24"/>
          <w:szCs w:val="24"/>
          <w:highlight w:val="none"/>
        </w:rPr>
        <w:t>》，甲、乙双方同意签订本合同。详细技术说明及其他有关合同项目的特定信息由合同附件予以说明，合同附件及本项目的《</w:t>
      </w:r>
      <w:r>
        <w:rPr>
          <w:rFonts w:hint="eastAsia" w:ascii="宋体" w:hAnsi="宋体" w:cs="宋体"/>
          <w:sz w:val="24"/>
          <w:szCs w:val="24"/>
          <w:highlight w:val="none"/>
          <w:lang w:val="en-US" w:eastAsia="zh-CN"/>
        </w:rPr>
        <w:t>竞争性磋商文件</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竞争性磋商响应文件</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成交通知书</w:t>
      </w:r>
      <w:r>
        <w:rPr>
          <w:rFonts w:hint="eastAsia" w:ascii="宋体" w:hAnsi="宋体" w:eastAsia="宋体" w:cs="宋体"/>
          <w:sz w:val="24"/>
          <w:szCs w:val="24"/>
          <w:highlight w:val="none"/>
        </w:rPr>
        <w:t xml:space="preserve">》等均为本合同的组成部分。 </w:t>
      </w:r>
    </w:p>
    <w:p w14:paraId="2C7BA48A">
      <w:pPr>
        <w:keepNext w:val="0"/>
        <w:keepLines w:val="0"/>
        <w:pageBreakBefore w:val="0"/>
        <w:numPr>
          <w:ilvl w:val="0"/>
          <w:numId w:val="3"/>
        </w:numPr>
        <w:wordWrap/>
        <w:overflowPunct/>
        <w:topLinePunct w:val="0"/>
        <w:bidi w:val="0"/>
        <w:adjustRightInd w:val="0"/>
        <w:snapToGrid w:val="0"/>
        <w:spacing w:line="360" w:lineRule="auto"/>
        <w:ind w:left="0" w:leftChars="0"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项目基本情况</w:t>
      </w:r>
    </w:p>
    <w:p w14:paraId="7DB89F2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b w:val="0"/>
          <w:bCs/>
          <w:sz w:val="24"/>
          <w:szCs w:val="24"/>
          <w:highlight w:val="none"/>
          <w:u w:val="none"/>
          <w:lang w:val="en-US" w:eastAsia="zh-CN"/>
        </w:rPr>
      </w:pPr>
      <w:r>
        <w:rPr>
          <w:rFonts w:hint="eastAsia" w:ascii="宋体" w:hAnsi="宋体" w:eastAsia="宋体" w:cs="宋体"/>
          <w:b w:val="0"/>
          <w:bCs/>
          <w:sz w:val="24"/>
          <w:szCs w:val="24"/>
          <w:highlight w:val="none"/>
          <w:u w:val="none"/>
          <w:lang w:val="en-US" w:eastAsia="zh-CN"/>
        </w:rPr>
        <w:t>本项目拟选择1家单位为医院提供清洁生产审核及实施服务，服务范围覆盖医院全运营区域，包含诊疗区、办公区、后勤保障区、医疗废物贮存室、污水处理站、配电室等所有功能区域。项目以 “节能、降耗、减污、增效” 为核心，通过开展专业清洁生产审核，识别医院运营过程中资源能源浪费、污染物排放等问题，制定并实施针对性的清洁生产改造施工方案，建立长效清洁生产管理机制，全面提升医院绿色运营、低碳发展水平，符合三级甲等综合医院的环保与运营管理要求。</w:t>
      </w:r>
    </w:p>
    <w:p w14:paraId="32D04A1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b w:val="0"/>
          <w:bCs/>
          <w:sz w:val="24"/>
          <w:szCs w:val="24"/>
          <w:highlight w:val="none"/>
          <w:u w:val="single"/>
        </w:rPr>
      </w:pPr>
      <w:r>
        <w:rPr>
          <w:rFonts w:hint="eastAsia" w:ascii="宋体" w:hAnsi="宋体" w:eastAsia="宋体" w:cs="宋体"/>
          <w:b w:val="0"/>
          <w:bCs/>
          <w:sz w:val="24"/>
          <w:szCs w:val="24"/>
          <w:highlight w:val="none"/>
          <w:u w:val="none"/>
          <w:lang w:val="en-US" w:eastAsia="zh-CN"/>
        </w:rPr>
        <w:t>服务内容包含清洁生产审核服务和配合清洁生产实施两大核心部分，审核服务为实施提供科学依据，实施落地审核提出的优化方案，同时配套培训服务和长效管理机制建设，确保清洁生产工作持续推进。所有工作须符合《清洁生产审核办法》《医院清洁生产评价指标体系》《医疗卫生机构节能规范》《污水综合排放标准》等国家、行业及地方相关标准规范要求。</w:t>
      </w:r>
    </w:p>
    <w:p w14:paraId="26AB7B6B">
      <w:pPr>
        <w:keepNext w:val="0"/>
        <w:keepLines w:val="0"/>
        <w:pageBreakBefore w:val="0"/>
        <w:numPr>
          <w:ilvl w:val="0"/>
          <w:numId w:val="3"/>
        </w:numPr>
        <w:wordWrap/>
        <w:overflowPunct/>
        <w:topLinePunct w:val="0"/>
        <w:bidi w:val="0"/>
        <w:adjustRightInd w:val="0"/>
        <w:snapToGrid w:val="0"/>
        <w:spacing w:line="360" w:lineRule="auto"/>
        <w:ind w:left="0" w:leftChars="0"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合同期限</w:t>
      </w:r>
    </w:p>
    <w:p w14:paraId="4BF16E38">
      <w:pPr>
        <w:keepNext w:val="0"/>
        <w:keepLines w:val="0"/>
        <w:pageBreakBefore w:val="0"/>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u w:val="single"/>
        </w:rPr>
      </w:pPr>
      <w:bookmarkStart w:id="403" w:name="_Toc238984975"/>
      <w:bookmarkStart w:id="404" w:name="_Toc225244852"/>
      <w:bookmarkStart w:id="405" w:name="_Toc185395249"/>
      <w:bookmarkStart w:id="406" w:name="_Toc211911348"/>
      <w:bookmarkStart w:id="407" w:name="_Toc286993786"/>
      <w:bookmarkStart w:id="408" w:name="_Toc239233914"/>
      <w:bookmarkStart w:id="409" w:name="_Toc225670751"/>
      <w:bookmarkStart w:id="410" w:name="_Toc251768862"/>
      <w:bookmarkStart w:id="411" w:name="_Toc282696226"/>
      <w:bookmarkStart w:id="412" w:name="_Toc239568418"/>
      <w:bookmarkStart w:id="413" w:name="_Toc212019594"/>
      <w:bookmarkStart w:id="414" w:name="_Toc225654644"/>
      <w:bookmarkStart w:id="415" w:name="_Toc211854449"/>
      <w:bookmarkStart w:id="416" w:name="_Toc237145406"/>
      <w:bookmarkStart w:id="417" w:name="_Toc232492928"/>
      <w:bookmarkStart w:id="418" w:name="_Toc283019214"/>
      <w:bookmarkStart w:id="419" w:name="_Toc241833903"/>
      <w:bookmarkStart w:id="420" w:name="_Toc247334841"/>
      <w:r>
        <w:rPr>
          <w:rFonts w:hint="eastAsia" w:cs="宋体"/>
          <w:sz w:val="24"/>
          <w:szCs w:val="24"/>
          <w:highlight w:val="none"/>
          <w:lang w:eastAsia="zh-CN"/>
        </w:rPr>
        <w:t>自合同签订之日起至项目验收合格之</w:t>
      </w:r>
      <w:r>
        <w:rPr>
          <w:rFonts w:hint="eastAsia" w:asciiTheme="minorEastAsia" w:hAnsiTheme="minorEastAsia" w:eastAsiaTheme="minorEastAsia" w:cstheme="minorEastAsia"/>
          <w:sz w:val="24"/>
          <w:szCs w:val="24"/>
          <w:highlight w:val="none"/>
          <w:lang w:eastAsia="zh-CN"/>
        </w:rPr>
        <w:t>日止</w:t>
      </w:r>
      <w:r>
        <w:rPr>
          <w:rFonts w:hint="eastAsia" w:asciiTheme="minorEastAsia" w:hAnsiTheme="minorEastAsia" w:eastAsiaTheme="minorEastAsia" w:cstheme="minorEastAsia"/>
          <w:sz w:val="24"/>
          <w:szCs w:val="24"/>
          <w:highlight w:val="none"/>
          <w:lang w:val="en-US" w:eastAsia="zh-CN"/>
        </w:rPr>
        <w:t>。其中，合同签订之日起3个月内完成经专家评审审核通过的高中低价整改方案；整改完成后3个月内完成专家验收并出具验收报告并取得政府验收批复。</w:t>
      </w:r>
    </w:p>
    <w:p w14:paraId="1E0D5422">
      <w:pPr>
        <w:keepNext w:val="0"/>
        <w:keepLines w:val="0"/>
        <w:pageBreakBefore w:val="0"/>
        <w:numPr>
          <w:ilvl w:val="0"/>
          <w:numId w:val="3"/>
        </w:numPr>
        <w:wordWrap/>
        <w:overflowPunct/>
        <w:topLinePunct w:val="0"/>
        <w:bidi w:val="0"/>
        <w:adjustRightInd w:val="0"/>
        <w:snapToGrid w:val="0"/>
        <w:spacing w:line="360" w:lineRule="auto"/>
        <w:ind w:left="0" w:leftChars="0"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服务内容与质量标准</w:t>
      </w:r>
    </w:p>
    <w:p w14:paraId="350BFA8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2" w:firstLineChars="200"/>
        <w:textAlignment w:val="baseline"/>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eastAsia="zh-CN"/>
        </w:rPr>
        <w:t>（</w:t>
      </w:r>
      <w:r>
        <w:rPr>
          <w:rFonts w:hint="eastAsia" w:asciiTheme="minorEastAsia" w:hAnsiTheme="minorEastAsia" w:eastAsiaTheme="minorEastAsia" w:cstheme="minorEastAsia"/>
          <w:b/>
          <w:bCs/>
          <w:sz w:val="24"/>
          <w:szCs w:val="24"/>
          <w:highlight w:val="none"/>
          <w:lang w:val="en-US" w:eastAsia="zh-CN"/>
        </w:rPr>
        <w:t>一</w:t>
      </w:r>
      <w:r>
        <w:rPr>
          <w:rFonts w:hint="eastAsia" w:asciiTheme="minorEastAsia" w:hAnsiTheme="minorEastAsia" w:eastAsiaTheme="minorEastAsia" w:cstheme="minorEastAsia"/>
          <w:b/>
          <w:bCs/>
          <w:sz w:val="24"/>
          <w:szCs w:val="24"/>
          <w:highlight w:val="none"/>
          <w:lang w:eastAsia="zh-CN"/>
        </w:rPr>
        <w:t>）</w:t>
      </w:r>
      <w:r>
        <w:rPr>
          <w:rFonts w:hint="eastAsia" w:asciiTheme="minorEastAsia" w:hAnsiTheme="minorEastAsia" w:eastAsiaTheme="minorEastAsia" w:cstheme="minorEastAsia"/>
          <w:b/>
          <w:bCs/>
          <w:sz w:val="24"/>
          <w:szCs w:val="24"/>
          <w:highlight w:val="none"/>
          <w:lang w:val="en-US" w:eastAsia="zh-CN"/>
        </w:rPr>
        <w:t>服务内容</w:t>
      </w:r>
    </w:p>
    <w:p w14:paraId="65F20E3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审核服务需围绕医疗卫生行业特点，结合医院运营实际，开展全流程、系统性清洁生产审核，形成科学、可行、针对性强的审核报告，为实施</w:t>
      </w:r>
      <w:r>
        <w:rPr>
          <w:rFonts w:hint="eastAsia" w:asciiTheme="minorEastAsia" w:hAnsiTheme="minorEastAsia" w:eastAsiaTheme="minorEastAsia" w:cstheme="minorEastAsia"/>
          <w:sz w:val="24"/>
          <w:szCs w:val="24"/>
          <w:highlight w:val="none"/>
          <w:lang w:val="en-US" w:eastAsia="zh-CN"/>
        </w:rPr>
        <w:t>服务</w:t>
      </w:r>
      <w:r>
        <w:rPr>
          <w:rFonts w:hint="eastAsia" w:asciiTheme="minorEastAsia" w:hAnsiTheme="minorEastAsia" w:eastAsiaTheme="minorEastAsia" w:cstheme="minorEastAsia"/>
          <w:sz w:val="24"/>
          <w:szCs w:val="24"/>
          <w:highlight w:val="none"/>
        </w:rPr>
        <w:t>提供明确指导，具体流程及技术要求如下：</w:t>
      </w:r>
    </w:p>
    <w:p w14:paraId="1923891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筹划与组织：成立专项审核小组，制定详细审核工作计划，明确各阶段工作内容、时间节点、责任人员；开展医院全员清洁生产宣传培训，覆盖管理层、医护人员、后勤施工人员，提升清洁生产意识。</w:t>
      </w:r>
    </w:p>
    <w:p w14:paraId="4B2C240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预评估：全面调研医院运营现状，收集资源能源消耗（水、电、气、油等）、污染物排放（污水、医疗废物、生活垃圾、废气等）、设备设施运行、管理体系等基础数据；识别医院清洁生产潜力及重点问题，确定审核重点（如污水处理站、配电室、中央空调系统、医疗废物贮存室等），制定初步清洁生产目标（节能、降耗、减污指标需量化，如单位诊疗面积能耗降低≥15%、水资源重复利用率提升≥20%等）。</w:t>
      </w:r>
    </w:p>
    <w:p w14:paraId="093FF1E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评估：对审核重点进行详细的物料衡算、能量衡算，分析资源能源消耗和污染物产生的根本原因；绘制物料流、能流图，识别各环节浪费点和污染点；结合医疗卫生行业清洁生产评价指标，对医院清洁生产水平进行评级，明确改进方向。</w:t>
      </w:r>
    </w:p>
    <w:p w14:paraId="0CC029C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rPr>
        <w:t>方案产生与筛选：通过全员征集、专家论证等方式，广泛产生清洁生产方案，分为无/低费方案和中/高费方案；从技术可行性、经济合理性、环境效益、操作便捷性、与医院运营的适配性等方面进行筛选，形成可行方案清单，无/低费方案立即组织实施，中/高费方案作为施工实施核心内容。</w:t>
      </w:r>
    </w:p>
    <w:p w14:paraId="082CF4F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rPr>
        <w:t>可行性分析：对中/高费施工方案进行详细论证，包括技术参数、</w:t>
      </w:r>
      <w:r>
        <w:rPr>
          <w:rFonts w:hint="eastAsia" w:asciiTheme="minorEastAsia" w:hAnsiTheme="minorEastAsia" w:eastAsiaTheme="minorEastAsia" w:cstheme="minorEastAsia"/>
          <w:sz w:val="24"/>
          <w:szCs w:val="24"/>
          <w:highlight w:val="none"/>
          <w:lang w:val="en-US" w:eastAsia="zh-CN"/>
        </w:rPr>
        <w:t>实施</w:t>
      </w:r>
      <w:r>
        <w:rPr>
          <w:rFonts w:hint="eastAsia" w:asciiTheme="minorEastAsia" w:hAnsiTheme="minorEastAsia" w:eastAsiaTheme="minorEastAsia" w:cstheme="minorEastAsia"/>
          <w:sz w:val="24"/>
          <w:szCs w:val="24"/>
          <w:highlight w:val="none"/>
        </w:rPr>
        <w:t>工艺、投资估算、成本效益分析、环境效益预测、实施周期等，编制可行性分析报告，明确方案实施的具体要求。</w:t>
      </w:r>
    </w:p>
    <w:p w14:paraId="7200D2B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审核报告编制：提交完整的《</w:t>
      </w:r>
      <w:r>
        <w:rPr>
          <w:rFonts w:hint="eastAsia" w:asciiTheme="minorEastAsia" w:hAnsiTheme="minorEastAsia" w:eastAsiaTheme="minorEastAsia" w:cstheme="minorEastAsia"/>
          <w:sz w:val="24"/>
          <w:szCs w:val="24"/>
          <w:highlight w:val="none"/>
          <w:lang w:val="en-US" w:eastAsia="zh-CN"/>
        </w:rPr>
        <w:t>陕西省肿瘤医院</w:t>
      </w:r>
      <w:r>
        <w:rPr>
          <w:rFonts w:hint="eastAsia" w:asciiTheme="minorEastAsia" w:hAnsiTheme="minorEastAsia" w:eastAsiaTheme="minorEastAsia" w:cstheme="minorEastAsia"/>
          <w:sz w:val="24"/>
          <w:szCs w:val="24"/>
          <w:highlight w:val="none"/>
        </w:rPr>
        <w:t>清洁生产审核报告》，内容包含项目概况、审核过程、基础数据、分析结论、清洁生产方案清单、实施计划、效益预测、持续清洁生产建议等，报告需通过行业专家评审及相关主管部门备案。</w:t>
      </w:r>
    </w:p>
    <w:p w14:paraId="5DCF2FB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审核跟踪：全程跟踪清洁生产方案实施过程，及时调整优化方案，确保审核成果与实施无缝衔接。</w:t>
      </w:r>
    </w:p>
    <w:p w14:paraId="0FCCA79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2" w:firstLineChars="200"/>
        <w:textAlignment w:val="baseline"/>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（二）</w:t>
      </w:r>
      <w:r>
        <w:rPr>
          <w:rFonts w:hint="eastAsia" w:asciiTheme="minorEastAsia" w:hAnsiTheme="minorEastAsia" w:eastAsiaTheme="minorEastAsia" w:cstheme="minorEastAsia"/>
          <w:b/>
          <w:bCs/>
          <w:sz w:val="24"/>
          <w:szCs w:val="24"/>
          <w:highlight w:val="none"/>
        </w:rPr>
        <w:t>服务要求</w:t>
      </w:r>
    </w:p>
    <w:p w14:paraId="717BBC9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本项目配备的项目管理、审核人员须为本单位正式员工，提供投标截止前 6 个月内本单位为其缴纳的社保缴存证明，且无不良从业记录</w:t>
      </w:r>
      <w:r>
        <w:rPr>
          <w:rFonts w:hint="eastAsia" w:asciiTheme="minorEastAsia" w:hAnsiTheme="minorEastAsia" w:eastAsiaTheme="minorEastAsia" w:cstheme="minorEastAsia"/>
          <w:sz w:val="24"/>
          <w:szCs w:val="24"/>
          <w:highlight w:val="none"/>
          <w:lang w:eastAsia="zh-CN"/>
        </w:rPr>
        <w:t>；</w:t>
      </w:r>
    </w:p>
    <w:p w14:paraId="1442DD8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2.供应商拟派至少1名</w:t>
      </w:r>
      <w:r>
        <w:rPr>
          <w:rFonts w:hint="eastAsia" w:asciiTheme="minorEastAsia" w:hAnsiTheme="minorEastAsia" w:eastAsiaTheme="minorEastAsia" w:cstheme="minorEastAsia"/>
          <w:sz w:val="24"/>
          <w:szCs w:val="24"/>
          <w:highlight w:val="none"/>
        </w:rPr>
        <w:t>项目负责人</w:t>
      </w:r>
      <w:r>
        <w:rPr>
          <w:rFonts w:hint="eastAsia" w:asciiTheme="minorEastAsia" w:hAnsiTheme="minorEastAsia" w:eastAsiaTheme="minorEastAsia" w:cstheme="minorEastAsia"/>
          <w:sz w:val="24"/>
          <w:szCs w:val="24"/>
          <w:highlight w:val="none"/>
          <w:lang w:eastAsia="zh-CN"/>
        </w:rPr>
        <w:t>，具备环保相关专业高级技术职称证书</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至少主导过1家以上医疗机构清洁生产审核案例（提供相关证明材料）；</w:t>
      </w:r>
    </w:p>
    <w:p w14:paraId="51962C2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3.供应商拟派至少2名</w:t>
      </w:r>
      <w:r>
        <w:rPr>
          <w:rFonts w:hint="eastAsia" w:asciiTheme="minorEastAsia" w:hAnsiTheme="minorEastAsia" w:eastAsiaTheme="minorEastAsia" w:cstheme="minorEastAsia"/>
          <w:sz w:val="24"/>
          <w:szCs w:val="24"/>
          <w:highlight w:val="none"/>
        </w:rPr>
        <w:t>环保</w:t>
      </w:r>
      <w:r>
        <w:rPr>
          <w:rFonts w:hint="eastAsia" w:asciiTheme="minorEastAsia" w:hAnsiTheme="minorEastAsia" w:eastAsiaTheme="minorEastAsia" w:cstheme="minorEastAsia"/>
          <w:sz w:val="24"/>
          <w:szCs w:val="24"/>
          <w:highlight w:val="none"/>
          <w:lang w:val="en-US" w:eastAsia="zh-CN"/>
        </w:rPr>
        <w:t>或</w:t>
      </w:r>
      <w:r>
        <w:rPr>
          <w:rFonts w:hint="eastAsia" w:asciiTheme="minorEastAsia" w:hAnsiTheme="minorEastAsia" w:eastAsiaTheme="minorEastAsia" w:cstheme="minorEastAsia"/>
          <w:sz w:val="24"/>
          <w:szCs w:val="24"/>
          <w:highlight w:val="none"/>
        </w:rPr>
        <w:t>化工</w:t>
      </w:r>
      <w:r>
        <w:rPr>
          <w:rFonts w:hint="eastAsia" w:asciiTheme="minorEastAsia" w:hAnsiTheme="minorEastAsia" w:eastAsiaTheme="minorEastAsia" w:cstheme="minorEastAsia"/>
          <w:sz w:val="24"/>
          <w:szCs w:val="24"/>
          <w:highlight w:val="none"/>
          <w:lang w:val="en-US" w:eastAsia="zh-CN"/>
        </w:rPr>
        <w:t>或</w:t>
      </w:r>
      <w:r>
        <w:rPr>
          <w:rFonts w:hint="eastAsia" w:asciiTheme="minorEastAsia" w:hAnsiTheme="minorEastAsia" w:eastAsiaTheme="minorEastAsia" w:cstheme="minorEastAsia"/>
          <w:sz w:val="24"/>
          <w:szCs w:val="24"/>
          <w:highlight w:val="none"/>
        </w:rPr>
        <w:t>节能等相关专业</w:t>
      </w:r>
      <w:r>
        <w:rPr>
          <w:rFonts w:hint="eastAsia" w:asciiTheme="minorEastAsia" w:hAnsiTheme="minorEastAsia" w:eastAsiaTheme="minorEastAsia" w:cstheme="minorEastAsia"/>
          <w:sz w:val="24"/>
          <w:szCs w:val="24"/>
          <w:highlight w:val="none"/>
          <w:lang w:val="en-US" w:eastAsia="zh-CN"/>
        </w:rPr>
        <w:t>的</w:t>
      </w:r>
      <w:r>
        <w:rPr>
          <w:rFonts w:hint="eastAsia" w:asciiTheme="minorEastAsia" w:hAnsiTheme="minorEastAsia" w:eastAsiaTheme="minorEastAsia" w:cstheme="minorEastAsia"/>
          <w:sz w:val="24"/>
          <w:szCs w:val="24"/>
          <w:highlight w:val="none"/>
        </w:rPr>
        <w:t>审核成员，均</w:t>
      </w:r>
      <w:r>
        <w:rPr>
          <w:rFonts w:hint="eastAsia" w:asciiTheme="minorEastAsia" w:hAnsiTheme="minorEastAsia" w:eastAsiaTheme="minorEastAsia" w:cstheme="minorEastAsia"/>
          <w:sz w:val="24"/>
          <w:szCs w:val="24"/>
          <w:highlight w:val="none"/>
          <w:lang w:val="en-US" w:eastAsia="zh-CN"/>
        </w:rPr>
        <w:t>具备清洁生产审核师培训合格证书（或结业证书）</w:t>
      </w:r>
      <w:r>
        <w:rPr>
          <w:rFonts w:hint="eastAsia" w:asciiTheme="minorEastAsia" w:hAnsiTheme="minorEastAsia" w:eastAsiaTheme="minorEastAsia" w:cstheme="minorEastAsia"/>
          <w:sz w:val="24"/>
          <w:szCs w:val="24"/>
          <w:highlight w:val="none"/>
        </w:rPr>
        <w:t>，具备医疗卫生行业审核经验</w:t>
      </w:r>
      <w:r>
        <w:rPr>
          <w:rFonts w:hint="eastAsia" w:asciiTheme="minorEastAsia" w:hAnsiTheme="minorEastAsia" w:eastAsiaTheme="minorEastAsia" w:cstheme="minorEastAsia"/>
          <w:sz w:val="24"/>
          <w:szCs w:val="24"/>
          <w:highlight w:val="none"/>
          <w:lang w:eastAsia="zh-CN"/>
        </w:rPr>
        <w:t>；</w:t>
      </w:r>
    </w:p>
    <w:p w14:paraId="65FEE88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rPr>
        <w:t>清洁生产培训服务</w:t>
      </w:r>
      <w:r>
        <w:rPr>
          <w:rFonts w:hint="eastAsia" w:asciiTheme="minorEastAsia" w:hAnsiTheme="minorEastAsia" w:eastAsiaTheme="minorEastAsia" w:cstheme="minorEastAsia"/>
          <w:sz w:val="24"/>
          <w:szCs w:val="24"/>
          <w:highlight w:val="none"/>
          <w:lang w:val="en-US" w:eastAsia="zh-CN"/>
        </w:rPr>
        <w:t>要求</w:t>
      </w:r>
      <w:r>
        <w:rPr>
          <w:rFonts w:hint="eastAsia" w:asciiTheme="minorEastAsia" w:hAnsiTheme="minorEastAsia" w:eastAsiaTheme="minorEastAsia" w:cstheme="minorEastAsia"/>
          <w:sz w:val="24"/>
          <w:szCs w:val="24"/>
          <w:highlight w:val="none"/>
        </w:rPr>
        <w:t>：分阶段开展培训，审核阶段开展基础认知培训，施工阶段开展操作技能培训，验收阶段开展长效管理培训；培训对象覆盖医院管理层、医护人员、后勤人员、施工人员；培训方式采用 “线上+ 线下”“理论 + 实操”结合，包括专家授课、案例分析、现场指导、考核测试等，考核合格率≥90%，确保相关人员掌握清洁生产基本知识、操作技能和管理要求。</w:t>
      </w:r>
    </w:p>
    <w:p w14:paraId="18E5DED6">
      <w:pPr>
        <w:keepNext w:val="0"/>
        <w:keepLines w:val="0"/>
        <w:pageBreakBefore w:val="0"/>
        <w:numPr>
          <w:ilvl w:val="0"/>
          <w:numId w:val="0"/>
        </w:numPr>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u w:val="single"/>
        </w:rPr>
      </w:pP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rPr>
        <w:t>持续改进服务</w:t>
      </w:r>
      <w:r>
        <w:rPr>
          <w:rFonts w:hint="eastAsia" w:asciiTheme="minorEastAsia" w:hAnsiTheme="minorEastAsia" w:eastAsiaTheme="minorEastAsia" w:cstheme="minorEastAsia"/>
          <w:sz w:val="24"/>
          <w:szCs w:val="24"/>
          <w:highlight w:val="none"/>
          <w:lang w:val="en-US" w:eastAsia="zh-CN"/>
        </w:rPr>
        <w:t>要求</w:t>
      </w:r>
      <w:r>
        <w:rPr>
          <w:rFonts w:hint="eastAsia" w:asciiTheme="minorEastAsia" w:hAnsiTheme="minorEastAsia" w:eastAsiaTheme="minorEastAsia" w:cstheme="minorEastAsia"/>
          <w:sz w:val="24"/>
          <w:szCs w:val="24"/>
          <w:highlight w:val="none"/>
        </w:rPr>
        <w:t>：项目验收后，提供</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年的清洁生产持续改进技术支持；每季度对医院清洁生产工作进行跟踪检查，分析资源能源消耗、污染物排放数据，评估清洁生产目标完成情况；识别新的清洁生产潜力，提出优化建议；协助医院开展清洁生产绩效评价，及时调整完善管理制度和操作规程，确保清洁生产工作常态化、持续化推进，实现 “节能、降耗、减污、增效” 的长期目标。</w:t>
      </w:r>
    </w:p>
    <w:p w14:paraId="2E9236C8">
      <w:pPr>
        <w:keepNext w:val="0"/>
        <w:keepLines w:val="0"/>
        <w:pageBreakBefore w:val="0"/>
        <w:numPr>
          <w:ilvl w:val="0"/>
          <w:numId w:val="3"/>
        </w:numPr>
        <w:wordWrap/>
        <w:overflowPunct/>
        <w:topLinePunct w:val="0"/>
        <w:bidi w:val="0"/>
        <w:adjustRightInd w:val="0"/>
        <w:snapToGrid w:val="0"/>
        <w:spacing w:line="360" w:lineRule="auto"/>
        <w:ind w:left="0" w:leftChars="0"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服务费用及支付方式</w:t>
      </w:r>
    </w:p>
    <w:p w14:paraId="33704DBE">
      <w:pPr>
        <w:pStyle w:val="71"/>
        <w:keepNext w:val="0"/>
        <w:keepLines w:val="0"/>
        <w:pageBreakBefore w:val="0"/>
        <w:wordWrap/>
        <w:overflowPunct/>
        <w:topLinePunct w:val="0"/>
        <w:bidi w:val="0"/>
        <w:adjustRightInd w:val="0"/>
        <w:snapToGrid w:val="0"/>
        <w:spacing w:line="360" w:lineRule="auto"/>
        <w:ind w:left="0" w:leftChars="0" w:firstLine="482" w:firstLineChars="200"/>
        <w:rPr>
          <w:rFonts w:hint="eastAsia" w:ascii="宋体" w:hAnsi="宋体" w:eastAsia="宋体" w:cs="宋体"/>
          <w:sz w:val="24"/>
          <w:szCs w:val="24"/>
          <w:highlight w:val="none"/>
          <w:lang w:val="en-US" w:eastAsia="zh-CN"/>
        </w:rPr>
      </w:pPr>
      <w:r>
        <w:rPr>
          <w:rFonts w:hint="eastAsia" w:ascii="宋体" w:hAnsi="宋体" w:cs="宋体"/>
          <w:b/>
          <w:sz w:val="24"/>
          <w:szCs w:val="24"/>
          <w:highlight w:val="none"/>
          <w:lang w:eastAsia="zh-CN"/>
        </w:rPr>
        <w:t>（</w:t>
      </w:r>
      <w:r>
        <w:rPr>
          <w:rFonts w:hint="eastAsia" w:ascii="宋体" w:hAnsi="宋体" w:cs="宋体"/>
          <w:b/>
          <w:sz w:val="24"/>
          <w:szCs w:val="24"/>
          <w:highlight w:val="none"/>
          <w:lang w:val="en-US" w:eastAsia="zh-CN"/>
        </w:rPr>
        <w:t>一</w:t>
      </w:r>
      <w:r>
        <w:rPr>
          <w:rFonts w:hint="eastAsia" w:ascii="宋体" w:hAnsi="宋体" w:cs="宋体"/>
          <w:b/>
          <w:sz w:val="24"/>
          <w:szCs w:val="24"/>
          <w:highlight w:val="none"/>
          <w:lang w:eastAsia="zh-CN"/>
        </w:rPr>
        <w:t>）</w:t>
      </w:r>
      <w:r>
        <w:rPr>
          <w:rFonts w:hint="eastAsia" w:ascii="宋体" w:hAnsi="宋体" w:eastAsia="宋体" w:cs="宋体"/>
          <w:b/>
          <w:sz w:val="24"/>
          <w:szCs w:val="24"/>
          <w:highlight w:val="none"/>
        </w:rPr>
        <w:t>本项目服务费用由以下组成：</w:t>
      </w:r>
      <w:r>
        <w:rPr>
          <w:rFonts w:hint="eastAsia" w:ascii="宋体" w:hAnsi="宋体" w:eastAsia="宋体" w:cs="宋体"/>
          <w:b w:val="0"/>
          <w:bCs/>
          <w:sz w:val="24"/>
          <w:szCs w:val="24"/>
          <w:highlight w:val="none"/>
        </w:rPr>
        <w:t>本项目签订固定总价合同，合同总价应是乙方完成本次服务范围内所需服务的相应全部费用，包括：审核报告编制费、评审费、评估费、人工费、检测、检测费、培训费、税金、利润等与之相关的一且直接费、间接费，采购人不再支付其他费用。</w:t>
      </w:r>
      <w:r>
        <w:rPr>
          <w:rFonts w:hint="eastAsia" w:ascii="宋体" w:hAnsi="宋体" w:eastAsia="宋体" w:cs="宋体"/>
          <w:b w:val="0"/>
          <w:bCs/>
          <w:sz w:val="24"/>
          <w:szCs w:val="24"/>
          <w:highlight w:val="none"/>
          <w:lang w:val="en-US" w:eastAsia="zh-CN"/>
        </w:rPr>
        <w:t xml:space="preserve"> </w:t>
      </w:r>
    </w:p>
    <w:p w14:paraId="7D8A7B3F">
      <w:pPr>
        <w:keepNext w:val="0"/>
        <w:keepLines w:val="0"/>
        <w:pageBreakBefore w:val="0"/>
        <w:numPr>
          <w:ilvl w:val="0"/>
          <w:numId w:val="0"/>
        </w:numPr>
        <w:tabs>
          <w:tab w:val="left" w:pos="780"/>
        </w:tabs>
        <w:wordWrap/>
        <w:overflowPunct/>
        <w:topLinePunct w:val="0"/>
        <w:bidi w:val="0"/>
        <w:adjustRightInd w:val="0"/>
        <w:snapToGrid w:val="0"/>
        <w:spacing w:line="360" w:lineRule="auto"/>
        <w:ind w:left="0" w:leftChars="0" w:firstLine="482" w:firstLineChars="200"/>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（二）服务费支</w:t>
      </w:r>
      <w:r>
        <w:rPr>
          <w:rFonts w:hint="eastAsia" w:ascii="宋体" w:hAnsi="宋体" w:eastAsia="宋体" w:cs="宋体"/>
          <w:b/>
          <w:sz w:val="24"/>
          <w:szCs w:val="24"/>
          <w:highlight w:val="none"/>
        </w:rPr>
        <w:t>付方式：</w:t>
      </w:r>
      <w:r>
        <w:rPr>
          <w:rFonts w:hint="eastAsia" w:ascii="宋体" w:hAnsi="宋体" w:eastAsia="宋体" w:cs="宋体"/>
          <w:b w:val="0"/>
          <w:bCs/>
          <w:sz w:val="24"/>
          <w:szCs w:val="24"/>
          <w:highlight w:val="none"/>
        </w:rPr>
        <w:t>合同签订后10个工作日内，甲方向乙方支付合同金额的支付合同总金额30%；乙方高中低价整改方案通过专家评估后20个日历日内，甲方向乙方支付合同金额的支付合同总金额30%；整改完成后乙方通过专家验收出具验收报告并取得政府验收批复后30个日历日内支付剩余合同的40%。</w:t>
      </w:r>
    </w:p>
    <w:p w14:paraId="2B12A1E2">
      <w:pPr>
        <w:pStyle w:val="71"/>
        <w:keepNext w:val="0"/>
        <w:keepLines w:val="0"/>
        <w:pageBreakBefore w:val="0"/>
        <w:wordWrap/>
        <w:overflowPunct/>
        <w:topLinePunct w:val="0"/>
        <w:bidi w:val="0"/>
        <w:adjustRightInd w:val="0"/>
        <w:snapToGrid w:val="0"/>
        <w:spacing w:line="360" w:lineRule="auto"/>
        <w:ind w:left="0" w:leftChars="0" w:firstLine="480" w:firstLineChars="200"/>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 xml:space="preserve">服务费支付方式：银行转账。 </w:t>
      </w:r>
    </w:p>
    <w:p w14:paraId="6C52A77A">
      <w:pPr>
        <w:keepNext w:val="0"/>
        <w:keepLines w:val="0"/>
        <w:pageBreakBefore w:val="0"/>
        <w:numPr>
          <w:ilvl w:val="0"/>
          <w:numId w:val="3"/>
        </w:numPr>
        <w:wordWrap/>
        <w:overflowPunct/>
        <w:topLinePunct w:val="0"/>
        <w:bidi w:val="0"/>
        <w:adjustRightInd w:val="0"/>
        <w:snapToGrid w:val="0"/>
        <w:spacing w:line="360" w:lineRule="auto"/>
        <w:ind w:left="0" w:leftChars="0"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知识产权</w:t>
      </w:r>
    </w:p>
    <w:p w14:paraId="7ECBFA77">
      <w:pPr>
        <w:keepNext w:val="0"/>
        <w:keepLines w:val="0"/>
        <w:pageBreakBefore w:val="0"/>
        <w:tabs>
          <w:tab w:val="left" w:pos="1440"/>
        </w:tabs>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乙方应保证所提供的服务或其任何一部分均不会侵犯任何第三方的专利权、商标权或著作权。</w:t>
      </w:r>
    </w:p>
    <w:p w14:paraId="08A16821">
      <w:pPr>
        <w:keepNext w:val="0"/>
        <w:keepLines w:val="0"/>
        <w:pageBreakBefore w:val="0"/>
        <w:numPr>
          <w:ilvl w:val="0"/>
          <w:numId w:val="3"/>
        </w:numPr>
        <w:wordWrap/>
        <w:overflowPunct/>
        <w:topLinePunct w:val="0"/>
        <w:bidi w:val="0"/>
        <w:adjustRightInd w:val="0"/>
        <w:snapToGrid w:val="0"/>
        <w:spacing w:line="360" w:lineRule="auto"/>
        <w:ind w:left="0" w:leftChars="0"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无产权瑕疵条款</w:t>
      </w:r>
    </w:p>
    <w:p w14:paraId="05B29AAF">
      <w:pPr>
        <w:keepNext w:val="0"/>
        <w:keepLines w:val="0"/>
        <w:pageBreakBefore w:val="0"/>
        <w:tabs>
          <w:tab w:val="left" w:pos="1440"/>
        </w:tabs>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乙方保证所提供的服务的所有权完全属于乙方且无任何抵押、查封等产权瑕疵。如有产权瑕疵的，视为乙方违约。乙方应负担由此而产生的一切损失。</w:t>
      </w:r>
    </w:p>
    <w:p w14:paraId="25E08268">
      <w:pPr>
        <w:keepNext w:val="0"/>
        <w:keepLines w:val="0"/>
        <w:pageBreakBefore w:val="0"/>
        <w:numPr>
          <w:ilvl w:val="0"/>
          <w:numId w:val="3"/>
        </w:numPr>
        <w:wordWrap/>
        <w:overflowPunct/>
        <w:topLinePunct w:val="0"/>
        <w:bidi w:val="0"/>
        <w:adjustRightInd w:val="0"/>
        <w:snapToGrid w:val="0"/>
        <w:spacing w:line="360" w:lineRule="auto"/>
        <w:ind w:left="0" w:leftChars="0"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履约保证金</w:t>
      </w:r>
    </w:p>
    <w:p w14:paraId="263CD273">
      <w:pPr>
        <w:keepNext w:val="0"/>
        <w:keepLines w:val="0"/>
        <w:pageBreakBefore w:val="0"/>
        <w:wordWrap/>
        <w:overflowPunct/>
        <w:topLinePunct w:val="0"/>
        <w:bidi w:val="0"/>
        <w:adjustRightInd w:val="0"/>
        <w:snapToGrid w:val="0"/>
        <w:spacing w:line="360" w:lineRule="auto"/>
        <w:ind w:left="0" w:leftChars="0" w:firstLine="480" w:firstLineChars="200"/>
        <w:jc w:val="left"/>
        <w:textAlignment w:val="baseline"/>
        <w:rPr>
          <w:rFonts w:hint="eastAsia" w:ascii="宋体" w:hAnsi="宋体" w:eastAsia="宋体" w:cs="宋体"/>
          <w:bCs/>
          <w:sz w:val="24"/>
          <w:szCs w:val="24"/>
          <w:highlight w:val="none"/>
        </w:rPr>
      </w:pPr>
      <w:r>
        <w:rPr>
          <w:rFonts w:hint="eastAsia" w:ascii="宋体" w:hAnsi="宋体" w:eastAsia="宋体" w:cs="宋体"/>
          <w:bCs/>
          <w:sz w:val="24"/>
          <w:szCs w:val="24"/>
          <w:highlight w:val="none"/>
        </w:rPr>
        <w:t>1</w:t>
      </w: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rPr>
        <w:t>乙方交纳人民币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bCs/>
          <w:sz w:val="24"/>
          <w:szCs w:val="24"/>
          <w:highlight w:val="none"/>
          <w:u w:val="none"/>
        </w:rPr>
        <w:t>元</w:t>
      </w:r>
      <w:r>
        <w:rPr>
          <w:rFonts w:hint="eastAsia" w:ascii="宋体" w:hAnsi="宋体" w:eastAsia="宋体" w:cs="宋体"/>
          <w:bCs/>
          <w:sz w:val="24"/>
          <w:szCs w:val="24"/>
          <w:highlight w:val="none"/>
        </w:rPr>
        <w:t>作为本合同的履约保证金。</w:t>
      </w:r>
    </w:p>
    <w:p w14:paraId="10C0F823">
      <w:pPr>
        <w:keepNext w:val="0"/>
        <w:keepLines w:val="0"/>
        <w:pageBreakBefore w:val="0"/>
        <w:wordWrap/>
        <w:overflowPunct/>
        <w:topLinePunct w:val="0"/>
        <w:bidi w:val="0"/>
        <w:adjustRightInd w:val="0"/>
        <w:snapToGrid w:val="0"/>
        <w:spacing w:line="360" w:lineRule="auto"/>
        <w:ind w:left="0" w:leftChars="0" w:firstLine="480" w:firstLineChars="200"/>
        <w:jc w:val="left"/>
        <w:textAlignment w:val="baseline"/>
        <w:rPr>
          <w:rFonts w:hint="eastAsia" w:ascii="宋体" w:hAnsi="宋体" w:eastAsia="宋体" w:cs="宋体"/>
          <w:bCs/>
          <w:sz w:val="24"/>
          <w:szCs w:val="24"/>
          <w:highlight w:val="none"/>
        </w:rPr>
      </w:pPr>
      <w:r>
        <w:rPr>
          <w:rFonts w:hint="eastAsia" w:ascii="宋体" w:hAnsi="宋体" w:eastAsia="宋体" w:cs="宋体"/>
          <w:bCs/>
          <w:sz w:val="24"/>
          <w:szCs w:val="24"/>
          <w:highlight w:val="none"/>
        </w:rPr>
        <w:t>2</w:t>
      </w: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rPr>
        <w:t>履约保证金作为违约金的一部分及用于补偿甲方因乙方不能履行合同义务而蒙受的损失。</w:t>
      </w:r>
    </w:p>
    <w:p w14:paraId="2C3037F7">
      <w:pPr>
        <w:keepNext w:val="0"/>
        <w:keepLines w:val="0"/>
        <w:pageBreakBefore w:val="0"/>
        <w:numPr>
          <w:ilvl w:val="0"/>
          <w:numId w:val="3"/>
        </w:numPr>
        <w:wordWrap/>
        <w:overflowPunct/>
        <w:topLinePunct w:val="0"/>
        <w:bidi w:val="0"/>
        <w:adjustRightInd w:val="0"/>
        <w:snapToGrid w:val="0"/>
        <w:spacing w:line="360" w:lineRule="auto"/>
        <w:ind w:left="0" w:leftChars="0"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甲方的权利和义务</w:t>
      </w:r>
    </w:p>
    <w:p w14:paraId="0263EC8C">
      <w:pPr>
        <w:keepNext w:val="0"/>
        <w:keepLines w:val="0"/>
        <w:pageBreakBefore w:val="0"/>
        <w:wordWrap/>
        <w:overflowPunct/>
        <w:topLinePunct w:val="0"/>
        <w:bidi w:val="0"/>
        <w:adjustRightInd w:val="0"/>
        <w:snapToGrid w:val="0"/>
        <w:spacing w:line="360" w:lineRule="auto"/>
        <w:ind w:left="0" w:leftChars="0" w:firstLine="480" w:firstLineChars="200"/>
        <w:jc w:val="left"/>
        <w:textAlignment w:val="baseline"/>
        <w:rPr>
          <w:rFonts w:hint="eastAsia" w:ascii="宋体" w:hAnsi="宋体" w:eastAsia="宋体" w:cs="宋体"/>
          <w:bCs/>
          <w:sz w:val="24"/>
          <w:szCs w:val="24"/>
          <w:highlight w:val="none"/>
        </w:rPr>
      </w:pPr>
      <w:r>
        <w:rPr>
          <w:rFonts w:hint="eastAsia" w:ascii="宋体" w:hAnsi="宋体" w:eastAsia="宋体" w:cs="宋体"/>
          <w:bCs/>
          <w:sz w:val="24"/>
          <w:szCs w:val="24"/>
          <w:highlight w:val="none"/>
        </w:rPr>
        <w:t>1</w:t>
      </w: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rPr>
        <w:t>甲方有权对合同规定范围内乙方的服务行为进行监督和检查，拥有监管权。有权定期核对乙方提供服务所配备的人员数量。对甲方认为不合理的部分有权下达整改通知书，并要求乙方限期整改。</w:t>
      </w:r>
    </w:p>
    <w:p w14:paraId="4B4009B3">
      <w:pPr>
        <w:keepNext w:val="0"/>
        <w:keepLines w:val="0"/>
        <w:pageBreakBefore w:val="0"/>
        <w:wordWrap/>
        <w:overflowPunct/>
        <w:topLinePunct w:val="0"/>
        <w:bidi w:val="0"/>
        <w:adjustRightInd w:val="0"/>
        <w:snapToGrid w:val="0"/>
        <w:spacing w:line="360" w:lineRule="auto"/>
        <w:ind w:left="0" w:leftChars="0" w:firstLine="480" w:firstLineChars="200"/>
        <w:jc w:val="left"/>
        <w:textAlignment w:val="baseline"/>
        <w:rPr>
          <w:rFonts w:hint="eastAsia" w:ascii="宋体" w:hAnsi="宋体" w:eastAsia="宋体" w:cs="宋体"/>
          <w:bCs/>
          <w:sz w:val="24"/>
          <w:szCs w:val="24"/>
          <w:highlight w:val="none"/>
        </w:rPr>
      </w:pPr>
      <w:r>
        <w:rPr>
          <w:rFonts w:hint="eastAsia" w:ascii="宋体" w:hAnsi="宋体" w:eastAsia="宋体" w:cs="宋体"/>
          <w:bCs/>
          <w:sz w:val="24"/>
          <w:szCs w:val="24"/>
          <w:highlight w:val="none"/>
        </w:rPr>
        <w:t>2</w:t>
      </w: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rPr>
        <w:t>甲方有权依据双方签订的考评办法对乙方提供的服务进行定期考评。当考评结果未达到标准时，有权依据考评办法约定的数额扣除履约保证金。</w:t>
      </w:r>
    </w:p>
    <w:p w14:paraId="3F11D2FF">
      <w:pPr>
        <w:keepNext w:val="0"/>
        <w:keepLines w:val="0"/>
        <w:pageBreakBefore w:val="0"/>
        <w:wordWrap/>
        <w:overflowPunct/>
        <w:topLinePunct w:val="0"/>
        <w:bidi w:val="0"/>
        <w:adjustRightInd w:val="0"/>
        <w:snapToGrid w:val="0"/>
        <w:spacing w:line="360" w:lineRule="auto"/>
        <w:ind w:left="0" w:leftChars="0" w:firstLine="480" w:firstLineChars="200"/>
        <w:jc w:val="left"/>
        <w:textAlignment w:val="baseline"/>
        <w:rPr>
          <w:rFonts w:hint="eastAsia" w:ascii="宋体" w:hAnsi="宋体" w:eastAsia="宋体" w:cs="宋体"/>
          <w:bCs/>
          <w:sz w:val="24"/>
          <w:szCs w:val="24"/>
          <w:highlight w:val="none"/>
        </w:rPr>
      </w:pPr>
      <w:r>
        <w:rPr>
          <w:rFonts w:hint="eastAsia" w:ascii="宋体" w:hAnsi="宋体" w:eastAsia="宋体" w:cs="宋体"/>
          <w:bCs/>
          <w:sz w:val="24"/>
          <w:szCs w:val="24"/>
          <w:highlight w:val="none"/>
        </w:rPr>
        <w:t>3</w:t>
      </w: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rPr>
        <w:t>负责检查监督乙方管理工作的实施及制度的执行情况。</w:t>
      </w:r>
    </w:p>
    <w:p w14:paraId="0CC37712">
      <w:pPr>
        <w:keepNext w:val="0"/>
        <w:keepLines w:val="0"/>
        <w:pageBreakBefore w:val="0"/>
        <w:wordWrap/>
        <w:overflowPunct/>
        <w:topLinePunct w:val="0"/>
        <w:bidi w:val="0"/>
        <w:adjustRightInd w:val="0"/>
        <w:snapToGrid w:val="0"/>
        <w:spacing w:line="360" w:lineRule="auto"/>
        <w:ind w:left="0" w:leftChars="0" w:firstLine="480" w:firstLineChars="200"/>
        <w:jc w:val="left"/>
        <w:textAlignment w:val="baseline"/>
        <w:rPr>
          <w:rFonts w:hint="eastAsia" w:ascii="宋体" w:hAnsi="宋体" w:eastAsia="宋体" w:cs="宋体"/>
          <w:bCs/>
          <w:sz w:val="24"/>
          <w:szCs w:val="24"/>
          <w:highlight w:val="none"/>
        </w:rPr>
      </w:pPr>
      <w:r>
        <w:rPr>
          <w:rFonts w:hint="eastAsia" w:ascii="宋体" w:hAnsi="宋体" w:eastAsia="宋体" w:cs="宋体"/>
          <w:bCs/>
          <w:sz w:val="24"/>
          <w:szCs w:val="24"/>
          <w:highlight w:val="none"/>
        </w:rPr>
        <w:t>4</w:t>
      </w: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rPr>
        <w:t>根据本合同规定，按时向乙方支付应付服务费用。</w:t>
      </w:r>
    </w:p>
    <w:p w14:paraId="621A831F">
      <w:pPr>
        <w:keepNext w:val="0"/>
        <w:keepLines w:val="0"/>
        <w:pageBreakBefore w:val="0"/>
        <w:wordWrap/>
        <w:overflowPunct/>
        <w:topLinePunct w:val="0"/>
        <w:bidi w:val="0"/>
        <w:adjustRightInd w:val="0"/>
        <w:snapToGrid w:val="0"/>
        <w:spacing w:line="360" w:lineRule="auto"/>
        <w:ind w:left="0" w:leftChars="0" w:firstLine="480" w:firstLineChars="200"/>
        <w:jc w:val="left"/>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验收前15日历日内提供本项目审计需要的相关资料。</w:t>
      </w:r>
    </w:p>
    <w:p w14:paraId="58EB51F1">
      <w:pPr>
        <w:keepNext w:val="0"/>
        <w:keepLines w:val="0"/>
        <w:pageBreakBefore w:val="0"/>
        <w:wordWrap/>
        <w:overflowPunct/>
        <w:topLinePunct w:val="0"/>
        <w:bidi w:val="0"/>
        <w:adjustRightInd w:val="0"/>
        <w:snapToGrid w:val="0"/>
        <w:spacing w:line="360" w:lineRule="auto"/>
        <w:ind w:left="0" w:leftChars="0" w:firstLine="480" w:firstLineChars="200"/>
        <w:jc w:val="left"/>
        <w:textAlignment w:val="baseline"/>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6.</w:t>
      </w:r>
      <w:r>
        <w:rPr>
          <w:rFonts w:hint="eastAsia" w:ascii="宋体" w:hAnsi="宋体" w:eastAsia="宋体" w:cs="宋体"/>
          <w:bCs/>
          <w:sz w:val="24"/>
          <w:szCs w:val="24"/>
          <w:highlight w:val="none"/>
        </w:rPr>
        <w:t>国家法律、法规所规定由甲方承担的其它责任。</w:t>
      </w:r>
    </w:p>
    <w:p w14:paraId="1C9D8216">
      <w:pPr>
        <w:keepNext w:val="0"/>
        <w:keepLines w:val="0"/>
        <w:pageBreakBefore w:val="0"/>
        <w:numPr>
          <w:ilvl w:val="0"/>
          <w:numId w:val="3"/>
        </w:numPr>
        <w:wordWrap/>
        <w:overflowPunct/>
        <w:topLinePunct w:val="0"/>
        <w:bidi w:val="0"/>
        <w:adjustRightInd w:val="0"/>
        <w:snapToGrid w:val="0"/>
        <w:spacing w:line="360" w:lineRule="auto"/>
        <w:ind w:left="0" w:leftChars="0"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乙方的权利和义务</w:t>
      </w:r>
    </w:p>
    <w:p w14:paraId="51AD8B29">
      <w:pPr>
        <w:keepNext w:val="0"/>
        <w:keepLines w:val="0"/>
        <w:pageBreakBefore w:val="0"/>
        <w:wordWrap/>
        <w:overflowPunct/>
        <w:topLinePunct w:val="0"/>
        <w:bidi w:val="0"/>
        <w:adjustRightInd w:val="0"/>
        <w:snapToGrid w:val="0"/>
        <w:spacing w:line="360" w:lineRule="auto"/>
        <w:ind w:left="0" w:leftChars="0" w:firstLine="480" w:firstLineChars="200"/>
        <w:jc w:val="left"/>
        <w:textAlignment w:val="baseline"/>
        <w:rPr>
          <w:rFonts w:hint="eastAsia" w:ascii="宋体" w:hAnsi="宋体" w:eastAsia="宋体" w:cs="宋体"/>
          <w:bCs/>
          <w:sz w:val="24"/>
          <w:szCs w:val="24"/>
          <w:highlight w:val="none"/>
        </w:rPr>
      </w:pPr>
      <w:r>
        <w:rPr>
          <w:rFonts w:hint="eastAsia" w:ascii="宋体" w:hAnsi="宋体" w:eastAsia="宋体" w:cs="宋体"/>
          <w:bCs/>
          <w:sz w:val="24"/>
          <w:szCs w:val="24"/>
          <w:highlight w:val="none"/>
        </w:rPr>
        <w:t>1</w:t>
      </w: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rPr>
        <w:t>对本合同规定的委托服务范围内的项目享有管理权及服务义务。</w:t>
      </w:r>
    </w:p>
    <w:p w14:paraId="47109C34">
      <w:pPr>
        <w:keepNext w:val="0"/>
        <w:keepLines w:val="0"/>
        <w:pageBreakBefore w:val="0"/>
        <w:wordWrap/>
        <w:overflowPunct/>
        <w:topLinePunct w:val="0"/>
        <w:bidi w:val="0"/>
        <w:adjustRightInd w:val="0"/>
        <w:snapToGrid w:val="0"/>
        <w:spacing w:line="360" w:lineRule="auto"/>
        <w:ind w:left="0" w:leftChars="0" w:firstLine="480" w:firstLineChars="200"/>
        <w:jc w:val="left"/>
        <w:textAlignment w:val="baseline"/>
        <w:rPr>
          <w:rFonts w:hint="eastAsia" w:ascii="宋体" w:hAnsi="宋体" w:eastAsia="宋体" w:cs="宋体"/>
          <w:bCs/>
          <w:sz w:val="24"/>
          <w:szCs w:val="24"/>
          <w:highlight w:val="none"/>
        </w:rPr>
      </w:pPr>
      <w:r>
        <w:rPr>
          <w:rFonts w:hint="eastAsia" w:ascii="宋体" w:hAnsi="宋体" w:eastAsia="宋体" w:cs="宋体"/>
          <w:bCs/>
          <w:sz w:val="24"/>
          <w:szCs w:val="24"/>
          <w:highlight w:val="none"/>
        </w:rPr>
        <w:t>2</w:t>
      </w: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rPr>
        <w:t>根据本合同的规定向甲方收取相关服务费用，并有权在本项目管理范围内管理及合理使用。</w:t>
      </w:r>
    </w:p>
    <w:p w14:paraId="72DAF41A">
      <w:pPr>
        <w:keepNext w:val="0"/>
        <w:keepLines w:val="0"/>
        <w:pageBreakBefore w:val="0"/>
        <w:wordWrap/>
        <w:overflowPunct/>
        <w:topLinePunct w:val="0"/>
        <w:bidi w:val="0"/>
        <w:adjustRightInd w:val="0"/>
        <w:snapToGrid w:val="0"/>
        <w:spacing w:line="360" w:lineRule="auto"/>
        <w:ind w:left="0" w:leftChars="0"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及时向甲方通告本项目服务范围内有关服务的重大事项，及时配合处理投诉。</w:t>
      </w:r>
    </w:p>
    <w:p w14:paraId="72D28983">
      <w:pPr>
        <w:keepNext w:val="0"/>
        <w:keepLines w:val="0"/>
        <w:pageBreakBefore w:val="0"/>
        <w:wordWrap/>
        <w:overflowPunct/>
        <w:topLinePunct w:val="0"/>
        <w:bidi w:val="0"/>
        <w:adjustRightInd w:val="0"/>
        <w:snapToGrid w:val="0"/>
        <w:spacing w:line="360" w:lineRule="auto"/>
        <w:ind w:left="0" w:leftChars="0" w:firstLine="480" w:firstLineChars="200"/>
        <w:jc w:val="left"/>
        <w:textAlignment w:val="baseline"/>
        <w:rPr>
          <w:rFonts w:hint="eastAsia" w:ascii="宋体" w:hAnsi="宋体" w:eastAsia="宋体" w:cs="宋体"/>
          <w:bCs/>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w:t>
      </w:r>
      <w:r>
        <w:rPr>
          <w:rFonts w:hint="eastAsia" w:ascii="宋体" w:hAnsi="宋体" w:eastAsia="宋体" w:cs="宋体"/>
          <w:bCs/>
          <w:sz w:val="24"/>
          <w:szCs w:val="24"/>
          <w:highlight w:val="none"/>
        </w:rPr>
        <w:t>接受项目行业管理部门及政府有关部门的指导，接受甲方的监督。</w:t>
      </w:r>
    </w:p>
    <w:p w14:paraId="77DACEB4">
      <w:pPr>
        <w:keepNext w:val="0"/>
        <w:keepLines w:val="0"/>
        <w:pageBreakBefore w:val="0"/>
        <w:wordWrap/>
        <w:overflowPunct/>
        <w:topLinePunct w:val="0"/>
        <w:bidi w:val="0"/>
        <w:adjustRightInd w:val="0"/>
        <w:snapToGrid w:val="0"/>
        <w:spacing w:line="360" w:lineRule="auto"/>
        <w:ind w:left="0" w:leftChars="0" w:firstLine="480" w:firstLineChars="200"/>
        <w:jc w:val="left"/>
        <w:textAlignment w:val="baseline"/>
        <w:rPr>
          <w:rFonts w:hint="eastAsia" w:ascii="宋体" w:hAnsi="宋体" w:eastAsia="宋体" w:cs="宋体"/>
          <w:bCs/>
          <w:sz w:val="24"/>
          <w:szCs w:val="24"/>
          <w:highlight w:val="none"/>
        </w:rPr>
      </w:pPr>
      <w:r>
        <w:rPr>
          <w:rFonts w:hint="eastAsia" w:ascii="宋体" w:hAnsi="宋体" w:eastAsia="宋体" w:cs="宋体"/>
          <w:bCs/>
          <w:sz w:val="24"/>
          <w:szCs w:val="24"/>
          <w:highlight w:val="none"/>
        </w:rPr>
        <w:t>5</w:t>
      </w: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rPr>
        <w:t>国家法律、法规所规定由乙方承担的其它责任。</w:t>
      </w:r>
    </w:p>
    <w:p w14:paraId="6265D1BD">
      <w:pPr>
        <w:keepNext w:val="0"/>
        <w:keepLines w:val="0"/>
        <w:pageBreakBefore w:val="0"/>
        <w:numPr>
          <w:ilvl w:val="0"/>
          <w:numId w:val="3"/>
        </w:numPr>
        <w:wordWrap/>
        <w:overflowPunct/>
        <w:topLinePunct w:val="0"/>
        <w:bidi w:val="0"/>
        <w:adjustRightInd w:val="0"/>
        <w:snapToGrid w:val="0"/>
        <w:spacing w:line="360" w:lineRule="auto"/>
        <w:ind w:left="0" w:leftChars="0"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违约责任</w:t>
      </w:r>
    </w:p>
    <w:p w14:paraId="61B2F495">
      <w:pPr>
        <w:keepNext w:val="0"/>
        <w:keepLines w:val="0"/>
        <w:pageBreakBefore w:val="0"/>
        <w:wordWrap/>
        <w:overflowPunct/>
        <w:topLinePunct w:val="0"/>
        <w:bidi w:val="0"/>
        <w:adjustRightInd w:val="0"/>
        <w:snapToGrid w:val="0"/>
        <w:spacing w:line="360" w:lineRule="auto"/>
        <w:ind w:left="0" w:leftChars="0" w:firstLine="480" w:firstLineChars="200"/>
        <w:jc w:val="left"/>
        <w:textAlignment w:val="baseline"/>
        <w:rPr>
          <w:rFonts w:hint="eastAsia" w:ascii="宋体" w:hAnsi="宋体" w:eastAsia="宋体" w:cs="宋体"/>
          <w:bCs/>
          <w:sz w:val="24"/>
          <w:szCs w:val="24"/>
          <w:highlight w:val="none"/>
        </w:rPr>
      </w:pPr>
      <w:r>
        <w:rPr>
          <w:rFonts w:hint="eastAsia" w:ascii="宋体" w:hAnsi="宋体" w:eastAsia="宋体" w:cs="宋体"/>
          <w:bCs/>
          <w:sz w:val="24"/>
          <w:szCs w:val="24"/>
          <w:highlight w:val="none"/>
        </w:rPr>
        <w:t>1</w:t>
      </w: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rPr>
        <w:t>甲乙双方必须遵守本合同并执行合同中的各项规定，保证本合同的正常履行。</w:t>
      </w:r>
    </w:p>
    <w:p w14:paraId="17501B01">
      <w:pPr>
        <w:keepNext w:val="0"/>
        <w:keepLines w:val="0"/>
        <w:pageBreakBefore w:val="0"/>
        <w:wordWrap/>
        <w:overflowPunct/>
        <w:topLinePunct w:val="0"/>
        <w:bidi w:val="0"/>
        <w:adjustRightInd w:val="0"/>
        <w:snapToGrid w:val="0"/>
        <w:spacing w:line="360" w:lineRule="auto"/>
        <w:ind w:left="0" w:leftChars="0" w:firstLine="480" w:firstLineChars="200"/>
        <w:jc w:val="left"/>
        <w:textAlignment w:val="baseline"/>
        <w:rPr>
          <w:rFonts w:hint="eastAsia" w:ascii="宋体" w:hAnsi="宋体" w:eastAsia="宋体" w:cs="宋体"/>
          <w:bCs/>
          <w:sz w:val="24"/>
          <w:szCs w:val="24"/>
          <w:highlight w:val="none"/>
        </w:rPr>
      </w:pPr>
      <w:r>
        <w:rPr>
          <w:rFonts w:hint="eastAsia" w:ascii="宋体" w:hAnsi="宋体" w:eastAsia="宋体" w:cs="宋体"/>
          <w:bCs/>
          <w:sz w:val="24"/>
          <w:szCs w:val="24"/>
          <w:highlight w:val="none"/>
        </w:rPr>
        <w:t>2</w:t>
      </w: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rPr>
        <w:t>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p>
    <w:p w14:paraId="6870BE26">
      <w:pPr>
        <w:keepNext w:val="0"/>
        <w:keepLines w:val="0"/>
        <w:pageBreakBefore w:val="0"/>
        <w:numPr>
          <w:ilvl w:val="0"/>
          <w:numId w:val="3"/>
        </w:numPr>
        <w:wordWrap/>
        <w:overflowPunct/>
        <w:topLinePunct w:val="0"/>
        <w:bidi w:val="0"/>
        <w:adjustRightInd w:val="0"/>
        <w:snapToGrid w:val="0"/>
        <w:spacing w:line="360" w:lineRule="auto"/>
        <w:ind w:left="0" w:leftChars="0"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不可抗力事件处理</w:t>
      </w:r>
    </w:p>
    <w:p w14:paraId="07F20B00">
      <w:pPr>
        <w:keepNext w:val="0"/>
        <w:keepLines w:val="0"/>
        <w:pageBreakBefore w:val="0"/>
        <w:tabs>
          <w:tab w:val="left" w:pos="0"/>
        </w:tabs>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在合同有效期内，任何一方因不可抗力事件导致不能履行合同，则合同履行期可延长，其延长期与不可抗力影响期相同。</w:t>
      </w:r>
    </w:p>
    <w:p w14:paraId="0B9F63F1">
      <w:pPr>
        <w:keepNext w:val="0"/>
        <w:keepLines w:val="0"/>
        <w:pageBreakBefore w:val="0"/>
        <w:tabs>
          <w:tab w:val="left" w:pos="0"/>
        </w:tabs>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不可抗力事件发生后，应立即通知对方，并寄送有关权威机构出具的证明。</w:t>
      </w:r>
    </w:p>
    <w:p w14:paraId="1ACDA0BC">
      <w:pPr>
        <w:keepNext w:val="0"/>
        <w:keepLines w:val="0"/>
        <w:pageBreakBefore w:val="0"/>
        <w:tabs>
          <w:tab w:val="left" w:pos="0"/>
        </w:tabs>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不可抗力事件</w:t>
      </w:r>
      <w:r>
        <w:rPr>
          <w:rFonts w:hint="eastAsia" w:ascii="宋体" w:hAnsi="宋体" w:eastAsia="宋体" w:cs="宋体"/>
          <w:sz w:val="24"/>
          <w:szCs w:val="24"/>
          <w:highlight w:val="none"/>
          <w:u w:val="none"/>
        </w:rPr>
        <w:t>延续</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sz w:val="24"/>
          <w:szCs w:val="24"/>
          <w:highlight w:val="none"/>
          <w:u w:val="none"/>
        </w:rPr>
        <w:t>天</w:t>
      </w:r>
      <w:r>
        <w:rPr>
          <w:rFonts w:hint="eastAsia" w:ascii="宋体" w:hAnsi="宋体" w:eastAsia="宋体" w:cs="宋体"/>
          <w:sz w:val="24"/>
          <w:szCs w:val="24"/>
          <w:highlight w:val="none"/>
        </w:rPr>
        <w:t>以上，双方应通过友好协商，确定是否继续履行合同。</w:t>
      </w:r>
    </w:p>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14:paraId="2BD41DA2">
      <w:pPr>
        <w:keepNext w:val="0"/>
        <w:keepLines w:val="0"/>
        <w:pageBreakBefore w:val="0"/>
        <w:numPr>
          <w:ilvl w:val="0"/>
          <w:numId w:val="3"/>
        </w:numPr>
        <w:wordWrap/>
        <w:overflowPunct/>
        <w:topLinePunct w:val="0"/>
        <w:bidi w:val="0"/>
        <w:adjustRightInd w:val="0"/>
        <w:snapToGrid w:val="0"/>
        <w:spacing w:line="360" w:lineRule="auto"/>
        <w:ind w:left="0" w:leftChars="0" w:firstLine="482" w:firstLineChars="200"/>
        <w:rPr>
          <w:rFonts w:hint="eastAsia" w:ascii="宋体" w:hAnsi="宋体" w:eastAsia="宋体" w:cs="宋体"/>
          <w:b/>
          <w:sz w:val="24"/>
          <w:szCs w:val="24"/>
          <w:highlight w:val="none"/>
        </w:rPr>
      </w:pPr>
      <w:bookmarkStart w:id="421" w:name="_Toc225670756"/>
      <w:bookmarkStart w:id="422" w:name="_Toc232492933"/>
      <w:bookmarkStart w:id="423" w:name="_Toc212019599"/>
      <w:bookmarkStart w:id="424" w:name="_Toc239233919"/>
      <w:bookmarkStart w:id="425" w:name="_Toc241833908"/>
      <w:bookmarkStart w:id="426" w:name="_Toc225244857"/>
      <w:bookmarkStart w:id="427" w:name="_Toc237145411"/>
      <w:bookmarkStart w:id="428" w:name="_Toc251768867"/>
      <w:bookmarkStart w:id="429" w:name="_Toc238984980"/>
      <w:bookmarkStart w:id="430" w:name="_Toc286993792"/>
      <w:bookmarkStart w:id="431" w:name="_Toc211854454"/>
      <w:bookmarkStart w:id="432" w:name="_Toc211911353"/>
      <w:bookmarkStart w:id="433" w:name="_Toc185395254"/>
      <w:bookmarkStart w:id="434" w:name="_Toc247334846"/>
      <w:bookmarkStart w:id="435" w:name="_Toc225654649"/>
      <w:bookmarkStart w:id="436" w:name="_Toc239568423"/>
      <w:r>
        <w:rPr>
          <w:rFonts w:hint="eastAsia" w:ascii="宋体" w:hAnsi="宋体" w:eastAsia="宋体" w:cs="宋体"/>
          <w:b/>
          <w:sz w:val="24"/>
          <w:szCs w:val="24"/>
          <w:highlight w:val="none"/>
        </w:rPr>
        <w:t>解决合同纠纷的方式</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14:paraId="0496130C">
      <w:pPr>
        <w:keepNext w:val="0"/>
        <w:keepLines w:val="0"/>
        <w:pageBreakBefore w:val="0"/>
        <w:tabs>
          <w:tab w:val="left" w:pos="0"/>
        </w:tabs>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在执行本合同中发生的或与本合同有关的争端，双方应通过友好协商解决，经协商</w:t>
      </w:r>
      <w:r>
        <w:rPr>
          <w:rFonts w:hint="eastAsia" w:ascii="宋体" w:hAnsi="宋体" w:eastAsia="宋体" w:cs="宋体"/>
          <w:sz w:val="24"/>
          <w:szCs w:val="24"/>
          <w:highlight w:val="none"/>
          <w:u w:val="none"/>
        </w:rPr>
        <w:t>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sz w:val="24"/>
          <w:szCs w:val="24"/>
          <w:highlight w:val="none"/>
          <w:u w:val="none"/>
        </w:rPr>
        <w:t>天</w:t>
      </w:r>
      <w:r>
        <w:rPr>
          <w:rFonts w:hint="eastAsia" w:ascii="宋体" w:hAnsi="宋体" w:eastAsia="宋体" w:cs="宋体"/>
          <w:sz w:val="24"/>
          <w:szCs w:val="24"/>
          <w:highlight w:val="none"/>
        </w:rPr>
        <w:t>内不能达成协议时，应提交</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仲裁委员会</w:t>
      </w:r>
      <w:r>
        <w:rPr>
          <w:rFonts w:hint="eastAsia" w:ascii="宋体" w:hAnsi="宋体" w:eastAsia="宋体" w:cs="宋体"/>
          <w:sz w:val="24"/>
          <w:szCs w:val="24"/>
          <w:highlight w:val="none"/>
          <w:u w:val="none"/>
          <w:lang w:eastAsia="zh-CN"/>
        </w:rPr>
        <w:t>予以进行</w:t>
      </w:r>
      <w:r>
        <w:rPr>
          <w:rFonts w:hint="eastAsia" w:ascii="宋体" w:hAnsi="宋体" w:eastAsia="宋体" w:cs="宋体"/>
          <w:sz w:val="24"/>
          <w:szCs w:val="24"/>
          <w:highlight w:val="none"/>
        </w:rPr>
        <w:t>仲裁。</w:t>
      </w:r>
    </w:p>
    <w:p w14:paraId="522729CA">
      <w:pPr>
        <w:keepNext w:val="0"/>
        <w:keepLines w:val="0"/>
        <w:pageBreakBefore w:val="0"/>
        <w:tabs>
          <w:tab w:val="left" w:pos="0"/>
        </w:tabs>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仲裁裁决应为最终决定，并对双方具有约束力。</w:t>
      </w:r>
    </w:p>
    <w:p w14:paraId="0CB84DBF">
      <w:pPr>
        <w:keepNext w:val="0"/>
        <w:keepLines w:val="0"/>
        <w:pageBreakBefore w:val="0"/>
        <w:tabs>
          <w:tab w:val="left" w:pos="0"/>
        </w:tabs>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 xml:space="preserve">除另有裁决外，仲裁费应由败诉方负担。 </w:t>
      </w:r>
    </w:p>
    <w:p w14:paraId="78D520AB">
      <w:pPr>
        <w:keepNext w:val="0"/>
        <w:keepLines w:val="0"/>
        <w:pageBreakBefore w:val="0"/>
        <w:tabs>
          <w:tab w:val="left" w:pos="0"/>
        </w:tabs>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 xml:space="preserve">在仲裁期间，除正在进行仲裁部分外，合同其他部分继续执行。  </w:t>
      </w:r>
    </w:p>
    <w:p w14:paraId="555D5943">
      <w:pPr>
        <w:keepNext w:val="0"/>
        <w:keepLines w:val="0"/>
        <w:pageBreakBefore w:val="0"/>
        <w:numPr>
          <w:ilvl w:val="0"/>
          <w:numId w:val="3"/>
        </w:numPr>
        <w:wordWrap/>
        <w:overflowPunct/>
        <w:topLinePunct w:val="0"/>
        <w:bidi w:val="0"/>
        <w:adjustRightInd w:val="0"/>
        <w:snapToGrid w:val="0"/>
        <w:spacing w:line="360" w:lineRule="auto"/>
        <w:ind w:left="0" w:leftChars="0" w:firstLine="482" w:firstLineChars="200"/>
        <w:rPr>
          <w:rFonts w:hint="eastAsia" w:ascii="宋体" w:hAnsi="宋体" w:eastAsia="宋体" w:cs="宋体"/>
          <w:b/>
          <w:sz w:val="24"/>
          <w:szCs w:val="24"/>
          <w:highlight w:val="none"/>
        </w:rPr>
      </w:pPr>
      <w:bookmarkStart w:id="437" w:name="_Toc239233920"/>
      <w:bookmarkStart w:id="438" w:name="_Toc212019600"/>
      <w:bookmarkStart w:id="439" w:name="_Toc237145412"/>
      <w:bookmarkStart w:id="440" w:name="_Toc225670757"/>
      <w:bookmarkStart w:id="441" w:name="_Toc282696231"/>
      <w:bookmarkStart w:id="442" w:name="_Toc241833909"/>
      <w:bookmarkStart w:id="443" w:name="_Toc232492934"/>
      <w:bookmarkStart w:id="444" w:name="_Toc211911354"/>
      <w:bookmarkStart w:id="445" w:name="_Toc185395255"/>
      <w:bookmarkStart w:id="446" w:name="_Toc225244858"/>
      <w:bookmarkStart w:id="447" w:name="_Toc225654650"/>
      <w:bookmarkStart w:id="448" w:name="_Toc286993793"/>
      <w:bookmarkStart w:id="449" w:name="_Toc247334847"/>
      <w:bookmarkStart w:id="450" w:name="_Toc251768868"/>
      <w:bookmarkStart w:id="451" w:name="_Toc238984981"/>
      <w:bookmarkStart w:id="452" w:name="_Toc239568424"/>
      <w:bookmarkStart w:id="453" w:name="_Toc283019219"/>
      <w:bookmarkStart w:id="454" w:name="_Toc211854455"/>
      <w:r>
        <w:rPr>
          <w:rFonts w:hint="eastAsia" w:ascii="宋体" w:hAnsi="宋体" w:eastAsia="宋体" w:cs="宋体"/>
          <w:b/>
          <w:sz w:val="24"/>
          <w:szCs w:val="24"/>
          <w:highlight w:val="none"/>
        </w:rPr>
        <w:t>合同</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hint="eastAsia" w:ascii="宋体" w:hAnsi="宋体" w:eastAsia="宋体" w:cs="宋体"/>
          <w:b/>
          <w:sz w:val="24"/>
          <w:szCs w:val="24"/>
          <w:highlight w:val="none"/>
        </w:rPr>
        <w:t>生效及其他</w:t>
      </w:r>
    </w:p>
    <w:p w14:paraId="47D0A83D">
      <w:pPr>
        <w:pStyle w:val="58"/>
        <w:keepNext w:val="0"/>
        <w:keepLines w:val="0"/>
        <w:pageBreakBefore w:val="0"/>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合同经双方法定代表人或授权委托代理人签字并加盖单位公章后生效。</w:t>
      </w:r>
    </w:p>
    <w:p w14:paraId="4EB541C3">
      <w:pPr>
        <w:pStyle w:val="58"/>
        <w:keepNext w:val="0"/>
        <w:keepLines w:val="0"/>
        <w:pageBreakBefore w:val="0"/>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合同执行中涉及资金和采购内容修改或补充的，须经</w:t>
      </w:r>
      <w:r>
        <w:rPr>
          <w:rFonts w:hint="eastAsia" w:ascii="宋体" w:hAnsi="宋体" w:eastAsia="宋体" w:cs="宋体"/>
          <w:sz w:val="24"/>
          <w:szCs w:val="24"/>
          <w:highlight w:val="none"/>
          <w:lang w:eastAsia="zh-CN"/>
        </w:rPr>
        <w:t>甲方监督</w:t>
      </w:r>
      <w:r>
        <w:rPr>
          <w:rFonts w:hint="eastAsia" w:ascii="宋体" w:hAnsi="宋体" w:eastAsia="宋体" w:cs="宋体"/>
          <w:sz w:val="24"/>
          <w:szCs w:val="24"/>
          <w:highlight w:val="none"/>
        </w:rPr>
        <w:t>部门审批，并签书面补充协议报</w:t>
      </w:r>
      <w:r>
        <w:rPr>
          <w:rFonts w:hint="eastAsia" w:ascii="宋体" w:hAnsi="宋体" w:eastAsia="宋体" w:cs="宋体"/>
          <w:sz w:val="24"/>
          <w:szCs w:val="24"/>
          <w:highlight w:val="none"/>
          <w:lang w:eastAsia="zh-CN"/>
        </w:rPr>
        <w:t>甲方相关行政部门</w:t>
      </w:r>
      <w:r>
        <w:rPr>
          <w:rFonts w:hint="eastAsia" w:ascii="宋体" w:hAnsi="宋体" w:eastAsia="宋体" w:cs="宋体"/>
          <w:sz w:val="24"/>
          <w:szCs w:val="24"/>
          <w:highlight w:val="none"/>
        </w:rPr>
        <w:t>备案，方可作为主合同不可分割的一部分。</w:t>
      </w:r>
    </w:p>
    <w:p w14:paraId="0F18475F">
      <w:pPr>
        <w:pStyle w:val="58"/>
        <w:keepNext w:val="0"/>
        <w:keepLines w:val="0"/>
        <w:pageBreakBefore w:val="0"/>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本合同一式</w:t>
      </w:r>
      <w:r>
        <w:rPr>
          <w:rFonts w:hint="eastAsia" w:ascii="宋体" w:hAnsi="宋体" w:eastAsia="宋体" w:cs="宋体"/>
          <w:color w:val="000000"/>
          <w:sz w:val="24"/>
          <w:szCs w:val="24"/>
          <w:highlight w:val="none"/>
          <w:lang w:eastAsia="zh-CN"/>
        </w:rPr>
        <w:t>陆</w:t>
      </w:r>
      <w:r>
        <w:rPr>
          <w:rFonts w:hint="eastAsia" w:ascii="宋体" w:hAnsi="宋体" w:eastAsia="宋体" w:cs="宋体"/>
          <w:sz w:val="24"/>
          <w:szCs w:val="24"/>
          <w:highlight w:val="none"/>
        </w:rPr>
        <w:t>份，自双方签章之日起起效。甲方</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份，乙方</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份，采购代理机构</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份，具有同等法律效力。</w:t>
      </w:r>
    </w:p>
    <w:p w14:paraId="0D10B7F1">
      <w:pPr>
        <w:keepNext w:val="0"/>
        <w:keepLines w:val="0"/>
        <w:pageBreakBefore w:val="0"/>
        <w:numPr>
          <w:ilvl w:val="0"/>
          <w:numId w:val="3"/>
        </w:numPr>
        <w:wordWrap/>
        <w:overflowPunct/>
        <w:topLinePunct w:val="0"/>
        <w:bidi w:val="0"/>
        <w:adjustRightInd w:val="0"/>
        <w:snapToGrid w:val="0"/>
        <w:spacing w:line="360" w:lineRule="auto"/>
        <w:ind w:left="0" w:leftChars="0"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附件</w:t>
      </w:r>
    </w:p>
    <w:p w14:paraId="6A155AAE">
      <w:pPr>
        <w:pStyle w:val="58"/>
        <w:keepNext w:val="0"/>
        <w:keepLines w:val="0"/>
        <w:pageBreakBefore w:val="0"/>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竞争性磋商文件</w:t>
      </w:r>
    </w:p>
    <w:p w14:paraId="326F160D">
      <w:pPr>
        <w:pStyle w:val="58"/>
        <w:keepNext w:val="0"/>
        <w:keepLines w:val="0"/>
        <w:pageBreakBefore w:val="0"/>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澄清</w:t>
      </w:r>
      <w:r>
        <w:rPr>
          <w:rFonts w:hint="eastAsia" w:ascii="宋体" w:hAnsi="宋体" w:eastAsia="宋体" w:cs="宋体"/>
          <w:sz w:val="24"/>
          <w:szCs w:val="24"/>
          <w:highlight w:val="none"/>
          <w:lang w:eastAsia="zh-CN"/>
        </w:rPr>
        <w:t>（或答疑）</w:t>
      </w:r>
      <w:r>
        <w:rPr>
          <w:rFonts w:hint="eastAsia" w:ascii="宋体" w:hAnsi="宋体" w:eastAsia="宋体" w:cs="宋体"/>
          <w:sz w:val="24"/>
          <w:szCs w:val="24"/>
          <w:highlight w:val="none"/>
        </w:rPr>
        <w:t>文件</w:t>
      </w:r>
    </w:p>
    <w:p w14:paraId="72A195F0">
      <w:pPr>
        <w:pStyle w:val="58"/>
        <w:keepNext w:val="0"/>
        <w:keepLines w:val="0"/>
        <w:pageBreakBefore w:val="0"/>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响应文件</w:t>
      </w:r>
    </w:p>
    <w:p w14:paraId="31D4F250">
      <w:pPr>
        <w:pStyle w:val="58"/>
        <w:keepNext w:val="0"/>
        <w:keepLines w:val="0"/>
        <w:pageBreakBefore w:val="0"/>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中标（成交）通知书</w:t>
      </w:r>
    </w:p>
    <w:p w14:paraId="42558C1A">
      <w:pPr>
        <w:pStyle w:val="58"/>
        <w:keepNext w:val="0"/>
        <w:keepLines w:val="0"/>
        <w:pageBreakBefore w:val="0"/>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其他</w:t>
      </w:r>
    </w:p>
    <w:p w14:paraId="43A0C09D">
      <w:pPr>
        <w:keepNext w:val="0"/>
        <w:keepLines w:val="0"/>
        <w:pageBreakBefore w:val="0"/>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p>
    <w:p w14:paraId="019A611D">
      <w:pPr>
        <w:keepNext w:val="0"/>
        <w:keepLines w:val="0"/>
        <w:pageBreakBefore w:val="0"/>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甲方：</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（盖章）   </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乙方：</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（盖章） </w:t>
      </w:r>
    </w:p>
    <w:p w14:paraId="69D3BF99">
      <w:pPr>
        <w:keepNext w:val="0"/>
        <w:keepLines w:val="0"/>
        <w:pageBreakBefore w:val="0"/>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法定代表人（授权代表）：           法定代表人（授权代表）：</w:t>
      </w:r>
    </w:p>
    <w:p w14:paraId="6CF9E1E8">
      <w:pPr>
        <w:keepNext w:val="0"/>
        <w:keepLines w:val="0"/>
        <w:pageBreakBefore w:val="0"/>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地    址：                         地    址：</w:t>
      </w:r>
    </w:p>
    <w:p w14:paraId="22275904">
      <w:pPr>
        <w:keepNext w:val="0"/>
        <w:keepLines w:val="0"/>
        <w:pageBreakBefore w:val="0"/>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开户银行：                         开户银行：</w:t>
      </w:r>
    </w:p>
    <w:p w14:paraId="0DE5798E">
      <w:pPr>
        <w:keepNext w:val="0"/>
        <w:keepLines w:val="0"/>
        <w:pageBreakBefore w:val="0"/>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账号：                             账号：</w:t>
      </w:r>
    </w:p>
    <w:p w14:paraId="6FAF8F60">
      <w:pPr>
        <w:keepNext w:val="0"/>
        <w:keepLines w:val="0"/>
        <w:pageBreakBefore w:val="0"/>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电    话：                         电    话：</w:t>
      </w:r>
    </w:p>
    <w:p w14:paraId="797A7653">
      <w:pPr>
        <w:keepNext w:val="0"/>
        <w:keepLines w:val="0"/>
        <w:pageBreakBefore w:val="0"/>
        <w:wordWrap/>
        <w:overflowPunct/>
        <w:topLinePunct w:val="0"/>
        <w:bidi w:val="0"/>
        <w:adjustRightInd w:val="0"/>
        <w:snapToGrid w:val="0"/>
        <w:spacing w:line="36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传    真：                         传    真：</w:t>
      </w:r>
    </w:p>
    <w:p w14:paraId="422F55E5">
      <w:pPr>
        <w:pStyle w:val="19"/>
        <w:keepNext w:val="0"/>
        <w:keepLines w:val="0"/>
        <w:pageBreakBefore w:val="0"/>
        <w:wordWrap/>
        <w:overflowPunct/>
        <w:topLinePunct w:val="0"/>
        <w:bidi w:val="0"/>
        <w:adjustRightInd w:val="0"/>
        <w:snapToGrid w:val="0"/>
        <w:spacing w:line="360" w:lineRule="auto"/>
        <w:ind w:left="0" w:leftChars="0" w:firstLine="480" w:firstLineChars="200"/>
        <w:jc w:val="both"/>
        <w:rPr>
          <w:rFonts w:hint="eastAsia" w:ascii="宋体" w:hAnsi="宋体" w:eastAsia="宋体" w:cs="宋体"/>
          <w:b/>
          <w:bCs/>
          <w:color w:val="auto"/>
          <w:sz w:val="24"/>
          <w:szCs w:val="24"/>
          <w:highlight w:val="none"/>
        </w:rPr>
      </w:pPr>
      <w:r>
        <w:rPr>
          <w:rFonts w:hint="eastAsia" w:ascii="宋体" w:hAnsi="宋体" w:eastAsia="宋体" w:cs="宋体"/>
          <w:sz w:val="24"/>
          <w:szCs w:val="24"/>
          <w:highlight w:val="none"/>
        </w:rPr>
        <w:t>签约日期：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sz w:val="24"/>
          <w:szCs w:val="24"/>
          <w:highlight w:val="none"/>
        </w:rPr>
        <w:t>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sz w:val="24"/>
          <w:szCs w:val="24"/>
          <w:highlight w:val="none"/>
        </w:rPr>
        <w:t>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sz w:val="24"/>
          <w:szCs w:val="24"/>
          <w:highlight w:val="none"/>
        </w:rPr>
        <w:t xml:space="preserve">日 </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签约日期：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sz w:val="24"/>
          <w:szCs w:val="24"/>
          <w:highlight w:val="none"/>
        </w:rPr>
        <w:t>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sz w:val="24"/>
          <w:szCs w:val="24"/>
          <w:highlight w:val="none"/>
        </w:rPr>
        <w:t>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sz w:val="24"/>
          <w:szCs w:val="24"/>
          <w:highlight w:val="none"/>
        </w:rPr>
        <w:t xml:space="preserve">日 </w:t>
      </w:r>
    </w:p>
    <w:p w14:paraId="477D3B0C">
      <w:pPr>
        <w:keepNext w:val="0"/>
        <w:keepLines w:val="0"/>
        <w:pageBreakBefore w:val="0"/>
        <w:wordWrap/>
        <w:overflowPunct/>
        <w:topLinePunct w:val="0"/>
        <w:bidi w:val="0"/>
        <w:adjustRightInd w:val="0"/>
        <w:snapToGrid w:val="0"/>
        <w:spacing w:line="360" w:lineRule="auto"/>
        <w:ind w:left="0" w:leftChars="0" w:firstLine="480" w:firstLineChars="200"/>
        <w:jc w:val="both"/>
        <w:rPr>
          <w:highlight w:val="none"/>
        </w:rPr>
      </w:pPr>
      <w:r>
        <w:rPr>
          <w:rFonts w:hint="eastAsia" w:ascii="宋体" w:hAnsi="宋体" w:eastAsia="宋体" w:cs="宋体"/>
          <w:sz w:val="24"/>
          <w:szCs w:val="24"/>
          <w:highlight w:val="none"/>
        </w:rPr>
        <w:t>签订地点：</w:t>
      </w:r>
      <w:r>
        <w:rPr>
          <w:rFonts w:hint="eastAsia" w:ascii="宋体" w:hAnsi="宋体" w:eastAsia="宋体" w:cs="宋体"/>
          <w:sz w:val="24"/>
          <w:szCs w:val="24"/>
          <w:highlight w:val="none"/>
          <w:u w:val="single"/>
          <w:lang w:val="en-US" w:eastAsia="zh-CN"/>
        </w:rPr>
        <w:t xml:space="preserve">                       </w:t>
      </w:r>
    </w:p>
    <w:p w14:paraId="626F004E">
      <w:pPr>
        <w:rPr>
          <w:rFonts w:hint="eastAsia"/>
          <w:highlight w:val="none"/>
        </w:rPr>
      </w:pPr>
    </w:p>
    <w:p w14:paraId="583BAAD6">
      <w:pPr>
        <w:rPr>
          <w:rFonts w:hint="eastAsia"/>
          <w:highlight w:val="none"/>
        </w:rPr>
      </w:pPr>
      <w:r>
        <w:rPr>
          <w:rFonts w:hint="eastAsia"/>
          <w:highlight w:val="none"/>
        </w:rPr>
        <w:br w:type="page"/>
      </w:r>
    </w:p>
    <w:p w14:paraId="49A0D6E2">
      <w:pPr>
        <w:pStyle w:val="2"/>
        <w:bidi w:val="0"/>
        <w:rPr>
          <w:rFonts w:hint="eastAsia" w:ascii="黑体" w:hAnsi="黑体" w:cs="黑体"/>
          <w:color w:val="000000"/>
          <w:szCs w:val="32"/>
          <w:highlight w:val="none"/>
        </w:rPr>
      </w:pPr>
      <w:r>
        <w:rPr>
          <w:rFonts w:hint="eastAsia"/>
          <w:highlight w:val="none"/>
        </w:rPr>
        <w:t>第六章  响应文件格式</w:t>
      </w:r>
      <w:bookmarkEnd w:id="394"/>
      <w:bookmarkEnd w:id="395"/>
      <w:bookmarkEnd w:id="396"/>
      <w:bookmarkEnd w:id="397"/>
      <w:bookmarkEnd w:id="398"/>
      <w:bookmarkEnd w:id="399"/>
      <w:bookmarkEnd w:id="400"/>
      <w:bookmarkEnd w:id="401"/>
      <w:bookmarkEnd w:id="402"/>
    </w:p>
    <w:p w14:paraId="781115B9">
      <w:pPr>
        <w:rPr>
          <w:color w:val="auto"/>
          <w:highlight w:val="none"/>
        </w:rPr>
      </w:pPr>
    </w:p>
    <w:p w14:paraId="1829C769">
      <w:pPr>
        <w:jc w:val="center"/>
        <w:rPr>
          <w:rFonts w:ascii="宋体" w:hAnsi="宋体" w:cs="宋体"/>
          <w:color w:val="auto"/>
          <w:sz w:val="32"/>
          <w:szCs w:val="32"/>
          <w:highlight w:val="none"/>
        </w:rPr>
      </w:pPr>
      <w:bookmarkStart w:id="455" w:name="_Toc21347"/>
      <w:bookmarkStart w:id="456" w:name="_Toc30469"/>
      <w:r>
        <w:rPr>
          <w:rFonts w:hint="eastAsia" w:ascii="宋体" w:hAnsi="宋体" w:cs="宋体"/>
          <w:b/>
          <w:bCs/>
          <w:color w:val="auto"/>
          <w:sz w:val="32"/>
          <w:szCs w:val="32"/>
          <w:highlight w:val="none"/>
        </w:rPr>
        <w:t>响应文件编制说明</w:t>
      </w:r>
      <w:bookmarkEnd w:id="455"/>
      <w:bookmarkEnd w:id="456"/>
    </w:p>
    <w:p w14:paraId="21FA5483">
      <w:pPr>
        <w:rPr>
          <w:color w:val="auto"/>
          <w:highlight w:val="none"/>
        </w:rPr>
      </w:pPr>
    </w:p>
    <w:p w14:paraId="321B33AE">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1.编制响应文件前，请详细阅读竞争性磋商文件的全部内容，理解文件中的每一项要求。</w:t>
      </w:r>
    </w:p>
    <w:p w14:paraId="0A716F2C">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在编制响应文件时，应当按照样本竞争性磋商文件提供的格式内容逐一做出明确的响应，磋商响应文件中须包含资格审查部分、技术部分及商务部分内容，同时竞争性磋商文件提供的格式内容在编制响应文件时不得更改，内容可以扩充。供应商认为有必要，对还可以做其它补充，其目录自行编制，如因供应商自身原因未编制或编制目录中未附其相应内容，其相关不利风险由其自行承担。</w:t>
      </w:r>
    </w:p>
    <w:p w14:paraId="0842E5F3">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eastAsia="宋体" w:cs="宋体"/>
          <w:b/>
          <w:bCs/>
          <w:color w:val="auto"/>
          <w:sz w:val="24"/>
          <w:szCs w:val="24"/>
          <w:highlight w:val="none"/>
        </w:rPr>
        <w:t>备注：各供应商应将资格审查部分、技术部分及商务部分编制在一份文件中并胶装成册。</w:t>
      </w:r>
    </w:p>
    <w:p w14:paraId="6F29D56F">
      <w:pPr>
        <w:bidi w:val="0"/>
        <w:rPr>
          <w:rFonts w:hint="eastAsia"/>
          <w:highlight w:val="none"/>
        </w:rPr>
      </w:pPr>
    </w:p>
    <w:p w14:paraId="09E280C7">
      <w:pPr>
        <w:wordWrap/>
        <w:spacing w:line="360" w:lineRule="auto"/>
        <w:jc w:val="right"/>
        <w:rPr>
          <w:rFonts w:ascii="宋体" w:hAnsi="宋体" w:cs="宋体"/>
          <w:color w:val="auto"/>
          <w:spacing w:val="26"/>
          <w:sz w:val="24"/>
          <w:szCs w:val="24"/>
          <w:highlight w:val="none"/>
        </w:rPr>
      </w:pPr>
      <w:r>
        <w:rPr>
          <w:rFonts w:hint="eastAsia" w:ascii="宋体" w:hAnsi="宋体" w:cs="宋体"/>
          <w:b/>
          <w:bCs/>
          <w:color w:val="auto"/>
          <w:spacing w:val="26"/>
          <w:sz w:val="36"/>
          <w:szCs w:val="36"/>
          <w:highlight w:val="none"/>
        </w:rPr>
        <w:t>【正/副本】</w:t>
      </w:r>
    </w:p>
    <w:p w14:paraId="724DC082">
      <w:pPr>
        <w:rPr>
          <w:color w:val="auto"/>
          <w:highlight w:val="none"/>
        </w:rPr>
      </w:pPr>
    </w:p>
    <w:p w14:paraId="39495DF0">
      <w:pPr>
        <w:rPr>
          <w:color w:val="auto"/>
          <w:highlight w:val="none"/>
        </w:rPr>
      </w:pPr>
    </w:p>
    <w:p w14:paraId="10BA5E38">
      <w:pPr>
        <w:bidi w:val="0"/>
        <w:jc w:val="center"/>
        <w:rPr>
          <w:rFonts w:hint="eastAsia"/>
          <w:b/>
          <w:bCs/>
          <w:sz w:val="44"/>
          <w:szCs w:val="40"/>
          <w:highlight w:val="none"/>
          <w:lang w:eastAsia="zh-CN"/>
        </w:rPr>
      </w:pPr>
      <w:r>
        <w:rPr>
          <w:rFonts w:hint="eastAsia"/>
          <w:b/>
          <w:bCs/>
          <w:sz w:val="44"/>
          <w:szCs w:val="40"/>
          <w:highlight w:val="none"/>
          <w:lang w:eastAsia="zh-CN"/>
        </w:rPr>
        <w:t>陕西省肿瘤医院</w:t>
      </w:r>
    </w:p>
    <w:p w14:paraId="16EFAACD">
      <w:pPr>
        <w:bidi w:val="0"/>
        <w:jc w:val="center"/>
        <w:rPr>
          <w:rFonts w:hint="eastAsia" w:eastAsia="宋体"/>
          <w:b/>
          <w:bCs/>
          <w:sz w:val="44"/>
          <w:szCs w:val="40"/>
          <w:highlight w:val="none"/>
          <w:lang w:eastAsia="zh-CN"/>
        </w:rPr>
      </w:pPr>
      <w:r>
        <w:rPr>
          <w:rFonts w:hint="eastAsia"/>
          <w:b/>
          <w:bCs/>
          <w:sz w:val="44"/>
          <w:szCs w:val="40"/>
          <w:highlight w:val="none"/>
          <w:lang w:eastAsia="zh-CN"/>
        </w:rPr>
        <w:t>强制性清洁生产审核服务项目</w:t>
      </w:r>
    </w:p>
    <w:p w14:paraId="25ECA29C">
      <w:pPr>
        <w:bidi w:val="0"/>
        <w:rPr>
          <w:color w:val="auto"/>
          <w:highlight w:val="none"/>
        </w:rPr>
      </w:pPr>
    </w:p>
    <w:p w14:paraId="17BE8D81">
      <w:pPr>
        <w:bidi w:val="0"/>
        <w:rPr>
          <w:color w:val="auto"/>
          <w:highlight w:val="none"/>
        </w:rPr>
      </w:pPr>
    </w:p>
    <w:p w14:paraId="1DF2FA91">
      <w:pPr>
        <w:bidi w:val="0"/>
        <w:rPr>
          <w:color w:val="auto"/>
          <w:highlight w:val="none"/>
        </w:rPr>
      </w:pPr>
    </w:p>
    <w:p w14:paraId="4446AD4B">
      <w:pPr>
        <w:bidi w:val="0"/>
        <w:rPr>
          <w:color w:val="auto"/>
          <w:highlight w:val="none"/>
        </w:rPr>
      </w:pPr>
    </w:p>
    <w:p w14:paraId="77FCDB7A">
      <w:pPr>
        <w:bidi w:val="0"/>
        <w:rPr>
          <w:color w:val="auto"/>
          <w:highlight w:val="none"/>
        </w:rPr>
      </w:pPr>
    </w:p>
    <w:p w14:paraId="62D52D63">
      <w:pPr>
        <w:bidi w:val="0"/>
        <w:rPr>
          <w:color w:val="auto"/>
          <w:highlight w:val="none"/>
        </w:rPr>
      </w:pPr>
    </w:p>
    <w:p w14:paraId="1F081801">
      <w:pPr>
        <w:bidi w:val="0"/>
        <w:rPr>
          <w:color w:val="auto"/>
          <w:highlight w:val="none"/>
        </w:rPr>
      </w:pPr>
    </w:p>
    <w:p w14:paraId="04AA28E3">
      <w:pPr>
        <w:bidi w:val="0"/>
        <w:rPr>
          <w:color w:val="auto"/>
          <w:highlight w:val="none"/>
        </w:rPr>
      </w:pPr>
    </w:p>
    <w:p w14:paraId="1EF2CE8F">
      <w:pPr>
        <w:bidi w:val="0"/>
        <w:rPr>
          <w:color w:val="auto"/>
          <w:highlight w:val="none"/>
        </w:rPr>
      </w:pPr>
    </w:p>
    <w:p w14:paraId="5941D9B4">
      <w:pPr>
        <w:spacing w:line="600" w:lineRule="auto"/>
        <w:jc w:val="center"/>
        <w:rPr>
          <w:rFonts w:ascii="宋体" w:hAnsi="宋体" w:cs="宋体"/>
          <w:b/>
          <w:bCs/>
          <w:color w:val="auto"/>
          <w:spacing w:val="26"/>
          <w:sz w:val="104"/>
          <w:szCs w:val="104"/>
          <w:highlight w:val="none"/>
        </w:rPr>
      </w:pPr>
      <w:r>
        <w:rPr>
          <w:rFonts w:hint="eastAsia" w:ascii="宋体" w:hAnsi="宋体" w:cs="宋体"/>
          <w:b/>
          <w:bCs/>
          <w:color w:val="auto"/>
          <w:spacing w:val="26"/>
          <w:sz w:val="72"/>
          <w:szCs w:val="72"/>
          <w:highlight w:val="none"/>
        </w:rPr>
        <w:t>响应文件</w:t>
      </w:r>
    </w:p>
    <w:p w14:paraId="287EE608">
      <w:pPr>
        <w:rPr>
          <w:rFonts w:ascii="宋体" w:hAnsi="宋体" w:cs="宋体"/>
          <w:color w:val="auto"/>
          <w:highlight w:val="none"/>
        </w:rPr>
      </w:pPr>
    </w:p>
    <w:p w14:paraId="0679A541">
      <w:pPr>
        <w:bidi w:val="0"/>
        <w:rPr>
          <w:color w:val="auto"/>
          <w:highlight w:val="none"/>
        </w:rPr>
      </w:pPr>
    </w:p>
    <w:p w14:paraId="404E294B">
      <w:pPr>
        <w:bidi w:val="0"/>
        <w:rPr>
          <w:color w:val="auto"/>
          <w:highlight w:val="none"/>
        </w:rPr>
      </w:pPr>
    </w:p>
    <w:p w14:paraId="42ABF8B3">
      <w:pPr>
        <w:bidi w:val="0"/>
        <w:rPr>
          <w:color w:val="auto"/>
          <w:highlight w:val="none"/>
        </w:rPr>
      </w:pPr>
    </w:p>
    <w:p w14:paraId="0B928FD7">
      <w:pPr>
        <w:bidi w:val="0"/>
        <w:rPr>
          <w:color w:val="auto"/>
          <w:highlight w:val="none"/>
        </w:rPr>
      </w:pPr>
    </w:p>
    <w:p w14:paraId="00CC6036">
      <w:pPr>
        <w:bidi w:val="0"/>
        <w:rPr>
          <w:color w:val="auto"/>
          <w:highlight w:val="none"/>
        </w:rPr>
      </w:pPr>
    </w:p>
    <w:p w14:paraId="646C3269">
      <w:pPr>
        <w:bidi w:val="0"/>
        <w:rPr>
          <w:color w:val="auto"/>
          <w:highlight w:val="none"/>
        </w:rPr>
      </w:pPr>
    </w:p>
    <w:p w14:paraId="0EC2F187">
      <w:pPr>
        <w:bidi w:val="0"/>
        <w:rPr>
          <w:color w:val="auto"/>
          <w:highlight w:val="none"/>
        </w:rPr>
      </w:pPr>
    </w:p>
    <w:p w14:paraId="63FBA027">
      <w:pPr>
        <w:bidi w:val="0"/>
        <w:rPr>
          <w:color w:val="auto"/>
          <w:highlight w:val="none"/>
        </w:rPr>
      </w:pPr>
    </w:p>
    <w:p w14:paraId="39E737FE">
      <w:pPr>
        <w:bidi w:val="0"/>
        <w:rPr>
          <w:color w:val="auto"/>
          <w:highlight w:val="none"/>
        </w:rPr>
      </w:pPr>
    </w:p>
    <w:p w14:paraId="1E40F5DA">
      <w:pPr>
        <w:spacing w:line="480" w:lineRule="auto"/>
        <w:ind w:firstLine="333" w:firstLineChars="100"/>
        <w:rPr>
          <w:rFonts w:ascii="宋体" w:hAnsi="宋体" w:cs="宋体"/>
          <w:b/>
          <w:bCs/>
          <w:color w:val="auto"/>
          <w:spacing w:val="26"/>
          <w:sz w:val="28"/>
          <w:szCs w:val="28"/>
          <w:highlight w:val="none"/>
          <w:u w:val="single"/>
          <w:lang w:val="zh-CN"/>
        </w:rPr>
      </w:pPr>
      <w:r>
        <w:rPr>
          <w:rFonts w:hint="eastAsia" w:ascii="宋体" w:hAnsi="宋体" w:cs="宋体"/>
          <w:b/>
          <w:bCs/>
          <w:color w:val="auto"/>
          <w:spacing w:val="26"/>
          <w:sz w:val="28"/>
          <w:szCs w:val="28"/>
          <w:highlight w:val="none"/>
          <w:lang w:val="zh-CN"/>
        </w:rPr>
        <w:t>项目编号：</w:t>
      </w:r>
      <w:r>
        <w:rPr>
          <w:rFonts w:hint="eastAsia" w:ascii="宋体" w:hAnsi="宋体" w:cs="宋体"/>
          <w:b/>
          <w:bCs/>
          <w:color w:val="auto"/>
          <w:spacing w:val="26"/>
          <w:sz w:val="28"/>
          <w:szCs w:val="28"/>
          <w:highlight w:val="none"/>
          <w:u w:val="single"/>
          <w:lang w:val="zh-CN"/>
        </w:rPr>
        <w:t xml:space="preserve">                  </w:t>
      </w:r>
      <w:r>
        <w:rPr>
          <w:rFonts w:hint="eastAsia" w:ascii="宋体" w:hAnsi="宋体" w:cs="宋体"/>
          <w:b/>
          <w:bCs/>
          <w:color w:val="auto"/>
          <w:spacing w:val="26"/>
          <w:sz w:val="28"/>
          <w:szCs w:val="28"/>
          <w:highlight w:val="none"/>
          <w:u w:val="single"/>
        </w:rPr>
        <w:t xml:space="preserve">           </w:t>
      </w:r>
      <w:r>
        <w:rPr>
          <w:rFonts w:hint="eastAsia" w:ascii="宋体" w:hAnsi="宋体" w:cs="宋体"/>
          <w:b/>
          <w:bCs/>
          <w:color w:val="auto"/>
          <w:spacing w:val="26"/>
          <w:sz w:val="28"/>
          <w:szCs w:val="28"/>
          <w:highlight w:val="none"/>
          <w:u w:val="single"/>
          <w:lang w:val="zh-CN"/>
        </w:rPr>
        <w:t xml:space="preserve">  </w:t>
      </w:r>
    </w:p>
    <w:p w14:paraId="661BEB4C">
      <w:pPr>
        <w:spacing w:line="480" w:lineRule="auto"/>
        <w:ind w:firstLine="333" w:firstLineChars="100"/>
        <w:rPr>
          <w:rFonts w:ascii="宋体" w:hAnsi="宋体" w:cs="宋体"/>
          <w:b/>
          <w:bCs/>
          <w:color w:val="auto"/>
          <w:spacing w:val="26"/>
          <w:sz w:val="28"/>
          <w:szCs w:val="28"/>
          <w:highlight w:val="none"/>
          <w:lang w:val="zh-CN"/>
        </w:rPr>
      </w:pPr>
      <w:r>
        <w:rPr>
          <w:rFonts w:hint="eastAsia" w:ascii="宋体" w:hAnsi="宋体" w:cs="宋体"/>
          <w:b/>
          <w:bCs/>
          <w:color w:val="auto"/>
          <w:spacing w:val="26"/>
          <w:sz w:val="28"/>
          <w:szCs w:val="28"/>
          <w:highlight w:val="none"/>
          <w:lang w:val="zh-CN"/>
        </w:rPr>
        <w:t>供应商（全称）：</w:t>
      </w:r>
      <w:r>
        <w:rPr>
          <w:rFonts w:hint="eastAsia" w:ascii="宋体" w:hAnsi="宋体" w:cs="宋体"/>
          <w:b/>
          <w:bCs/>
          <w:color w:val="auto"/>
          <w:spacing w:val="26"/>
          <w:sz w:val="28"/>
          <w:szCs w:val="28"/>
          <w:highlight w:val="none"/>
          <w:u w:val="single"/>
          <w:lang w:val="zh-CN"/>
        </w:rPr>
        <w:t xml:space="preserve">             </w:t>
      </w:r>
      <w:r>
        <w:rPr>
          <w:rFonts w:hint="eastAsia" w:ascii="宋体" w:hAnsi="宋体" w:cs="宋体"/>
          <w:b/>
          <w:bCs/>
          <w:color w:val="auto"/>
          <w:spacing w:val="26"/>
          <w:sz w:val="28"/>
          <w:szCs w:val="28"/>
          <w:highlight w:val="none"/>
          <w:u w:val="single"/>
        </w:rPr>
        <w:t xml:space="preserve">  </w:t>
      </w:r>
      <w:r>
        <w:rPr>
          <w:rFonts w:hint="eastAsia" w:ascii="宋体" w:hAnsi="宋体" w:cs="宋体"/>
          <w:b/>
          <w:bCs/>
          <w:color w:val="auto"/>
          <w:spacing w:val="26"/>
          <w:sz w:val="28"/>
          <w:szCs w:val="28"/>
          <w:highlight w:val="none"/>
          <w:u w:val="single"/>
          <w:lang w:val="zh-CN"/>
        </w:rPr>
        <w:t xml:space="preserve"> </w:t>
      </w:r>
      <w:r>
        <w:rPr>
          <w:rFonts w:hint="eastAsia" w:ascii="宋体" w:hAnsi="宋体" w:cs="宋体"/>
          <w:b/>
          <w:bCs/>
          <w:color w:val="auto"/>
          <w:spacing w:val="26"/>
          <w:sz w:val="28"/>
          <w:szCs w:val="28"/>
          <w:highlight w:val="none"/>
          <w:u w:val="single"/>
        </w:rPr>
        <w:t xml:space="preserve">   </w:t>
      </w:r>
      <w:r>
        <w:rPr>
          <w:rFonts w:hint="eastAsia" w:ascii="宋体" w:hAnsi="宋体" w:cs="宋体"/>
          <w:b/>
          <w:bCs/>
          <w:color w:val="auto"/>
          <w:spacing w:val="26"/>
          <w:sz w:val="28"/>
          <w:szCs w:val="28"/>
          <w:highlight w:val="none"/>
          <w:u w:val="single"/>
          <w:lang w:val="zh-CN"/>
        </w:rPr>
        <w:t xml:space="preserve"> </w:t>
      </w:r>
      <w:r>
        <w:rPr>
          <w:rFonts w:hint="eastAsia" w:ascii="宋体" w:hAnsi="宋体" w:cs="宋体"/>
          <w:b/>
          <w:bCs/>
          <w:color w:val="auto"/>
          <w:spacing w:val="26"/>
          <w:sz w:val="28"/>
          <w:szCs w:val="28"/>
          <w:highlight w:val="none"/>
          <w:lang w:val="zh-CN"/>
        </w:rPr>
        <w:t>（盖章）</w:t>
      </w:r>
    </w:p>
    <w:p w14:paraId="06F82860">
      <w:pPr>
        <w:spacing w:line="480" w:lineRule="auto"/>
        <w:ind w:firstLine="303" w:firstLineChars="100"/>
        <w:rPr>
          <w:rFonts w:ascii="宋体" w:hAnsi="宋体" w:cs="宋体"/>
          <w:b/>
          <w:bCs/>
          <w:color w:val="auto"/>
          <w:spacing w:val="26"/>
          <w:sz w:val="28"/>
          <w:szCs w:val="28"/>
          <w:highlight w:val="none"/>
          <w:lang w:val="zh-CN"/>
        </w:rPr>
      </w:pPr>
      <w:r>
        <w:rPr>
          <w:rFonts w:hint="eastAsia" w:ascii="宋体" w:hAnsi="宋体" w:cs="宋体"/>
          <w:b/>
          <w:bCs/>
          <w:color w:val="auto"/>
          <w:spacing w:val="11"/>
          <w:sz w:val="28"/>
          <w:szCs w:val="28"/>
          <w:highlight w:val="none"/>
          <w:lang w:val="zh-CN"/>
        </w:rPr>
        <w:t>法定代表人或</w:t>
      </w:r>
      <w:r>
        <w:rPr>
          <w:rFonts w:hint="eastAsia" w:ascii="宋体" w:hAnsi="宋体" w:cs="宋体"/>
          <w:b/>
          <w:bCs/>
          <w:color w:val="auto"/>
          <w:spacing w:val="11"/>
          <w:sz w:val="28"/>
          <w:szCs w:val="28"/>
          <w:highlight w:val="none"/>
        </w:rPr>
        <w:t>其法人</w:t>
      </w:r>
      <w:r>
        <w:rPr>
          <w:rFonts w:hint="eastAsia" w:ascii="宋体" w:hAnsi="宋体" w:cs="宋体"/>
          <w:b/>
          <w:bCs/>
          <w:color w:val="auto"/>
          <w:spacing w:val="11"/>
          <w:sz w:val="28"/>
          <w:szCs w:val="28"/>
          <w:highlight w:val="none"/>
          <w:lang w:val="zh-CN"/>
        </w:rPr>
        <w:t>授权委托人</w:t>
      </w:r>
      <w:r>
        <w:rPr>
          <w:rFonts w:hint="eastAsia" w:ascii="宋体" w:hAnsi="宋体" w:cs="宋体"/>
          <w:b/>
          <w:bCs/>
          <w:color w:val="auto"/>
          <w:spacing w:val="26"/>
          <w:sz w:val="28"/>
          <w:szCs w:val="28"/>
          <w:highlight w:val="none"/>
          <w:lang w:val="zh-CN"/>
        </w:rPr>
        <w:t>：</w:t>
      </w:r>
      <w:r>
        <w:rPr>
          <w:rFonts w:hint="eastAsia" w:ascii="宋体" w:hAnsi="宋体" w:cs="宋体"/>
          <w:b/>
          <w:bCs/>
          <w:color w:val="auto"/>
          <w:spacing w:val="26"/>
          <w:sz w:val="28"/>
          <w:szCs w:val="28"/>
          <w:highlight w:val="none"/>
          <w:u w:val="single"/>
          <w:lang w:val="zh-CN"/>
        </w:rPr>
        <w:t xml:space="preserve">     </w:t>
      </w:r>
      <w:r>
        <w:rPr>
          <w:rFonts w:hint="eastAsia" w:ascii="宋体" w:hAnsi="宋体" w:cs="宋体"/>
          <w:b/>
          <w:bCs/>
          <w:color w:val="auto"/>
          <w:spacing w:val="26"/>
          <w:sz w:val="28"/>
          <w:szCs w:val="28"/>
          <w:highlight w:val="none"/>
          <w:lang w:val="zh-CN"/>
        </w:rPr>
        <w:t>（签字或盖章）</w:t>
      </w:r>
    </w:p>
    <w:p w14:paraId="0B46985E">
      <w:pPr>
        <w:spacing w:line="480" w:lineRule="auto"/>
        <w:ind w:firstLine="333" w:firstLineChars="100"/>
        <w:rPr>
          <w:rFonts w:ascii="宋体" w:hAnsi="宋体" w:cs="宋体"/>
          <w:b/>
          <w:bCs/>
          <w:color w:val="auto"/>
          <w:spacing w:val="26"/>
          <w:sz w:val="28"/>
          <w:szCs w:val="28"/>
          <w:highlight w:val="none"/>
          <w:u w:val="single"/>
        </w:rPr>
      </w:pPr>
      <w:r>
        <w:rPr>
          <w:rFonts w:hint="eastAsia" w:ascii="宋体" w:hAnsi="宋体" w:cs="宋体"/>
          <w:b/>
          <w:bCs/>
          <w:color w:val="auto"/>
          <w:spacing w:val="26"/>
          <w:sz w:val="28"/>
          <w:szCs w:val="28"/>
          <w:highlight w:val="none"/>
        </w:rPr>
        <w:t>地址：</w:t>
      </w:r>
      <w:r>
        <w:rPr>
          <w:rFonts w:hint="eastAsia" w:ascii="宋体" w:hAnsi="宋体" w:cs="宋体"/>
          <w:b/>
          <w:bCs/>
          <w:color w:val="auto"/>
          <w:spacing w:val="26"/>
          <w:sz w:val="28"/>
          <w:szCs w:val="28"/>
          <w:highlight w:val="none"/>
          <w:u w:val="single"/>
        </w:rPr>
        <w:t xml:space="preserve">                                  </w:t>
      </w:r>
    </w:p>
    <w:p w14:paraId="05C50897">
      <w:pPr>
        <w:spacing w:line="480" w:lineRule="auto"/>
        <w:ind w:firstLine="333" w:firstLineChars="100"/>
        <w:rPr>
          <w:rFonts w:ascii="宋体" w:hAnsi="宋体" w:cs="宋体"/>
          <w:b/>
          <w:bCs/>
          <w:color w:val="auto"/>
          <w:spacing w:val="26"/>
          <w:sz w:val="28"/>
          <w:szCs w:val="28"/>
          <w:highlight w:val="none"/>
          <w:lang w:val="zh-CN"/>
        </w:rPr>
      </w:pPr>
      <w:r>
        <w:rPr>
          <w:rFonts w:hint="eastAsia" w:ascii="宋体" w:hAnsi="宋体" w:cs="宋体"/>
          <w:b/>
          <w:bCs/>
          <w:color w:val="auto"/>
          <w:spacing w:val="26"/>
          <w:sz w:val="28"/>
          <w:szCs w:val="28"/>
          <w:highlight w:val="none"/>
          <w:lang w:val="zh-CN"/>
        </w:rPr>
        <w:t>联系人：</w:t>
      </w:r>
      <w:r>
        <w:rPr>
          <w:rFonts w:hint="eastAsia" w:ascii="宋体" w:hAnsi="宋体" w:cs="宋体"/>
          <w:b/>
          <w:bCs/>
          <w:color w:val="auto"/>
          <w:spacing w:val="26"/>
          <w:sz w:val="28"/>
          <w:szCs w:val="28"/>
          <w:highlight w:val="none"/>
          <w:u w:val="single"/>
          <w:lang w:val="zh-CN"/>
        </w:rPr>
        <w:t xml:space="preserve">      </w:t>
      </w:r>
      <w:r>
        <w:rPr>
          <w:rFonts w:hint="eastAsia" w:ascii="宋体" w:hAnsi="宋体" w:cs="宋体"/>
          <w:b/>
          <w:bCs/>
          <w:color w:val="auto"/>
          <w:spacing w:val="26"/>
          <w:sz w:val="28"/>
          <w:szCs w:val="28"/>
          <w:highlight w:val="none"/>
          <w:u w:val="single"/>
        </w:rPr>
        <w:t xml:space="preserve">   </w:t>
      </w:r>
      <w:r>
        <w:rPr>
          <w:rFonts w:hint="eastAsia" w:ascii="宋体" w:hAnsi="宋体" w:cs="宋体"/>
          <w:b/>
          <w:bCs/>
          <w:color w:val="auto"/>
          <w:spacing w:val="26"/>
          <w:sz w:val="28"/>
          <w:szCs w:val="28"/>
          <w:highlight w:val="none"/>
          <w:u w:val="single"/>
          <w:lang w:val="zh-CN"/>
        </w:rPr>
        <w:t xml:space="preserve"> </w:t>
      </w:r>
      <w:r>
        <w:rPr>
          <w:rFonts w:hint="eastAsia" w:ascii="宋体" w:hAnsi="宋体" w:cs="宋体"/>
          <w:b/>
          <w:bCs/>
          <w:color w:val="auto"/>
          <w:spacing w:val="26"/>
          <w:sz w:val="28"/>
          <w:szCs w:val="28"/>
          <w:highlight w:val="none"/>
        </w:rPr>
        <w:t xml:space="preserve">  </w:t>
      </w:r>
      <w:r>
        <w:rPr>
          <w:rFonts w:hint="eastAsia" w:ascii="宋体" w:hAnsi="宋体" w:cs="宋体"/>
          <w:b/>
          <w:bCs/>
          <w:color w:val="auto"/>
          <w:spacing w:val="26"/>
          <w:sz w:val="28"/>
          <w:szCs w:val="28"/>
          <w:highlight w:val="none"/>
          <w:lang w:val="zh-CN"/>
        </w:rPr>
        <w:t>联系电话</w:t>
      </w:r>
      <w:r>
        <w:rPr>
          <w:rFonts w:hint="eastAsia" w:ascii="宋体" w:hAnsi="宋体" w:cs="宋体"/>
          <w:b/>
          <w:bCs/>
          <w:color w:val="auto"/>
          <w:spacing w:val="26"/>
          <w:sz w:val="28"/>
          <w:szCs w:val="28"/>
          <w:highlight w:val="none"/>
        </w:rPr>
        <w:t>：</w:t>
      </w:r>
      <w:r>
        <w:rPr>
          <w:rFonts w:hint="eastAsia" w:ascii="宋体" w:hAnsi="宋体" w:cs="宋体"/>
          <w:b/>
          <w:bCs/>
          <w:color w:val="auto"/>
          <w:spacing w:val="26"/>
          <w:sz w:val="28"/>
          <w:szCs w:val="28"/>
          <w:highlight w:val="none"/>
          <w:u w:val="single"/>
        </w:rPr>
        <w:t xml:space="preserve">         </w:t>
      </w:r>
      <w:r>
        <w:rPr>
          <w:rFonts w:hint="eastAsia" w:ascii="宋体" w:hAnsi="宋体" w:cs="宋体"/>
          <w:b/>
          <w:bCs/>
          <w:color w:val="auto"/>
          <w:spacing w:val="26"/>
          <w:sz w:val="28"/>
          <w:szCs w:val="28"/>
          <w:highlight w:val="none"/>
          <w:u w:val="single"/>
          <w:lang w:val="zh-CN"/>
        </w:rPr>
        <w:t xml:space="preserve">  </w:t>
      </w:r>
      <w:r>
        <w:rPr>
          <w:rFonts w:hint="eastAsia" w:ascii="宋体" w:hAnsi="宋体" w:cs="宋体"/>
          <w:b/>
          <w:bCs/>
          <w:color w:val="auto"/>
          <w:spacing w:val="26"/>
          <w:sz w:val="28"/>
          <w:szCs w:val="28"/>
          <w:highlight w:val="none"/>
          <w:u w:val="single"/>
        </w:rPr>
        <w:t xml:space="preserve"> </w:t>
      </w:r>
    </w:p>
    <w:p w14:paraId="1DB57420">
      <w:pPr>
        <w:spacing w:line="480" w:lineRule="auto"/>
        <w:ind w:firstLine="2332" w:firstLineChars="700"/>
        <w:rPr>
          <w:rFonts w:hint="eastAsia" w:ascii="宋体" w:hAnsi="宋体" w:cs="宋体"/>
          <w:b/>
          <w:bCs/>
          <w:color w:val="auto"/>
          <w:spacing w:val="26"/>
          <w:sz w:val="28"/>
          <w:szCs w:val="28"/>
          <w:highlight w:val="none"/>
          <w:lang w:val="zh-CN"/>
        </w:rPr>
        <w:sectPr>
          <w:footerReference r:id="rId12" w:type="first"/>
          <w:headerReference r:id="rId10" w:type="default"/>
          <w:footerReference r:id="rId11" w:type="default"/>
          <w:pgSz w:w="11906" w:h="16838"/>
          <w:pgMar w:top="1440" w:right="1800" w:bottom="1440" w:left="1800" w:header="851" w:footer="992" w:gutter="0"/>
          <w:pgNumType w:fmt="decimal"/>
          <w:cols w:space="720" w:num="1"/>
          <w:titlePg/>
          <w:docGrid w:type="lines" w:linePitch="312" w:charSpace="0"/>
        </w:sectPr>
      </w:pPr>
      <w:r>
        <w:rPr>
          <w:rFonts w:hint="eastAsia" w:ascii="宋体" w:hAnsi="宋体" w:cs="宋体"/>
          <w:b/>
          <w:bCs/>
          <w:color w:val="auto"/>
          <w:spacing w:val="26"/>
          <w:sz w:val="28"/>
          <w:szCs w:val="28"/>
          <w:highlight w:val="none"/>
          <w:u w:val="single"/>
        </w:rPr>
        <w:t xml:space="preserve">     </w:t>
      </w:r>
      <w:r>
        <w:rPr>
          <w:rFonts w:hint="eastAsia" w:ascii="宋体" w:hAnsi="宋体" w:cs="宋体"/>
          <w:b/>
          <w:bCs/>
          <w:color w:val="auto"/>
          <w:spacing w:val="26"/>
          <w:sz w:val="28"/>
          <w:szCs w:val="28"/>
          <w:highlight w:val="none"/>
          <w:lang w:val="zh-CN"/>
        </w:rPr>
        <w:t>年</w:t>
      </w:r>
      <w:r>
        <w:rPr>
          <w:rFonts w:hint="eastAsia" w:ascii="宋体" w:hAnsi="宋体" w:cs="宋体"/>
          <w:b/>
          <w:bCs/>
          <w:color w:val="auto"/>
          <w:spacing w:val="26"/>
          <w:sz w:val="28"/>
          <w:szCs w:val="28"/>
          <w:highlight w:val="none"/>
          <w:u w:val="single"/>
        </w:rPr>
        <w:t xml:space="preserve">     </w:t>
      </w:r>
      <w:r>
        <w:rPr>
          <w:rFonts w:hint="eastAsia" w:ascii="宋体" w:hAnsi="宋体" w:cs="宋体"/>
          <w:b/>
          <w:bCs/>
          <w:color w:val="auto"/>
          <w:spacing w:val="26"/>
          <w:sz w:val="28"/>
          <w:szCs w:val="28"/>
          <w:highlight w:val="none"/>
          <w:lang w:val="zh-CN"/>
        </w:rPr>
        <w:t>月</w:t>
      </w:r>
      <w:r>
        <w:rPr>
          <w:rFonts w:hint="eastAsia" w:ascii="宋体" w:hAnsi="宋体" w:cs="宋体"/>
          <w:b/>
          <w:bCs/>
          <w:color w:val="auto"/>
          <w:spacing w:val="26"/>
          <w:sz w:val="28"/>
          <w:szCs w:val="28"/>
          <w:highlight w:val="none"/>
          <w:u w:val="single"/>
        </w:rPr>
        <w:t xml:space="preserve">     </w:t>
      </w:r>
      <w:r>
        <w:rPr>
          <w:rFonts w:hint="eastAsia" w:ascii="宋体" w:hAnsi="宋体" w:cs="宋体"/>
          <w:b/>
          <w:bCs/>
          <w:color w:val="auto"/>
          <w:spacing w:val="26"/>
          <w:sz w:val="28"/>
          <w:szCs w:val="28"/>
          <w:highlight w:val="none"/>
          <w:lang w:val="zh-CN"/>
        </w:rPr>
        <w:t>日</w:t>
      </w:r>
    </w:p>
    <w:p w14:paraId="642FE375">
      <w:pPr>
        <w:jc w:val="center"/>
        <w:rPr>
          <w:rFonts w:ascii="宋体" w:hAnsi="宋体" w:cs="宋体"/>
          <w:b/>
          <w:bCs/>
          <w:color w:val="auto"/>
          <w:sz w:val="36"/>
          <w:szCs w:val="32"/>
          <w:highlight w:val="none"/>
        </w:rPr>
      </w:pPr>
      <w:r>
        <w:rPr>
          <w:rFonts w:hint="eastAsia" w:ascii="宋体" w:hAnsi="宋体" w:cs="宋体"/>
          <w:b/>
          <w:bCs/>
          <w:color w:val="auto"/>
          <w:sz w:val="36"/>
          <w:szCs w:val="32"/>
          <w:highlight w:val="none"/>
        </w:rPr>
        <w:t>目  录</w:t>
      </w:r>
    </w:p>
    <w:p w14:paraId="52FDD2AD">
      <w:pPr>
        <w:rPr>
          <w:color w:val="auto"/>
          <w:highlight w:val="none"/>
        </w:rPr>
      </w:pPr>
    </w:p>
    <w:p w14:paraId="05D5B677">
      <w:pPr>
        <w:jc w:val="center"/>
        <w:rPr>
          <w:b/>
          <w:bCs/>
          <w:color w:val="auto"/>
          <w:sz w:val="28"/>
          <w:szCs w:val="24"/>
          <w:highlight w:val="none"/>
        </w:rPr>
      </w:pPr>
      <w:r>
        <w:rPr>
          <w:rFonts w:hint="eastAsia" w:ascii="宋体" w:hAnsi="宋体" w:cs="宋体"/>
          <w:b/>
          <w:bCs/>
          <w:color w:val="auto"/>
          <w:sz w:val="28"/>
          <w:szCs w:val="24"/>
          <w:highlight w:val="none"/>
        </w:rPr>
        <w:t>【供应商根据本项目竞争性磋商文件格式要求自行编制目录】</w:t>
      </w:r>
    </w:p>
    <w:p w14:paraId="02870C04">
      <w:pPr>
        <w:pStyle w:val="3"/>
        <w:spacing w:line="500" w:lineRule="exact"/>
        <w:rPr>
          <w:rFonts w:ascii="宋体" w:hAnsi="宋体" w:cs="宋体"/>
          <w:b w:val="0"/>
          <w:bCs w:val="0"/>
          <w:color w:val="auto"/>
          <w:szCs w:val="24"/>
          <w:highlight w:val="none"/>
        </w:rPr>
        <w:sectPr>
          <w:headerReference r:id="rId13" w:type="default"/>
          <w:footerReference r:id="rId14" w:type="default"/>
          <w:pgSz w:w="11906" w:h="16838"/>
          <w:pgMar w:top="1440" w:right="1800" w:bottom="1440" w:left="1800" w:header="1191" w:footer="1134" w:gutter="0"/>
          <w:pgNumType w:fmt="decimal"/>
          <w:cols w:space="720" w:num="1"/>
          <w:docGrid w:type="lines" w:linePitch="312" w:charSpace="0"/>
        </w:sectPr>
      </w:pPr>
      <w:bookmarkStart w:id="457" w:name="_Toc6222"/>
      <w:bookmarkStart w:id="458" w:name="_Toc29477"/>
      <w:bookmarkStart w:id="459" w:name="_Toc321812078"/>
      <w:bookmarkStart w:id="460" w:name="_Toc324947078"/>
      <w:bookmarkStart w:id="461" w:name="_Toc11123"/>
      <w:bookmarkStart w:id="462" w:name="_Toc27937"/>
      <w:bookmarkStart w:id="463" w:name="_Toc31996"/>
      <w:bookmarkStart w:id="464" w:name="_Toc8967"/>
      <w:bookmarkStart w:id="465" w:name="_Toc9295"/>
      <w:bookmarkStart w:id="466" w:name="_Toc16878"/>
      <w:bookmarkStart w:id="467" w:name="_Toc26791"/>
    </w:p>
    <w:bookmarkEnd w:id="457"/>
    <w:bookmarkEnd w:id="458"/>
    <w:bookmarkEnd w:id="459"/>
    <w:bookmarkEnd w:id="460"/>
    <w:bookmarkEnd w:id="461"/>
    <w:bookmarkEnd w:id="462"/>
    <w:bookmarkEnd w:id="463"/>
    <w:bookmarkEnd w:id="464"/>
    <w:bookmarkEnd w:id="465"/>
    <w:bookmarkEnd w:id="466"/>
    <w:bookmarkEnd w:id="467"/>
    <w:p w14:paraId="2E85B45F">
      <w:pPr>
        <w:adjustRightInd w:val="0"/>
        <w:snapToGrid w:val="0"/>
        <w:spacing w:line="360" w:lineRule="auto"/>
        <w:jc w:val="center"/>
        <w:outlineLvl w:val="9"/>
        <w:rPr>
          <w:rFonts w:hint="eastAsia" w:ascii="宋体" w:hAnsi="宋体"/>
          <w:b/>
          <w:color w:val="auto"/>
          <w:sz w:val="36"/>
          <w:szCs w:val="36"/>
          <w:highlight w:val="none"/>
        </w:rPr>
      </w:pPr>
      <w:bookmarkStart w:id="468" w:name="_Toc10563645"/>
      <w:bookmarkStart w:id="469" w:name="_Toc10563606"/>
      <w:bookmarkStart w:id="470" w:name="_Toc12377630"/>
      <w:bookmarkStart w:id="471" w:name="_Toc19858"/>
      <w:bookmarkStart w:id="472" w:name="_Toc10563646"/>
      <w:bookmarkStart w:id="473" w:name="_Toc10563607"/>
      <w:bookmarkStart w:id="474" w:name="_Toc12377631"/>
      <w:bookmarkStart w:id="475" w:name="_Toc47262069"/>
      <w:bookmarkStart w:id="476" w:name="_Toc49019497"/>
      <w:bookmarkStart w:id="477" w:name="_Toc48995851"/>
      <w:bookmarkStart w:id="478" w:name="_Toc47418255"/>
      <w:bookmarkStart w:id="479" w:name="_Toc48791235"/>
      <w:bookmarkStart w:id="480" w:name="_Toc188808839"/>
      <w:bookmarkStart w:id="481" w:name="_Toc49019236"/>
      <w:bookmarkStart w:id="482" w:name="_Toc193126888"/>
      <w:bookmarkStart w:id="483" w:name="_Toc47418938"/>
      <w:bookmarkStart w:id="484" w:name="_Toc47418731"/>
      <w:bookmarkStart w:id="485" w:name="_Toc47261690"/>
      <w:bookmarkStart w:id="486" w:name="_Toc193187104"/>
      <w:bookmarkStart w:id="487" w:name="_Toc194663925"/>
      <w:bookmarkStart w:id="488" w:name="_Toc47261885"/>
      <w:r>
        <w:rPr>
          <w:rFonts w:hint="eastAsia" w:ascii="宋体" w:hAnsi="宋体"/>
          <w:b/>
          <w:color w:val="auto"/>
          <w:sz w:val="32"/>
          <w:szCs w:val="32"/>
          <w:highlight w:val="none"/>
          <w:lang w:val="en-US" w:eastAsia="zh-CN"/>
        </w:rPr>
        <w:t>1.</w:t>
      </w:r>
      <w:r>
        <w:rPr>
          <w:rFonts w:hint="eastAsia" w:ascii="宋体" w:hAnsi="宋体"/>
          <w:b/>
          <w:color w:val="auto"/>
          <w:sz w:val="32"/>
          <w:szCs w:val="32"/>
          <w:highlight w:val="none"/>
        </w:rPr>
        <w:t>磋商函</w:t>
      </w:r>
      <w:bookmarkEnd w:id="468"/>
      <w:bookmarkEnd w:id="469"/>
      <w:bookmarkEnd w:id="470"/>
    </w:p>
    <w:p w14:paraId="206F6E2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u w:val="single"/>
          <w:lang w:val="en-US" w:eastAsia="zh-CN"/>
        </w:rPr>
        <w:t xml:space="preserve">  </w:t>
      </w:r>
      <w:r>
        <w:rPr>
          <w:rFonts w:hint="eastAsia" w:ascii="宋体" w:hAnsi="宋体"/>
          <w:b/>
          <w:bCs/>
          <w:color w:val="auto"/>
          <w:sz w:val="24"/>
          <w:szCs w:val="24"/>
          <w:highlight w:val="none"/>
          <w:u w:val="single"/>
        </w:rPr>
        <w:t xml:space="preserve">（采购人名称）   </w:t>
      </w:r>
      <w:r>
        <w:rPr>
          <w:rFonts w:hint="eastAsia" w:ascii="宋体" w:hAnsi="宋体"/>
          <w:b/>
          <w:bCs/>
          <w:color w:val="auto"/>
          <w:sz w:val="24"/>
          <w:szCs w:val="24"/>
          <w:highlight w:val="none"/>
        </w:rPr>
        <w:t>：</w:t>
      </w:r>
    </w:p>
    <w:p w14:paraId="57188C9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szCs w:val="24"/>
          <w:highlight w:val="none"/>
        </w:rPr>
      </w:pPr>
      <w:r>
        <w:rPr>
          <w:rFonts w:hint="eastAsia" w:ascii="宋体" w:hAnsi="宋体" w:cs="宋体"/>
          <w:bCs/>
          <w:color w:val="auto"/>
          <w:sz w:val="24"/>
          <w:highlight w:val="none"/>
        </w:rPr>
        <w:t>我方收到</w:t>
      </w:r>
      <w:r>
        <w:rPr>
          <w:rFonts w:hint="eastAsia" w:ascii="宋体" w:hAnsi="宋体" w:cs="宋体"/>
          <w:bCs/>
          <w:color w:val="auto"/>
          <w:sz w:val="24"/>
          <w:highlight w:val="none"/>
          <w:u w:val="single"/>
        </w:rPr>
        <w:t xml:space="preserve">  （项目名称：    项目编号： ）  </w:t>
      </w:r>
      <w:r>
        <w:rPr>
          <w:rFonts w:hint="eastAsia" w:ascii="宋体" w:hAnsi="宋体"/>
          <w:color w:val="auto"/>
          <w:sz w:val="24"/>
          <w:szCs w:val="24"/>
          <w:highlight w:val="none"/>
        </w:rPr>
        <w:t>竞争性磋商文件，</w:t>
      </w:r>
      <w:r>
        <w:rPr>
          <w:rFonts w:hint="eastAsia" w:ascii="宋体" w:hAnsi="宋体" w:cs="宋体"/>
          <w:bCs/>
          <w:color w:val="auto"/>
          <w:sz w:val="24"/>
          <w:highlight w:val="none"/>
        </w:rPr>
        <w:t>经我公司详细研究，我公司决定参加本项目的磋商活动。为此，我方郑重声明以下诸点，并愿意承担相应的法律责任。</w:t>
      </w:r>
    </w:p>
    <w:p w14:paraId="678C343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1.我方愿意按照竞争性磋商文件中的一切要求，提供相应货物及服务，完成合同的责任和义务。</w:t>
      </w:r>
    </w:p>
    <w:p w14:paraId="0EBF58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s="宋体"/>
          <w:bCs/>
          <w:color w:val="auto"/>
          <w:sz w:val="24"/>
          <w:highlight w:val="none"/>
        </w:rPr>
        <w:t>我方已详细阅读了本项目竞争性磋商文件，完全理解并同意放弃提出含糊不清和误解问题的权力。</w:t>
      </w:r>
    </w:p>
    <w:p w14:paraId="6C7EB87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cs="宋体"/>
          <w:bCs/>
          <w:color w:val="auto"/>
          <w:sz w:val="24"/>
          <w:highlight w:val="none"/>
        </w:rPr>
        <w:t>如果我方在开标后到规定的磋商有效期内撤回响应文件及承诺，我方的保证金将被贵方没收。</w:t>
      </w:r>
    </w:p>
    <w:p w14:paraId="49852A1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olor w:val="auto"/>
          <w:sz w:val="24"/>
          <w:szCs w:val="24"/>
          <w:highlight w:val="none"/>
        </w:rPr>
        <w:t>4.</w:t>
      </w:r>
      <w:r>
        <w:rPr>
          <w:rFonts w:hint="eastAsia" w:ascii="宋体" w:hAnsi="宋体" w:cs="宋体"/>
          <w:bCs/>
          <w:color w:val="auto"/>
          <w:sz w:val="24"/>
          <w:highlight w:val="none"/>
        </w:rPr>
        <w:t>我方同意向贵方提供可能要求的、与本次磋商有关的任何证据资料。</w:t>
      </w:r>
    </w:p>
    <w:p w14:paraId="1F6AD59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5.我方的响应文件在响应文件递交截止时间之日起</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90</w:t>
      </w:r>
      <w:r>
        <w:rPr>
          <w:rFonts w:ascii="宋体" w:hAnsi="宋体" w:cs="宋体"/>
          <w:bCs/>
          <w:color w:val="auto"/>
          <w:sz w:val="24"/>
          <w:highlight w:val="none"/>
          <w:u w:val="single"/>
        </w:rPr>
        <w:t xml:space="preserve"> </w:t>
      </w:r>
      <w:r>
        <w:rPr>
          <w:rFonts w:hint="eastAsia" w:ascii="宋体" w:hAnsi="宋体" w:cs="宋体"/>
          <w:bCs/>
          <w:color w:val="auto"/>
          <w:sz w:val="24"/>
          <w:highlight w:val="none"/>
        </w:rPr>
        <w:t>天有效。</w:t>
      </w:r>
    </w:p>
    <w:p w14:paraId="3EE0EF0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6.如果我方一旦中标，我方将保证按竞争性磋商文件要求完成全部内容，且</w:t>
      </w:r>
      <w:r>
        <w:rPr>
          <w:rFonts w:hint="eastAsia" w:ascii="宋体" w:hAnsi="宋体" w:cs="宋体"/>
          <w:color w:val="auto"/>
          <w:sz w:val="24"/>
          <w:szCs w:val="24"/>
          <w:highlight w:val="none"/>
        </w:rPr>
        <w:t>质量达到现行合格标准，符合国家、行业、地方规定以及竞争性磋商文件规定标准要求，并在领取成交通知书时提供符合采购代理机构要求的响应文件。</w:t>
      </w:r>
    </w:p>
    <w:p w14:paraId="726C9BBC">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b/>
          <w:color w:val="auto"/>
          <w:highlight w:val="none"/>
        </w:rPr>
      </w:pPr>
      <w:r>
        <w:rPr>
          <w:rFonts w:hint="eastAsia" w:ascii="宋体" w:hAnsi="宋体" w:cs="宋体"/>
          <w:b/>
          <w:color w:val="auto"/>
          <w:sz w:val="24"/>
          <w:highlight w:val="none"/>
        </w:rPr>
        <w:t>7.我方完全接受并响应竞争性磋商文件、答疑文件、评审办法、采购预算及限价等关于本项目相关文件的要求，严格遵守开标过程的时间安排、程序安排等细节，对此无任何异议。但我单位所编制的响应文件如未按照竞争性磋商文件特别要求逐条明确响应或提供相关证明材料编制响应文件的，我方自愿被按照无效磋商处理。</w:t>
      </w:r>
    </w:p>
    <w:p w14:paraId="08AEE71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8.所有关于本响应文件的函电，请按下列地址联系：</w:t>
      </w:r>
    </w:p>
    <w:p w14:paraId="7E81933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供应商：</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（盖章）</w:t>
      </w:r>
    </w:p>
    <w:p w14:paraId="3B8D520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bCs/>
          <w:color w:val="auto"/>
          <w:sz w:val="24"/>
          <w:highlight w:val="none"/>
        </w:rPr>
      </w:pPr>
      <w:r>
        <w:rPr>
          <w:rFonts w:hint="eastAsia" w:ascii="宋体" w:hAnsi="宋体"/>
          <w:color w:val="auto"/>
          <w:sz w:val="24"/>
          <w:szCs w:val="24"/>
          <w:highlight w:val="none"/>
        </w:rPr>
        <w:t>法定代表人或被授权人：</w:t>
      </w:r>
      <w:r>
        <w:rPr>
          <w:rFonts w:hint="eastAsia" w:ascii="宋体" w:hAnsi="宋体"/>
          <w:color w:val="auto"/>
          <w:sz w:val="24"/>
          <w:szCs w:val="24"/>
          <w:highlight w:val="none"/>
          <w:u w:val="single"/>
        </w:rPr>
        <w:t xml:space="preserve">          </w:t>
      </w:r>
      <w:r>
        <w:rPr>
          <w:rFonts w:hint="eastAsia" w:ascii="宋体" w:hAnsi="宋体" w:cs="宋体"/>
          <w:bCs/>
          <w:color w:val="auto"/>
          <w:sz w:val="24"/>
          <w:highlight w:val="none"/>
        </w:rPr>
        <w:t>（签字或盖章）</w:t>
      </w:r>
    </w:p>
    <w:p w14:paraId="42EAEF5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u w:val="single"/>
        </w:rPr>
      </w:pPr>
      <w:r>
        <w:rPr>
          <w:rFonts w:hint="eastAsia" w:ascii="宋体" w:hAnsi="宋体"/>
          <w:color w:val="auto"/>
          <w:sz w:val="24"/>
          <w:szCs w:val="24"/>
          <w:highlight w:val="none"/>
        </w:rPr>
        <w:t>地    址：</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p>
    <w:p w14:paraId="0E3DFF7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u w:val="single"/>
        </w:rPr>
      </w:pPr>
      <w:r>
        <w:rPr>
          <w:rFonts w:hint="eastAsia" w:ascii="宋体" w:hAnsi="宋体"/>
          <w:color w:val="auto"/>
          <w:sz w:val="24"/>
          <w:szCs w:val="24"/>
          <w:highlight w:val="none"/>
        </w:rPr>
        <w:t>开户银行：</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p>
    <w:p w14:paraId="1F78C6C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账    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p>
    <w:p w14:paraId="4A3EE46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电    话：</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p>
    <w:p w14:paraId="6BC2986D">
      <w:pPr>
        <w:keepNext w:val="0"/>
        <w:keepLines w:val="0"/>
        <w:pageBreakBefore w:val="0"/>
        <w:widowControl w:val="0"/>
        <w:kinsoku/>
        <w:wordWrap/>
        <w:overflowPunct/>
        <w:topLinePunct w:val="0"/>
        <w:autoSpaceDE/>
        <w:autoSpaceDN/>
        <w:bidi w:val="0"/>
        <w:adjustRightInd w:val="0"/>
        <w:snapToGrid w:val="0"/>
        <w:spacing w:line="360" w:lineRule="auto"/>
        <w:ind w:firstLine="3360" w:firstLineChars="1400"/>
        <w:jc w:val="both"/>
        <w:textAlignment w:val="auto"/>
        <w:rPr>
          <w:rFonts w:hint="eastAsia" w:ascii="宋体" w:hAnsi="宋体"/>
          <w:color w:val="auto"/>
          <w:sz w:val="24"/>
          <w:szCs w:val="24"/>
          <w:highlight w:val="none"/>
        </w:rPr>
        <w:sectPr>
          <w:pgSz w:w="11906" w:h="16838"/>
          <w:pgMar w:top="1440" w:right="1800" w:bottom="1440" w:left="1800" w:header="1191" w:footer="1134" w:gutter="0"/>
          <w:pgNumType w:fmt="decimal"/>
          <w:cols w:space="720" w:num="1"/>
          <w:docGrid w:type="lines" w:linePitch="312" w:charSpace="0"/>
        </w:sect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bookmarkEnd w:id="471"/>
    <w:bookmarkEnd w:id="472"/>
    <w:bookmarkEnd w:id="473"/>
    <w:bookmarkEnd w:id="474"/>
    <w:p w14:paraId="770D0873">
      <w:pPr>
        <w:bidi w:val="0"/>
        <w:spacing w:line="600" w:lineRule="auto"/>
        <w:jc w:val="center"/>
        <w:rPr>
          <w:rFonts w:hint="eastAsia"/>
          <w:b/>
          <w:bCs/>
          <w:sz w:val="32"/>
          <w:szCs w:val="28"/>
          <w:highlight w:val="none"/>
        </w:rPr>
      </w:pPr>
      <w:r>
        <w:rPr>
          <w:rFonts w:hint="eastAsia" w:ascii="宋体" w:hAnsi="宋体" w:eastAsia="宋体" w:cs="Times New Roman"/>
          <w:b/>
          <w:color w:val="auto"/>
          <w:sz w:val="32"/>
          <w:szCs w:val="32"/>
          <w:highlight w:val="none"/>
          <w:lang w:val="en-US" w:eastAsia="zh-CN"/>
        </w:rPr>
        <w:t>2.磋商一</w:t>
      </w:r>
      <w:r>
        <w:rPr>
          <w:rFonts w:hint="eastAsia"/>
          <w:b/>
          <w:bCs/>
          <w:sz w:val="32"/>
          <w:szCs w:val="28"/>
          <w:highlight w:val="none"/>
        </w:rPr>
        <w:t>次报价表</w:t>
      </w:r>
    </w:p>
    <w:p w14:paraId="2C48A2DD">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项目名称：</w:t>
      </w:r>
      <w:r>
        <w:rPr>
          <w:rFonts w:hint="eastAsia" w:ascii="宋体" w:hAnsi="宋体"/>
          <w:bCs/>
          <w:color w:val="auto"/>
          <w:sz w:val="24"/>
          <w:szCs w:val="24"/>
          <w:highlight w:val="none"/>
          <w:u w:val="single"/>
        </w:rPr>
        <w:t xml:space="preserve">                       </w:t>
      </w:r>
    </w:p>
    <w:p w14:paraId="481B5251">
      <w:pPr>
        <w:spacing w:line="360" w:lineRule="auto"/>
        <w:rPr>
          <w:rFonts w:hint="eastAsia" w:ascii="宋体" w:hAnsi="宋体"/>
          <w:bCs/>
          <w:color w:val="auto"/>
          <w:sz w:val="24"/>
          <w:szCs w:val="24"/>
          <w:highlight w:val="none"/>
          <w:u w:val="single"/>
        </w:rPr>
      </w:pPr>
      <w:r>
        <w:rPr>
          <w:rFonts w:hint="eastAsia" w:ascii="宋体" w:hAnsi="宋体"/>
          <w:bCs/>
          <w:color w:val="auto"/>
          <w:sz w:val="24"/>
          <w:szCs w:val="24"/>
          <w:highlight w:val="none"/>
        </w:rPr>
        <w:t>项目编号：</w:t>
      </w:r>
      <w:r>
        <w:rPr>
          <w:rFonts w:hint="eastAsia" w:ascii="宋体" w:hAnsi="宋体"/>
          <w:bCs/>
          <w:color w:val="auto"/>
          <w:sz w:val="24"/>
          <w:szCs w:val="24"/>
          <w:highlight w:val="none"/>
          <w:u w:val="single"/>
        </w:rPr>
        <w:t xml:space="preserve">                       </w:t>
      </w:r>
    </w:p>
    <w:tbl>
      <w:tblPr>
        <w:tblStyle w:val="39"/>
        <w:tblW w:w="91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6"/>
        <w:gridCol w:w="3381"/>
        <w:gridCol w:w="1755"/>
        <w:gridCol w:w="1485"/>
      </w:tblGrid>
      <w:tr w14:paraId="2B86B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2546" w:type="dxa"/>
            <w:noWrap w:val="0"/>
            <w:vAlign w:val="center"/>
          </w:tcPr>
          <w:p w14:paraId="32DECF0E">
            <w:pPr>
              <w:bidi w:val="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磋商一次总报价</w:t>
            </w:r>
            <w:r>
              <w:rPr>
                <w:rFonts w:hint="eastAsia" w:ascii="宋体" w:hAnsi="宋体" w:cs="宋体"/>
                <w:b/>
                <w:bCs/>
                <w:sz w:val="24"/>
                <w:szCs w:val="24"/>
                <w:highlight w:val="none"/>
                <w:lang w:eastAsia="zh-CN"/>
              </w:rPr>
              <w:t>（</w:t>
            </w:r>
            <w:r>
              <w:rPr>
                <w:rFonts w:hint="eastAsia" w:ascii="宋体" w:hAnsi="宋体" w:cs="宋体"/>
                <w:b/>
                <w:bCs/>
                <w:sz w:val="24"/>
                <w:szCs w:val="24"/>
                <w:highlight w:val="none"/>
                <w:lang w:val="en-US" w:eastAsia="zh-CN"/>
              </w:rPr>
              <w:t>元</w:t>
            </w:r>
            <w:r>
              <w:rPr>
                <w:rFonts w:hint="eastAsia" w:ascii="宋体" w:hAnsi="宋体" w:cs="宋体"/>
                <w:b/>
                <w:bCs/>
                <w:sz w:val="24"/>
                <w:szCs w:val="24"/>
                <w:highlight w:val="none"/>
                <w:lang w:eastAsia="zh-CN"/>
              </w:rPr>
              <w:t>）</w:t>
            </w:r>
          </w:p>
        </w:tc>
        <w:tc>
          <w:tcPr>
            <w:tcW w:w="3381" w:type="dxa"/>
            <w:noWrap w:val="0"/>
            <w:vAlign w:val="center"/>
          </w:tcPr>
          <w:p w14:paraId="35182815">
            <w:pPr>
              <w:bidi w:val="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服务期限</w:t>
            </w:r>
          </w:p>
        </w:tc>
        <w:tc>
          <w:tcPr>
            <w:tcW w:w="1755" w:type="dxa"/>
            <w:noWrap w:val="0"/>
            <w:vAlign w:val="center"/>
          </w:tcPr>
          <w:p w14:paraId="45E06A23">
            <w:pPr>
              <w:bidi w:val="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质量要求</w:t>
            </w:r>
          </w:p>
        </w:tc>
        <w:tc>
          <w:tcPr>
            <w:tcW w:w="1485" w:type="dxa"/>
            <w:noWrap w:val="0"/>
            <w:vAlign w:val="center"/>
          </w:tcPr>
          <w:p w14:paraId="771507DC">
            <w:pPr>
              <w:bidi w:val="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服务地点</w:t>
            </w:r>
          </w:p>
        </w:tc>
      </w:tr>
      <w:tr w14:paraId="7A884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4" w:hRule="atLeast"/>
          <w:jc w:val="center"/>
        </w:trPr>
        <w:tc>
          <w:tcPr>
            <w:tcW w:w="2546" w:type="dxa"/>
            <w:noWrap w:val="0"/>
            <w:vAlign w:val="center"/>
          </w:tcPr>
          <w:p w14:paraId="788DAFBD">
            <w:pPr>
              <w:bidi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大写：</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rPr>
              <w:t>元</w:t>
            </w:r>
          </w:p>
          <w:p w14:paraId="4D01C8B7">
            <w:pPr>
              <w:bidi w:val="0"/>
              <w:spacing w:line="360" w:lineRule="auto"/>
              <w:jc w:val="center"/>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小写：</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rPr>
              <w:t>元</w:t>
            </w:r>
          </w:p>
        </w:tc>
        <w:tc>
          <w:tcPr>
            <w:tcW w:w="3381" w:type="dxa"/>
            <w:noWrap w:val="0"/>
            <w:vAlign w:val="center"/>
          </w:tcPr>
          <w:p w14:paraId="0F1746D1">
            <w:pPr>
              <w:bidi w:val="0"/>
              <w:spacing w:line="360" w:lineRule="auto"/>
              <w:jc w:val="center"/>
              <w:rPr>
                <w:rFonts w:hint="default" w:ascii="宋体" w:hAnsi="宋体" w:eastAsia="宋体" w:cs="宋体"/>
                <w:sz w:val="24"/>
                <w:szCs w:val="24"/>
                <w:highlight w:val="none"/>
                <w:u w:val="none"/>
                <w:lang w:val="en-US"/>
              </w:rPr>
            </w:pPr>
            <w:r>
              <w:rPr>
                <w:rFonts w:hint="eastAsia" w:ascii="宋体" w:hAnsi="宋体" w:cs="宋体"/>
                <w:sz w:val="24"/>
                <w:szCs w:val="24"/>
                <w:highlight w:val="none"/>
                <w:lang w:val="en-US" w:eastAsia="zh-CN"/>
              </w:rPr>
              <w:t xml:space="preserve"> 自合同签订之日起至项目验收合格之日止。其中，合同签订之日起3个月内完成经专家评审审核通过的高中低价整改方案；整改完成后3个月内完成专家验收并出具验收报告并取得政府验收批复。</w:t>
            </w:r>
          </w:p>
        </w:tc>
        <w:tc>
          <w:tcPr>
            <w:tcW w:w="1755" w:type="dxa"/>
            <w:noWrap w:val="0"/>
            <w:vAlign w:val="center"/>
          </w:tcPr>
          <w:p w14:paraId="2D82E464">
            <w:pPr>
              <w:bidi w:val="0"/>
              <w:spacing w:line="360" w:lineRule="auto"/>
              <w:jc w:val="center"/>
              <w:rPr>
                <w:rFonts w:hint="eastAsia" w:ascii="宋体" w:hAnsi="宋体" w:eastAsia="宋体" w:cs="宋体"/>
                <w:sz w:val="24"/>
                <w:szCs w:val="24"/>
                <w:highlight w:val="none"/>
                <w:lang w:eastAsia="zh-CN"/>
              </w:rPr>
            </w:pPr>
            <w:r>
              <w:rPr>
                <w:rFonts w:hint="eastAsia" w:ascii="宋体" w:hAnsi="宋体" w:cs="宋体"/>
                <w:color w:val="000000"/>
                <w:sz w:val="24"/>
                <w:szCs w:val="24"/>
                <w:highlight w:val="none"/>
                <w:lang w:eastAsia="zh-CN"/>
              </w:rPr>
              <w:t>合格，符合国家强制性规范及采购人要求。</w:t>
            </w:r>
          </w:p>
        </w:tc>
        <w:tc>
          <w:tcPr>
            <w:tcW w:w="1485" w:type="dxa"/>
            <w:noWrap w:val="0"/>
            <w:vAlign w:val="center"/>
          </w:tcPr>
          <w:p w14:paraId="4F2AEAA2">
            <w:pPr>
              <w:bidi w:val="0"/>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陕西省肿瘤</w:t>
            </w:r>
          </w:p>
          <w:p w14:paraId="3390C2D5">
            <w:pPr>
              <w:bidi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医院指定地点</w:t>
            </w:r>
          </w:p>
        </w:tc>
      </w:tr>
    </w:tbl>
    <w:p w14:paraId="59A4BBE6">
      <w:pPr>
        <w:bidi w:val="0"/>
        <w:spacing w:line="480" w:lineRule="auto"/>
        <w:rPr>
          <w:rFonts w:hint="eastAsia"/>
          <w:b w:val="0"/>
          <w:bCs w:val="0"/>
          <w:sz w:val="24"/>
          <w:szCs w:val="22"/>
          <w:highlight w:val="none"/>
        </w:rPr>
      </w:pPr>
      <w:r>
        <w:rPr>
          <w:rFonts w:hint="eastAsia"/>
          <w:b w:val="0"/>
          <w:bCs w:val="0"/>
          <w:sz w:val="24"/>
          <w:szCs w:val="22"/>
          <w:highlight w:val="none"/>
        </w:rPr>
        <w:t>备注：所有磋商报价均含税，且用人民币表示，单位为元，精确到小数点后两位；</w:t>
      </w:r>
    </w:p>
    <w:p w14:paraId="7427C4AD">
      <w:pPr>
        <w:bidi w:val="0"/>
        <w:rPr>
          <w:rFonts w:hint="eastAsia"/>
          <w:highlight w:val="none"/>
        </w:rPr>
      </w:pPr>
      <w:bookmarkStart w:id="489" w:name="_Toc10563608"/>
      <w:bookmarkStart w:id="490" w:name="_Toc10563647"/>
      <w:bookmarkStart w:id="491" w:name="_Toc12377632"/>
      <w:bookmarkStart w:id="492" w:name="_Toc23344"/>
    </w:p>
    <w:p w14:paraId="278B3E83">
      <w:pPr>
        <w:bidi w:val="0"/>
        <w:rPr>
          <w:rFonts w:hint="eastAsia"/>
          <w:highlight w:val="none"/>
        </w:rPr>
      </w:pPr>
    </w:p>
    <w:p w14:paraId="6534A279">
      <w:pPr>
        <w:bidi w:val="0"/>
        <w:spacing w:line="480" w:lineRule="auto"/>
        <w:jc w:val="right"/>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rPr>
        <w:t>供应商：</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（盖</w:t>
      </w:r>
      <w:r>
        <w:rPr>
          <w:rFonts w:hint="eastAsia" w:ascii="宋体" w:hAnsi="宋体" w:eastAsia="宋体" w:cs="宋体"/>
          <w:sz w:val="24"/>
          <w:szCs w:val="22"/>
          <w:highlight w:val="none"/>
          <w:lang w:eastAsia="zh-CN"/>
        </w:rPr>
        <w:t>单位</w:t>
      </w:r>
      <w:r>
        <w:rPr>
          <w:rFonts w:hint="eastAsia" w:ascii="宋体" w:hAnsi="宋体" w:eastAsia="宋体" w:cs="宋体"/>
          <w:sz w:val="24"/>
          <w:szCs w:val="22"/>
          <w:highlight w:val="none"/>
        </w:rPr>
        <w:t>章</w:t>
      </w:r>
      <w:r>
        <w:rPr>
          <w:rFonts w:hint="eastAsia" w:ascii="宋体" w:hAnsi="宋体" w:cs="宋体"/>
          <w:sz w:val="24"/>
          <w:szCs w:val="22"/>
          <w:highlight w:val="none"/>
          <w:lang w:eastAsia="zh-CN"/>
        </w:rPr>
        <w:t>）</w:t>
      </w:r>
    </w:p>
    <w:p w14:paraId="734D2958">
      <w:pPr>
        <w:bidi w:val="0"/>
        <w:spacing w:line="480" w:lineRule="auto"/>
        <w:jc w:val="right"/>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rPr>
        <w:t>法人代表或委托代理人：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（签字或盖章</w:t>
      </w:r>
      <w:r>
        <w:rPr>
          <w:rFonts w:hint="eastAsia" w:ascii="宋体" w:hAnsi="宋体" w:cs="宋体"/>
          <w:sz w:val="24"/>
          <w:szCs w:val="22"/>
          <w:highlight w:val="none"/>
          <w:lang w:eastAsia="zh-CN"/>
        </w:rPr>
        <w:t>）</w:t>
      </w:r>
    </w:p>
    <w:p w14:paraId="29E70B02">
      <w:pPr>
        <w:bidi w:val="0"/>
        <w:spacing w:line="480" w:lineRule="auto"/>
        <w:jc w:val="right"/>
        <w:rPr>
          <w:rFonts w:hint="eastAsia" w:ascii="宋体" w:hAnsi="宋体" w:eastAsia="宋体" w:cs="宋体"/>
          <w:sz w:val="24"/>
          <w:szCs w:val="22"/>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年</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月</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日</w:t>
      </w:r>
      <w:bookmarkEnd w:id="489"/>
      <w:bookmarkEnd w:id="490"/>
      <w:bookmarkEnd w:id="491"/>
      <w:bookmarkEnd w:id="492"/>
      <w:bookmarkStart w:id="493" w:name="_Toc10563610"/>
      <w:bookmarkStart w:id="494" w:name="_Toc10563649"/>
      <w:bookmarkStart w:id="495" w:name="_Toc12377634"/>
      <w:bookmarkStart w:id="496" w:name="_Toc7248"/>
    </w:p>
    <w:p w14:paraId="571C1195">
      <w:pPr>
        <w:bidi w:val="0"/>
        <w:jc w:val="center"/>
        <w:rPr>
          <w:rFonts w:hint="eastAsia"/>
          <w:b/>
          <w:bCs/>
          <w:sz w:val="32"/>
          <w:szCs w:val="28"/>
          <w:highlight w:val="none"/>
        </w:rPr>
      </w:pPr>
      <w:r>
        <w:rPr>
          <w:rFonts w:hint="eastAsia" w:ascii="宋体" w:hAnsi="宋体" w:eastAsia="宋体" w:cs="Times New Roman"/>
          <w:b/>
          <w:color w:val="auto"/>
          <w:sz w:val="32"/>
          <w:szCs w:val="32"/>
          <w:highlight w:val="none"/>
          <w:lang w:val="en-US" w:eastAsia="zh-CN"/>
        </w:rPr>
        <w:t>3.服务费用说</w:t>
      </w:r>
      <w:r>
        <w:rPr>
          <w:rFonts w:hint="eastAsia"/>
          <w:b/>
          <w:bCs/>
          <w:sz w:val="32"/>
          <w:szCs w:val="28"/>
          <w:highlight w:val="none"/>
        </w:rPr>
        <w:t>明一览表</w:t>
      </w:r>
    </w:p>
    <w:p w14:paraId="27C07407">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项目名称：</w:t>
      </w:r>
      <w:r>
        <w:rPr>
          <w:rFonts w:hint="eastAsia" w:ascii="宋体" w:hAnsi="宋体"/>
          <w:bCs/>
          <w:color w:val="auto"/>
          <w:sz w:val="24"/>
          <w:szCs w:val="24"/>
          <w:highlight w:val="none"/>
          <w:u w:val="single"/>
        </w:rPr>
        <w:t xml:space="preserve">                       </w:t>
      </w:r>
    </w:p>
    <w:p w14:paraId="2E6B64C4">
      <w:pPr>
        <w:spacing w:line="360" w:lineRule="auto"/>
        <w:rPr>
          <w:rFonts w:hint="eastAsia" w:ascii="宋体" w:hAnsi="宋体"/>
          <w:bCs/>
          <w:color w:val="auto"/>
          <w:sz w:val="24"/>
          <w:szCs w:val="24"/>
          <w:highlight w:val="none"/>
          <w:u w:val="single"/>
        </w:rPr>
      </w:pPr>
      <w:r>
        <w:rPr>
          <w:rFonts w:hint="eastAsia" w:ascii="宋体" w:hAnsi="宋体"/>
          <w:bCs/>
          <w:color w:val="auto"/>
          <w:sz w:val="24"/>
          <w:szCs w:val="24"/>
          <w:highlight w:val="none"/>
        </w:rPr>
        <w:t>项目编号：</w:t>
      </w:r>
      <w:r>
        <w:rPr>
          <w:rFonts w:hint="eastAsia" w:ascii="宋体" w:hAnsi="宋体"/>
          <w:bCs/>
          <w:color w:val="auto"/>
          <w:sz w:val="24"/>
          <w:szCs w:val="24"/>
          <w:highlight w:val="none"/>
          <w:u w:val="single"/>
        </w:rPr>
        <w:t xml:space="preserve">                       </w:t>
      </w:r>
    </w:p>
    <w:tbl>
      <w:tblPr>
        <w:tblStyle w:val="39"/>
        <w:tblW w:w="9301" w:type="dxa"/>
        <w:jc w:val="center"/>
        <w:tblLayout w:type="fixed"/>
        <w:tblCellMar>
          <w:top w:w="0" w:type="dxa"/>
          <w:left w:w="28" w:type="dxa"/>
          <w:bottom w:w="0" w:type="dxa"/>
          <w:right w:w="28" w:type="dxa"/>
        </w:tblCellMar>
      </w:tblPr>
      <w:tblGrid>
        <w:gridCol w:w="790"/>
        <w:gridCol w:w="1479"/>
        <w:gridCol w:w="1513"/>
        <w:gridCol w:w="1513"/>
        <w:gridCol w:w="1515"/>
        <w:gridCol w:w="1632"/>
        <w:gridCol w:w="859"/>
      </w:tblGrid>
      <w:tr w14:paraId="6F67272C">
        <w:tblPrEx>
          <w:tblCellMar>
            <w:top w:w="0" w:type="dxa"/>
            <w:left w:w="28" w:type="dxa"/>
            <w:bottom w:w="0" w:type="dxa"/>
            <w:right w:w="28" w:type="dxa"/>
          </w:tblCellMar>
        </w:tblPrEx>
        <w:trPr>
          <w:trHeight w:val="645" w:hRule="atLeast"/>
          <w:jc w:val="center"/>
        </w:trPr>
        <w:tc>
          <w:tcPr>
            <w:tcW w:w="790" w:type="dxa"/>
            <w:tcBorders>
              <w:top w:val="single" w:color="auto" w:sz="6" w:space="0"/>
              <w:left w:val="single" w:color="auto" w:sz="6" w:space="0"/>
              <w:bottom w:val="single" w:color="auto" w:sz="6" w:space="0"/>
            </w:tcBorders>
            <w:noWrap w:val="0"/>
            <w:vAlign w:val="center"/>
          </w:tcPr>
          <w:p w14:paraId="3D145CD1">
            <w:pPr>
              <w:spacing w:line="0" w:lineRule="atLeast"/>
              <w:jc w:val="center"/>
              <w:rPr>
                <w:rFonts w:hint="eastAsia" w:ascii="宋体" w:hAnsi="宋体"/>
                <w:b/>
                <w:caps w:val="0"/>
                <w:color w:val="auto"/>
                <w:sz w:val="24"/>
                <w:szCs w:val="24"/>
                <w:highlight w:val="none"/>
              </w:rPr>
            </w:pPr>
            <w:bookmarkStart w:id="497" w:name="_Toc10851"/>
            <w:bookmarkStart w:id="498" w:name="_Toc10563648"/>
            <w:bookmarkStart w:id="499" w:name="_Toc10563609"/>
            <w:bookmarkStart w:id="500" w:name="_Toc12377633"/>
            <w:r>
              <w:rPr>
                <w:rFonts w:hint="eastAsia" w:ascii="宋体" w:hAnsi="宋体"/>
                <w:b/>
                <w:caps w:val="0"/>
                <w:color w:val="auto"/>
                <w:sz w:val="24"/>
                <w:szCs w:val="24"/>
                <w:highlight w:val="none"/>
              </w:rPr>
              <w:t>序号</w:t>
            </w:r>
          </w:p>
        </w:tc>
        <w:tc>
          <w:tcPr>
            <w:tcW w:w="1479" w:type="dxa"/>
            <w:tcBorders>
              <w:top w:val="single" w:color="auto" w:sz="6" w:space="0"/>
              <w:left w:val="single" w:color="auto" w:sz="6" w:space="0"/>
              <w:bottom w:val="single" w:color="auto" w:sz="6" w:space="0"/>
              <w:right w:val="single" w:color="auto" w:sz="6" w:space="0"/>
            </w:tcBorders>
            <w:noWrap w:val="0"/>
            <w:vAlign w:val="center"/>
          </w:tcPr>
          <w:p w14:paraId="6FE1FFBC">
            <w:pPr>
              <w:spacing w:line="0" w:lineRule="atLeast"/>
              <w:jc w:val="center"/>
              <w:rPr>
                <w:rFonts w:hint="eastAsia" w:ascii="宋体" w:hAnsi="宋体"/>
                <w:b/>
                <w:caps w:val="0"/>
                <w:color w:val="auto"/>
                <w:sz w:val="24"/>
                <w:szCs w:val="24"/>
                <w:highlight w:val="none"/>
              </w:rPr>
            </w:pPr>
            <w:r>
              <w:rPr>
                <w:rFonts w:hint="eastAsia" w:ascii="宋体" w:hAnsi="宋体"/>
                <w:b/>
                <w:caps w:val="0"/>
                <w:color w:val="auto"/>
                <w:sz w:val="24"/>
                <w:szCs w:val="24"/>
                <w:highlight w:val="none"/>
                <w:lang w:val="en-US" w:eastAsia="zh-CN"/>
              </w:rPr>
              <w:t>服务</w:t>
            </w:r>
            <w:r>
              <w:rPr>
                <w:rFonts w:hint="eastAsia" w:ascii="宋体" w:hAnsi="宋体"/>
                <w:b/>
                <w:caps w:val="0"/>
                <w:color w:val="auto"/>
                <w:sz w:val="24"/>
                <w:szCs w:val="24"/>
                <w:highlight w:val="none"/>
              </w:rPr>
              <w:t>名称</w:t>
            </w:r>
          </w:p>
        </w:tc>
        <w:tc>
          <w:tcPr>
            <w:tcW w:w="1513" w:type="dxa"/>
            <w:tcBorders>
              <w:top w:val="single" w:color="auto" w:sz="6" w:space="0"/>
              <w:left w:val="single" w:color="auto" w:sz="6" w:space="0"/>
              <w:bottom w:val="single" w:color="auto" w:sz="6" w:space="0"/>
              <w:right w:val="single" w:color="auto" w:sz="6" w:space="0"/>
            </w:tcBorders>
            <w:noWrap w:val="0"/>
            <w:vAlign w:val="center"/>
          </w:tcPr>
          <w:p w14:paraId="41964A7B">
            <w:pPr>
              <w:spacing w:line="0" w:lineRule="atLeast"/>
              <w:jc w:val="center"/>
              <w:rPr>
                <w:rFonts w:hint="eastAsia" w:ascii="宋体" w:hAnsi="宋体"/>
                <w:b/>
                <w:caps w:val="0"/>
                <w:color w:val="auto"/>
                <w:sz w:val="24"/>
                <w:szCs w:val="24"/>
                <w:highlight w:val="none"/>
              </w:rPr>
            </w:pPr>
            <w:r>
              <w:rPr>
                <w:rFonts w:hint="eastAsia" w:ascii="宋体" w:hAnsi="宋体"/>
                <w:b/>
                <w:caps w:val="0"/>
                <w:color w:val="auto"/>
                <w:sz w:val="24"/>
                <w:szCs w:val="24"/>
                <w:highlight w:val="none"/>
                <w:lang w:val="en-US" w:eastAsia="zh-CN"/>
              </w:rPr>
              <w:t>服务内容</w:t>
            </w:r>
          </w:p>
        </w:tc>
        <w:tc>
          <w:tcPr>
            <w:tcW w:w="1513" w:type="dxa"/>
            <w:tcBorders>
              <w:top w:val="single" w:color="auto" w:sz="6" w:space="0"/>
              <w:left w:val="single" w:color="auto" w:sz="6" w:space="0"/>
              <w:bottom w:val="single" w:color="auto" w:sz="6" w:space="0"/>
              <w:right w:val="single" w:color="auto" w:sz="6" w:space="0"/>
            </w:tcBorders>
            <w:noWrap w:val="0"/>
            <w:vAlign w:val="center"/>
          </w:tcPr>
          <w:p w14:paraId="42EA29CD">
            <w:pPr>
              <w:spacing w:line="0" w:lineRule="atLeast"/>
              <w:jc w:val="center"/>
              <w:rPr>
                <w:rFonts w:hint="eastAsia" w:ascii="宋体" w:hAnsi="宋体"/>
                <w:b/>
                <w:caps w:val="0"/>
                <w:color w:val="auto"/>
                <w:sz w:val="24"/>
                <w:szCs w:val="24"/>
                <w:highlight w:val="none"/>
              </w:rPr>
            </w:pPr>
            <w:r>
              <w:rPr>
                <w:rFonts w:hint="eastAsia" w:ascii="宋体" w:hAnsi="宋体"/>
                <w:b/>
                <w:caps w:val="0"/>
                <w:color w:val="auto"/>
                <w:sz w:val="24"/>
                <w:szCs w:val="24"/>
                <w:highlight w:val="none"/>
              </w:rPr>
              <w:t>数量</w:t>
            </w:r>
          </w:p>
        </w:tc>
        <w:tc>
          <w:tcPr>
            <w:tcW w:w="1515" w:type="dxa"/>
            <w:tcBorders>
              <w:top w:val="single" w:color="auto" w:sz="6" w:space="0"/>
              <w:left w:val="single" w:color="auto" w:sz="6" w:space="0"/>
              <w:bottom w:val="single" w:color="auto" w:sz="6" w:space="0"/>
              <w:right w:val="single" w:color="auto" w:sz="6" w:space="0"/>
            </w:tcBorders>
            <w:noWrap w:val="0"/>
            <w:vAlign w:val="center"/>
          </w:tcPr>
          <w:p w14:paraId="09C98FBA">
            <w:pPr>
              <w:spacing w:line="0" w:lineRule="atLeast"/>
              <w:jc w:val="center"/>
              <w:rPr>
                <w:rFonts w:hint="eastAsia" w:ascii="宋体" w:hAnsi="宋体"/>
                <w:b/>
                <w:caps w:val="0"/>
                <w:color w:val="auto"/>
                <w:sz w:val="24"/>
                <w:szCs w:val="24"/>
                <w:highlight w:val="none"/>
              </w:rPr>
            </w:pPr>
            <w:r>
              <w:rPr>
                <w:rFonts w:hint="eastAsia" w:ascii="宋体" w:hAnsi="宋体"/>
                <w:b/>
                <w:caps w:val="0"/>
                <w:color w:val="auto"/>
                <w:sz w:val="24"/>
                <w:szCs w:val="24"/>
                <w:highlight w:val="none"/>
              </w:rPr>
              <w:t>单价（元）</w:t>
            </w:r>
          </w:p>
        </w:tc>
        <w:tc>
          <w:tcPr>
            <w:tcW w:w="1632" w:type="dxa"/>
            <w:tcBorders>
              <w:top w:val="single" w:color="auto" w:sz="6" w:space="0"/>
              <w:left w:val="single" w:color="auto" w:sz="6" w:space="0"/>
              <w:bottom w:val="single" w:color="auto" w:sz="6" w:space="0"/>
              <w:right w:val="single" w:color="auto" w:sz="6" w:space="0"/>
            </w:tcBorders>
            <w:noWrap w:val="0"/>
            <w:vAlign w:val="center"/>
          </w:tcPr>
          <w:p w14:paraId="22DAD14E">
            <w:pPr>
              <w:spacing w:line="0" w:lineRule="atLeast"/>
              <w:jc w:val="center"/>
              <w:rPr>
                <w:rFonts w:hint="eastAsia" w:ascii="宋体" w:hAnsi="宋体"/>
                <w:b/>
                <w:bCs/>
                <w:caps w:val="0"/>
                <w:color w:val="auto"/>
                <w:sz w:val="24"/>
                <w:szCs w:val="24"/>
                <w:highlight w:val="none"/>
              </w:rPr>
            </w:pPr>
            <w:r>
              <w:rPr>
                <w:rFonts w:hint="eastAsia" w:ascii="宋体" w:hAnsi="宋体"/>
                <w:b/>
                <w:bCs/>
                <w:caps w:val="0"/>
                <w:color w:val="auto"/>
                <w:sz w:val="24"/>
                <w:szCs w:val="24"/>
                <w:highlight w:val="none"/>
                <w:lang w:val="en-US" w:eastAsia="zh-CN"/>
              </w:rPr>
              <w:t>合</w:t>
            </w:r>
            <w:r>
              <w:rPr>
                <w:rFonts w:hint="eastAsia" w:ascii="宋体" w:hAnsi="宋体"/>
                <w:b/>
                <w:bCs/>
                <w:caps w:val="0"/>
                <w:color w:val="auto"/>
                <w:sz w:val="24"/>
                <w:szCs w:val="24"/>
                <w:highlight w:val="none"/>
              </w:rPr>
              <w:t>价（元）</w:t>
            </w:r>
          </w:p>
        </w:tc>
        <w:tc>
          <w:tcPr>
            <w:tcW w:w="859" w:type="dxa"/>
            <w:tcBorders>
              <w:top w:val="single" w:color="auto" w:sz="6" w:space="0"/>
              <w:left w:val="single" w:color="auto" w:sz="6" w:space="0"/>
              <w:bottom w:val="single" w:color="auto" w:sz="6" w:space="0"/>
              <w:right w:val="single" w:color="auto" w:sz="6" w:space="0"/>
            </w:tcBorders>
            <w:noWrap w:val="0"/>
            <w:vAlign w:val="center"/>
          </w:tcPr>
          <w:p w14:paraId="06AD3BBD">
            <w:pPr>
              <w:spacing w:line="0" w:lineRule="atLeast"/>
              <w:jc w:val="center"/>
              <w:rPr>
                <w:rFonts w:hint="default" w:ascii="宋体" w:hAnsi="宋体"/>
                <w:b/>
                <w:bCs/>
                <w:caps w:val="0"/>
                <w:color w:val="auto"/>
                <w:sz w:val="24"/>
                <w:szCs w:val="24"/>
                <w:highlight w:val="none"/>
                <w:lang w:val="en-US" w:eastAsia="zh-CN"/>
              </w:rPr>
            </w:pPr>
            <w:r>
              <w:rPr>
                <w:rFonts w:hint="eastAsia" w:ascii="宋体" w:hAnsi="宋体"/>
                <w:b/>
                <w:bCs/>
                <w:caps w:val="0"/>
                <w:color w:val="auto"/>
                <w:sz w:val="24"/>
                <w:szCs w:val="24"/>
                <w:highlight w:val="none"/>
                <w:lang w:val="en-US" w:eastAsia="zh-CN"/>
              </w:rPr>
              <w:t>备注</w:t>
            </w:r>
          </w:p>
        </w:tc>
      </w:tr>
      <w:tr w14:paraId="055B61DE">
        <w:tblPrEx>
          <w:tblCellMar>
            <w:top w:w="0" w:type="dxa"/>
            <w:left w:w="28" w:type="dxa"/>
            <w:bottom w:w="0" w:type="dxa"/>
            <w:right w:w="28" w:type="dxa"/>
          </w:tblCellMar>
        </w:tblPrEx>
        <w:trPr>
          <w:trHeight w:val="645" w:hRule="atLeast"/>
          <w:jc w:val="center"/>
        </w:trPr>
        <w:tc>
          <w:tcPr>
            <w:tcW w:w="790" w:type="dxa"/>
            <w:tcBorders>
              <w:top w:val="single" w:color="auto" w:sz="6" w:space="0"/>
              <w:left w:val="single" w:color="auto" w:sz="6" w:space="0"/>
              <w:bottom w:val="single" w:color="auto" w:sz="4" w:space="0"/>
            </w:tcBorders>
            <w:noWrap w:val="0"/>
            <w:vAlign w:val="center"/>
          </w:tcPr>
          <w:p w14:paraId="07EDD27B">
            <w:pPr>
              <w:adjustRightInd w:val="0"/>
              <w:snapToGrid w:val="0"/>
              <w:spacing w:line="0" w:lineRule="atLeast"/>
              <w:jc w:val="center"/>
              <w:rPr>
                <w:rFonts w:hint="eastAsia" w:ascii="宋体" w:hAnsi="宋体"/>
                <w:caps w:val="0"/>
                <w:color w:val="auto"/>
                <w:sz w:val="24"/>
                <w:szCs w:val="24"/>
                <w:highlight w:val="none"/>
              </w:rPr>
            </w:pPr>
            <w:r>
              <w:rPr>
                <w:rFonts w:hint="eastAsia" w:ascii="宋体" w:hAnsi="宋体"/>
                <w:caps w:val="0"/>
                <w:color w:val="auto"/>
                <w:sz w:val="24"/>
                <w:szCs w:val="24"/>
                <w:highlight w:val="none"/>
              </w:rPr>
              <w:t>1</w:t>
            </w:r>
          </w:p>
        </w:tc>
        <w:tc>
          <w:tcPr>
            <w:tcW w:w="1479" w:type="dxa"/>
            <w:tcBorders>
              <w:top w:val="single" w:color="auto" w:sz="6" w:space="0"/>
              <w:left w:val="single" w:color="auto" w:sz="6" w:space="0"/>
              <w:bottom w:val="single" w:color="auto" w:sz="4" w:space="0"/>
              <w:right w:val="single" w:color="auto" w:sz="6" w:space="0"/>
            </w:tcBorders>
            <w:noWrap w:val="0"/>
            <w:vAlign w:val="center"/>
          </w:tcPr>
          <w:p w14:paraId="33026F4C">
            <w:pPr>
              <w:adjustRightInd w:val="0"/>
              <w:snapToGrid w:val="0"/>
              <w:spacing w:line="0" w:lineRule="atLeast"/>
              <w:jc w:val="center"/>
              <w:rPr>
                <w:rFonts w:hint="eastAsia" w:ascii="宋体" w:hAnsi="宋体"/>
                <w:caps w:val="0"/>
                <w:color w:val="auto"/>
                <w:sz w:val="24"/>
                <w:szCs w:val="24"/>
                <w:highlight w:val="none"/>
              </w:rPr>
            </w:pPr>
          </w:p>
        </w:tc>
        <w:tc>
          <w:tcPr>
            <w:tcW w:w="1513" w:type="dxa"/>
            <w:tcBorders>
              <w:top w:val="single" w:color="auto" w:sz="6" w:space="0"/>
              <w:left w:val="single" w:color="auto" w:sz="6" w:space="0"/>
              <w:bottom w:val="single" w:color="auto" w:sz="4" w:space="0"/>
              <w:right w:val="single" w:color="auto" w:sz="6" w:space="0"/>
            </w:tcBorders>
            <w:noWrap w:val="0"/>
            <w:vAlign w:val="center"/>
          </w:tcPr>
          <w:p w14:paraId="3EB6CF70">
            <w:pPr>
              <w:spacing w:line="0" w:lineRule="atLeast"/>
              <w:jc w:val="center"/>
              <w:rPr>
                <w:rFonts w:hint="eastAsia" w:ascii="宋体" w:hAnsi="宋体"/>
                <w:caps w:val="0"/>
                <w:color w:val="auto"/>
                <w:sz w:val="24"/>
                <w:szCs w:val="24"/>
                <w:highlight w:val="none"/>
              </w:rPr>
            </w:pPr>
          </w:p>
        </w:tc>
        <w:tc>
          <w:tcPr>
            <w:tcW w:w="1513" w:type="dxa"/>
            <w:tcBorders>
              <w:top w:val="single" w:color="auto" w:sz="6" w:space="0"/>
              <w:left w:val="single" w:color="auto" w:sz="6" w:space="0"/>
              <w:bottom w:val="single" w:color="auto" w:sz="4" w:space="0"/>
              <w:right w:val="single" w:color="auto" w:sz="6" w:space="0"/>
            </w:tcBorders>
            <w:noWrap w:val="0"/>
            <w:vAlign w:val="center"/>
          </w:tcPr>
          <w:p w14:paraId="62A34515">
            <w:pPr>
              <w:spacing w:line="0" w:lineRule="atLeast"/>
              <w:jc w:val="center"/>
              <w:rPr>
                <w:rFonts w:hint="eastAsia" w:ascii="宋体" w:hAnsi="宋体"/>
                <w:caps w:val="0"/>
                <w:color w:val="auto"/>
                <w:sz w:val="24"/>
                <w:szCs w:val="24"/>
                <w:highlight w:val="none"/>
              </w:rPr>
            </w:pPr>
          </w:p>
        </w:tc>
        <w:tc>
          <w:tcPr>
            <w:tcW w:w="1515" w:type="dxa"/>
            <w:tcBorders>
              <w:top w:val="single" w:color="auto" w:sz="6" w:space="0"/>
              <w:left w:val="single" w:color="auto" w:sz="6" w:space="0"/>
              <w:bottom w:val="single" w:color="auto" w:sz="4" w:space="0"/>
              <w:right w:val="single" w:color="auto" w:sz="6" w:space="0"/>
            </w:tcBorders>
            <w:noWrap w:val="0"/>
            <w:vAlign w:val="center"/>
          </w:tcPr>
          <w:p w14:paraId="19E1CE33">
            <w:pPr>
              <w:spacing w:line="0" w:lineRule="atLeast"/>
              <w:jc w:val="center"/>
              <w:rPr>
                <w:rFonts w:hint="eastAsia" w:ascii="宋体" w:hAnsi="宋体"/>
                <w:caps w:val="0"/>
                <w:color w:val="auto"/>
                <w:sz w:val="24"/>
                <w:szCs w:val="24"/>
                <w:highlight w:val="none"/>
              </w:rPr>
            </w:pPr>
          </w:p>
        </w:tc>
        <w:tc>
          <w:tcPr>
            <w:tcW w:w="1632" w:type="dxa"/>
            <w:tcBorders>
              <w:top w:val="single" w:color="auto" w:sz="6" w:space="0"/>
              <w:left w:val="single" w:color="auto" w:sz="6" w:space="0"/>
              <w:bottom w:val="single" w:color="auto" w:sz="4" w:space="0"/>
              <w:right w:val="single" w:color="auto" w:sz="6" w:space="0"/>
            </w:tcBorders>
            <w:noWrap w:val="0"/>
            <w:vAlign w:val="center"/>
          </w:tcPr>
          <w:p w14:paraId="2B19BBCE">
            <w:pPr>
              <w:spacing w:line="0" w:lineRule="atLeast"/>
              <w:jc w:val="center"/>
              <w:rPr>
                <w:rFonts w:hint="eastAsia" w:ascii="宋体" w:hAnsi="宋体"/>
                <w:caps w:val="0"/>
                <w:color w:val="auto"/>
                <w:sz w:val="24"/>
                <w:szCs w:val="24"/>
                <w:highlight w:val="none"/>
              </w:rPr>
            </w:pPr>
          </w:p>
        </w:tc>
        <w:tc>
          <w:tcPr>
            <w:tcW w:w="859" w:type="dxa"/>
            <w:tcBorders>
              <w:top w:val="single" w:color="auto" w:sz="6" w:space="0"/>
              <w:left w:val="single" w:color="auto" w:sz="6" w:space="0"/>
              <w:bottom w:val="single" w:color="auto" w:sz="4" w:space="0"/>
              <w:right w:val="single" w:color="auto" w:sz="6" w:space="0"/>
            </w:tcBorders>
            <w:noWrap w:val="0"/>
            <w:vAlign w:val="center"/>
          </w:tcPr>
          <w:p w14:paraId="28418E52">
            <w:pPr>
              <w:spacing w:line="0" w:lineRule="atLeast"/>
              <w:jc w:val="center"/>
              <w:rPr>
                <w:rFonts w:hint="eastAsia" w:ascii="宋体" w:hAnsi="宋体"/>
                <w:caps w:val="0"/>
                <w:color w:val="auto"/>
                <w:sz w:val="24"/>
                <w:szCs w:val="24"/>
                <w:highlight w:val="none"/>
              </w:rPr>
            </w:pPr>
          </w:p>
        </w:tc>
      </w:tr>
      <w:tr w14:paraId="74F28DDE">
        <w:tblPrEx>
          <w:tblCellMar>
            <w:top w:w="0" w:type="dxa"/>
            <w:left w:w="28" w:type="dxa"/>
            <w:bottom w:w="0" w:type="dxa"/>
            <w:right w:w="28" w:type="dxa"/>
          </w:tblCellMar>
        </w:tblPrEx>
        <w:trPr>
          <w:trHeight w:val="645" w:hRule="atLeast"/>
          <w:jc w:val="center"/>
        </w:trPr>
        <w:tc>
          <w:tcPr>
            <w:tcW w:w="790" w:type="dxa"/>
            <w:tcBorders>
              <w:top w:val="single" w:color="auto" w:sz="4" w:space="0"/>
              <w:left w:val="single" w:color="auto" w:sz="6" w:space="0"/>
              <w:bottom w:val="single" w:color="auto" w:sz="6" w:space="0"/>
            </w:tcBorders>
            <w:noWrap w:val="0"/>
            <w:vAlign w:val="center"/>
          </w:tcPr>
          <w:p w14:paraId="6518E62A">
            <w:pPr>
              <w:adjustRightInd w:val="0"/>
              <w:snapToGrid w:val="0"/>
              <w:spacing w:line="0" w:lineRule="atLeast"/>
              <w:jc w:val="center"/>
              <w:rPr>
                <w:rFonts w:hint="eastAsia" w:ascii="宋体" w:hAnsi="宋体"/>
                <w:caps w:val="0"/>
                <w:color w:val="auto"/>
                <w:sz w:val="24"/>
                <w:szCs w:val="24"/>
                <w:highlight w:val="none"/>
              </w:rPr>
            </w:pPr>
            <w:r>
              <w:rPr>
                <w:rFonts w:hint="eastAsia" w:ascii="宋体" w:hAnsi="宋体"/>
                <w:caps w:val="0"/>
                <w:color w:val="auto"/>
                <w:sz w:val="24"/>
                <w:szCs w:val="24"/>
                <w:highlight w:val="none"/>
              </w:rPr>
              <w:t>2</w:t>
            </w:r>
          </w:p>
        </w:tc>
        <w:tc>
          <w:tcPr>
            <w:tcW w:w="1479" w:type="dxa"/>
            <w:tcBorders>
              <w:top w:val="single" w:color="auto" w:sz="4" w:space="0"/>
              <w:left w:val="single" w:color="auto" w:sz="6" w:space="0"/>
              <w:bottom w:val="single" w:color="auto" w:sz="6" w:space="0"/>
              <w:right w:val="single" w:color="auto" w:sz="6" w:space="0"/>
            </w:tcBorders>
            <w:noWrap w:val="0"/>
            <w:vAlign w:val="center"/>
          </w:tcPr>
          <w:p w14:paraId="184F3757">
            <w:pPr>
              <w:adjustRightInd w:val="0"/>
              <w:snapToGrid w:val="0"/>
              <w:spacing w:line="0" w:lineRule="atLeast"/>
              <w:jc w:val="center"/>
              <w:rPr>
                <w:rFonts w:hint="eastAsia" w:ascii="宋体" w:hAnsi="宋体"/>
                <w:caps w:val="0"/>
                <w:color w:val="auto"/>
                <w:sz w:val="24"/>
                <w:szCs w:val="24"/>
                <w:highlight w:val="none"/>
              </w:rPr>
            </w:pPr>
          </w:p>
        </w:tc>
        <w:tc>
          <w:tcPr>
            <w:tcW w:w="1513" w:type="dxa"/>
            <w:tcBorders>
              <w:top w:val="single" w:color="auto" w:sz="4" w:space="0"/>
              <w:left w:val="single" w:color="auto" w:sz="6" w:space="0"/>
              <w:bottom w:val="single" w:color="auto" w:sz="6" w:space="0"/>
              <w:right w:val="single" w:color="auto" w:sz="6" w:space="0"/>
            </w:tcBorders>
            <w:noWrap w:val="0"/>
            <w:vAlign w:val="center"/>
          </w:tcPr>
          <w:p w14:paraId="114AA2E4">
            <w:pPr>
              <w:spacing w:line="0" w:lineRule="atLeast"/>
              <w:jc w:val="center"/>
              <w:rPr>
                <w:rFonts w:hint="eastAsia" w:ascii="宋体" w:hAnsi="宋体"/>
                <w:caps w:val="0"/>
                <w:color w:val="auto"/>
                <w:sz w:val="24"/>
                <w:szCs w:val="24"/>
                <w:highlight w:val="none"/>
              </w:rPr>
            </w:pPr>
          </w:p>
        </w:tc>
        <w:tc>
          <w:tcPr>
            <w:tcW w:w="1513" w:type="dxa"/>
            <w:tcBorders>
              <w:top w:val="single" w:color="auto" w:sz="4" w:space="0"/>
              <w:left w:val="single" w:color="auto" w:sz="6" w:space="0"/>
              <w:bottom w:val="single" w:color="auto" w:sz="6" w:space="0"/>
              <w:right w:val="single" w:color="auto" w:sz="6" w:space="0"/>
            </w:tcBorders>
            <w:noWrap w:val="0"/>
            <w:vAlign w:val="center"/>
          </w:tcPr>
          <w:p w14:paraId="00A07977">
            <w:pPr>
              <w:spacing w:line="0" w:lineRule="atLeast"/>
              <w:jc w:val="center"/>
              <w:rPr>
                <w:rFonts w:hint="eastAsia" w:ascii="宋体" w:hAnsi="宋体"/>
                <w:caps w:val="0"/>
                <w:color w:val="auto"/>
                <w:sz w:val="24"/>
                <w:szCs w:val="24"/>
                <w:highlight w:val="none"/>
              </w:rPr>
            </w:pPr>
          </w:p>
        </w:tc>
        <w:tc>
          <w:tcPr>
            <w:tcW w:w="1515" w:type="dxa"/>
            <w:tcBorders>
              <w:top w:val="single" w:color="auto" w:sz="4" w:space="0"/>
              <w:left w:val="single" w:color="auto" w:sz="6" w:space="0"/>
              <w:bottom w:val="single" w:color="auto" w:sz="6" w:space="0"/>
              <w:right w:val="single" w:color="auto" w:sz="6" w:space="0"/>
            </w:tcBorders>
            <w:noWrap w:val="0"/>
            <w:vAlign w:val="center"/>
          </w:tcPr>
          <w:p w14:paraId="02A48E37">
            <w:pPr>
              <w:spacing w:line="0" w:lineRule="atLeast"/>
              <w:jc w:val="center"/>
              <w:rPr>
                <w:rFonts w:hint="eastAsia" w:ascii="宋体" w:hAnsi="宋体"/>
                <w:caps w:val="0"/>
                <w:color w:val="auto"/>
                <w:sz w:val="24"/>
                <w:szCs w:val="24"/>
                <w:highlight w:val="none"/>
              </w:rPr>
            </w:pPr>
          </w:p>
        </w:tc>
        <w:tc>
          <w:tcPr>
            <w:tcW w:w="1632" w:type="dxa"/>
            <w:tcBorders>
              <w:top w:val="single" w:color="auto" w:sz="4" w:space="0"/>
              <w:left w:val="single" w:color="auto" w:sz="6" w:space="0"/>
              <w:bottom w:val="single" w:color="auto" w:sz="6" w:space="0"/>
              <w:right w:val="single" w:color="auto" w:sz="6" w:space="0"/>
            </w:tcBorders>
            <w:noWrap w:val="0"/>
            <w:vAlign w:val="center"/>
          </w:tcPr>
          <w:p w14:paraId="0173D963">
            <w:pPr>
              <w:spacing w:line="0" w:lineRule="atLeast"/>
              <w:jc w:val="center"/>
              <w:rPr>
                <w:rFonts w:hint="eastAsia" w:ascii="宋体" w:hAnsi="宋体"/>
                <w:caps w:val="0"/>
                <w:color w:val="auto"/>
                <w:sz w:val="24"/>
                <w:szCs w:val="24"/>
                <w:highlight w:val="none"/>
              </w:rPr>
            </w:pPr>
          </w:p>
        </w:tc>
        <w:tc>
          <w:tcPr>
            <w:tcW w:w="859" w:type="dxa"/>
            <w:tcBorders>
              <w:top w:val="single" w:color="auto" w:sz="4" w:space="0"/>
              <w:left w:val="single" w:color="auto" w:sz="6" w:space="0"/>
              <w:bottom w:val="single" w:color="auto" w:sz="6" w:space="0"/>
              <w:right w:val="single" w:color="auto" w:sz="6" w:space="0"/>
            </w:tcBorders>
            <w:noWrap w:val="0"/>
            <w:vAlign w:val="center"/>
          </w:tcPr>
          <w:p w14:paraId="77EC7A4D">
            <w:pPr>
              <w:spacing w:line="0" w:lineRule="atLeast"/>
              <w:jc w:val="center"/>
              <w:rPr>
                <w:rFonts w:hint="eastAsia" w:ascii="宋体" w:hAnsi="宋体"/>
                <w:caps w:val="0"/>
                <w:color w:val="auto"/>
                <w:sz w:val="24"/>
                <w:szCs w:val="24"/>
                <w:highlight w:val="none"/>
              </w:rPr>
            </w:pPr>
          </w:p>
        </w:tc>
      </w:tr>
      <w:tr w14:paraId="1A1CB103">
        <w:tblPrEx>
          <w:tblCellMar>
            <w:top w:w="0" w:type="dxa"/>
            <w:left w:w="28" w:type="dxa"/>
            <w:bottom w:w="0" w:type="dxa"/>
            <w:right w:w="28" w:type="dxa"/>
          </w:tblCellMar>
        </w:tblPrEx>
        <w:trPr>
          <w:trHeight w:val="645" w:hRule="atLeast"/>
          <w:jc w:val="center"/>
        </w:trPr>
        <w:tc>
          <w:tcPr>
            <w:tcW w:w="790" w:type="dxa"/>
            <w:tcBorders>
              <w:top w:val="single" w:color="auto" w:sz="4" w:space="0"/>
              <w:left w:val="single" w:color="auto" w:sz="6" w:space="0"/>
              <w:bottom w:val="single" w:color="auto" w:sz="6" w:space="0"/>
            </w:tcBorders>
            <w:noWrap w:val="0"/>
            <w:vAlign w:val="center"/>
          </w:tcPr>
          <w:p w14:paraId="1AB6DA4B">
            <w:pPr>
              <w:adjustRightInd w:val="0"/>
              <w:snapToGrid w:val="0"/>
              <w:spacing w:line="0" w:lineRule="atLeast"/>
              <w:jc w:val="center"/>
              <w:rPr>
                <w:rFonts w:hint="eastAsia" w:ascii="宋体" w:hAnsi="宋体"/>
                <w:caps w:val="0"/>
                <w:color w:val="auto"/>
                <w:sz w:val="24"/>
                <w:szCs w:val="24"/>
                <w:highlight w:val="none"/>
              </w:rPr>
            </w:pPr>
            <w:r>
              <w:rPr>
                <w:rFonts w:hint="eastAsia" w:ascii="宋体" w:hAnsi="宋体"/>
                <w:caps w:val="0"/>
                <w:color w:val="auto"/>
                <w:sz w:val="24"/>
                <w:szCs w:val="24"/>
                <w:highlight w:val="none"/>
              </w:rPr>
              <w:t>3</w:t>
            </w:r>
          </w:p>
        </w:tc>
        <w:tc>
          <w:tcPr>
            <w:tcW w:w="1479" w:type="dxa"/>
            <w:tcBorders>
              <w:top w:val="single" w:color="auto" w:sz="4" w:space="0"/>
              <w:left w:val="single" w:color="auto" w:sz="6" w:space="0"/>
              <w:bottom w:val="single" w:color="auto" w:sz="6" w:space="0"/>
              <w:right w:val="single" w:color="auto" w:sz="6" w:space="0"/>
            </w:tcBorders>
            <w:noWrap w:val="0"/>
            <w:vAlign w:val="center"/>
          </w:tcPr>
          <w:p w14:paraId="718EDD76">
            <w:pPr>
              <w:adjustRightInd w:val="0"/>
              <w:snapToGrid w:val="0"/>
              <w:spacing w:line="0" w:lineRule="atLeast"/>
              <w:jc w:val="center"/>
              <w:rPr>
                <w:rFonts w:hint="eastAsia" w:ascii="宋体" w:hAnsi="宋体"/>
                <w:caps w:val="0"/>
                <w:color w:val="auto"/>
                <w:sz w:val="24"/>
                <w:szCs w:val="24"/>
                <w:highlight w:val="none"/>
              </w:rPr>
            </w:pPr>
          </w:p>
        </w:tc>
        <w:tc>
          <w:tcPr>
            <w:tcW w:w="1513" w:type="dxa"/>
            <w:tcBorders>
              <w:top w:val="single" w:color="auto" w:sz="4" w:space="0"/>
              <w:left w:val="single" w:color="auto" w:sz="6" w:space="0"/>
              <w:bottom w:val="single" w:color="auto" w:sz="6" w:space="0"/>
              <w:right w:val="single" w:color="auto" w:sz="6" w:space="0"/>
            </w:tcBorders>
            <w:noWrap w:val="0"/>
            <w:vAlign w:val="center"/>
          </w:tcPr>
          <w:p w14:paraId="56111560">
            <w:pPr>
              <w:spacing w:line="0" w:lineRule="atLeast"/>
              <w:jc w:val="center"/>
              <w:rPr>
                <w:rFonts w:hint="eastAsia" w:ascii="宋体" w:hAnsi="宋体"/>
                <w:caps w:val="0"/>
                <w:color w:val="auto"/>
                <w:sz w:val="24"/>
                <w:szCs w:val="24"/>
                <w:highlight w:val="none"/>
              </w:rPr>
            </w:pPr>
          </w:p>
        </w:tc>
        <w:tc>
          <w:tcPr>
            <w:tcW w:w="1513" w:type="dxa"/>
            <w:tcBorders>
              <w:top w:val="single" w:color="auto" w:sz="4" w:space="0"/>
              <w:left w:val="single" w:color="auto" w:sz="6" w:space="0"/>
              <w:bottom w:val="single" w:color="auto" w:sz="6" w:space="0"/>
              <w:right w:val="single" w:color="auto" w:sz="6" w:space="0"/>
            </w:tcBorders>
            <w:noWrap w:val="0"/>
            <w:vAlign w:val="center"/>
          </w:tcPr>
          <w:p w14:paraId="0C6F75EC">
            <w:pPr>
              <w:spacing w:line="0" w:lineRule="atLeast"/>
              <w:jc w:val="center"/>
              <w:rPr>
                <w:rFonts w:hint="eastAsia" w:ascii="宋体" w:hAnsi="宋体"/>
                <w:caps w:val="0"/>
                <w:color w:val="auto"/>
                <w:sz w:val="24"/>
                <w:szCs w:val="24"/>
                <w:highlight w:val="none"/>
              </w:rPr>
            </w:pPr>
          </w:p>
        </w:tc>
        <w:tc>
          <w:tcPr>
            <w:tcW w:w="1515" w:type="dxa"/>
            <w:tcBorders>
              <w:top w:val="single" w:color="auto" w:sz="4" w:space="0"/>
              <w:left w:val="single" w:color="auto" w:sz="6" w:space="0"/>
              <w:bottom w:val="single" w:color="auto" w:sz="6" w:space="0"/>
              <w:right w:val="single" w:color="auto" w:sz="6" w:space="0"/>
            </w:tcBorders>
            <w:noWrap w:val="0"/>
            <w:vAlign w:val="center"/>
          </w:tcPr>
          <w:p w14:paraId="6E23E083">
            <w:pPr>
              <w:spacing w:line="0" w:lineRule="atLeast"/>
              <w:jc w:val="center"/>
              <w:rPr>
                <w:rFonts w:hint="eastAsia" w:ascii="宋体" w:hAnsi="宋体"/>
                <w:caps w:val="0"/>
                <w:color w:val="auto"/>
                <w:sz w:val="24"/>
                <w:szCs w:val="24"/>
                <w:highlight w:val="none"/>
              </w:rPr>
            </w:pPr>
          </w:p>
        </w:tc>
        <w:tc>
          <w:tcPr>
            <w:tcW w:w="1632" w:type="dxa"/>
            <w:tcBorders>
              <w:top w:val="single" w:color="auto" w:sz="4" w:space="0"/>
              <w:left w:val="single" w:color="auto" w:sz="6" w:space="0"/>
              <w:bottom w:val="single" w:color="auto" w:sz="6" w:space="0"/>
              <w:right w:val="single" w:color="auto" w:sz="6" w:space="0"/>
            </w:tcBorders>
            <w:noWrap w:val="0"/>
            <w:vAlign w:val="center"/>
          </w:tcPr>
          <w:p w14:paraId="6837AA0B">
            <w:pPr>
              <w:spacing w:line="0" w:lineRule="atLeast"/>
              <w:jc w:val="center"/>
              <w:rPr>
                <w:rFonts w:hint="eastAsia" w:ascii="宋体" w:hAnsi="宋体"/>
                <w:caps w:val="0"/>
                <w:color w:val="auto"/>
                <w:sz w:val="24"/>
                <w:szCs w:val="24"/>
                <w:highlight w:val="none"/>
              </w:rPr>
            </w:pPr>
          </w:p>
        </w:tc>
        <w:tc>
          <w:tcPr>
            <w:tcW w:w="859" w:type="dxa"/>
            <w:tcBorders>
              <w:top w:val="single" w:color="auto" w:sz="4" w:space="0"/>
              <w:left w:val="single" w:color="auto" w:sz="6" w:space="0"/>
              <w:bottom w:val="single" w:color="auto" w:sz="6" w:space="0"/>
              <w:right w:val="single" w:color="auto" w:sz="6" w:space="0"/>
            </w:tcBorders>
            <w:noWrap w:val="0"/>
            <w:vAlign w:val="center"/>
          </w:tcPr>
          <w:p w14:paraId="3E21B9ED">
            <w:pPr>
              <w:spacing w:line="0" w:lineRule="atLeast"/>
              <w:jc w:val="center"/>
              <w:rPr>
                <w:rFonts w:hint="eastAsia" w:ascii="宋体" w:hAnsi="宋体"/>
                <w:caps w:val="0"/>
                <w:color w:val="auto"/>
                <w:sz w:val="24"/>
                <w:szCs w:val="24"/>
                <w:highlight w:val="none"/>
              </w:rPr>
            </w:pPr>
          </w:p>
        </w:tc>
      </w:tr>
      <w:tr w14:paraId="1E48464D">
        <w:tblPrEx>
          <w:tblCellMar>
            <w:top w:w="0" w:type="dxa"/>
            <w:left w:w="28" w:type="dxa"/>
            <w:bottom w:w="0" w:type="dxa"/>
            <w:right w:w="28" w:type="dxa"/>
          </w:tblCellMar>
        </w:tblPrEx>
        <w:trPr>
          <w:trHeight w:val="645" w:hRule="atLeast"/>
          <w:jc w:val="center"/>
        </w:trPr>
        <w:tc>
          <w:tcPr>
            <w:tcW w:w="790" w:type="dxa"/>
            <w:tcBorders>
              <w:top w:val="single" w:color="auto" w:sz="4" w:space="0"/>
              <w:left w:val="single" w:color="auto" w:sz="6" w:space="0"/>
              <w:bottom w:val="single" w:color="auto" w:sz="6" w:space="0"/>
            </w:tcBorders>
            <w:noWrap w:val="0"/>
            <w:vAlign w:val="center"/>
          </w:tcPr>
          <w:p w14:paraId="55F37E83">
            <w:pPr>
              <w:adjustRightInd w:val="0"/>
              <w:snapToGrid w:val="0"/>
              <w:spacing w:line="0" w:lineRule="atLeast"/>
              <w:jc w:val="center"/>
              <w:rPr>
                <w:rFonts w:hint="eastAsia" w:ascii="宋体" w:hAnsi="宋体"/>
                <w:caps w:val="0"/>
                <w:color w:val="auto"/>
                <w:sz w:val="24"/>
                <w:szCs w:val="24"/>
                <w:highlight w:val="none"/>
              </w:rPr>
            </w:pPr>
            <w:r>
              <w:rPr>
                <w:rFonts w:hint="eastAsia" w:ascii="宋体" w:hAnsi="宋体"/>
                <w:caps w:val="0"/>
                <w:color w:val="auto"/>
                <w:sz w:val="24"/>
                <w:szCs w:val="24"/>
                <w:highlight w:val="none"/>
              </w:rPr>
              <w:t>4</w:t>
            </w:r>
          </w:p>
        </w:tc>
        <w:tc>
          <w:tcPr>
            <w:tcW w:w="1479" w:type="dxa"/>
            <w:tcBorders>
              <w:top w:val="single" w:color="auto" w:sz="4" w:space="0"/>
              <w:left w:val="single" w:color="auto" w:sz="6" w:space="0"/>
              <w:bottom w:val="single" w:color="auto" w:sz="6" w:space="0"/>
              <w:right w:val="single" w:color="auto" w:sz="6" w:space="0"/>
            </w:tcBorders>
            <w:noWrap w:val="0"/>
            <w:vAlign w:val="center"/>
          </w:tcPr>
          <w:p w14:paraId="0C176278">
            <w:pPr>
              <w:adjustRightInd w:val="0"/>
              <w:snapToGrid w:val="0"/>
              <w:spacing w:line="0" w:lineRule="atLeast"/>
              <w:jc w:val="center"/>
              <w:rPr>
                <w:rFonts w:hint="eastAsia" w:ascii="宋体" w:hAnsi="宋体"/>
                <w:caps w:val="0"/>
                <w:color w:val="auto"/>
                <w:sz w:val="24"/>
                <w:szCs w:val="24"/>
                <w:highlight w:val="none"/>
              </w:rPr>
            </w:pPr>
          </w:p>
        </w:tc>
        <w:tc>
          <w:tcPr>
            <w:tcW w:w="1513" w:type="dxa"/>
            <w:tcBorders>
              <w:top w:val="single" w:color="auto" w:sz="4" w:space="0"/>
              <w:left w:val="single" w:color="auto" w:sz="6" w:space="0"/>
              <w:bottom w:val="single" w:color="auto" w:sz="6" w:space="0"/>
              <w:right w:val="single" w:color="auto" w:sz="6" w:space="0"/>
            </w:tcBorders>
            <w:noWrap w:val="0"/>
            <w:vAlign w:val="center"/>
          </w:tcPr>
          <w:p w14:paraId="1547C891">
            <w:pPr>
              <w:spacing w:line="0" w:lineRule="atLeast"/>
              <w:jc w:val="center"/>
              <w:rPr>
                <w:rFonts w:hint="eastAsia" w:ascii="宋体" w:hAnsi="宋体"/>
                <w:caps w:val="0"/>
                <w:color w:val="auto"/>
                <w:sz w:val="24"/>
                <w:szCs w:val="24"/>
                <w:highlight w:val="none"/>
              </w:rPr>
            </w:pPr>
          </w:p>
        </w:tc>
        <w:tc>
          <w:tcPr>
            <w:tcW w:w="1513" w:type="dxa"/>
            <w:tcBorders>
              <w:top w:val="single" w:color="auto" w:sz="4" w:space="0"/>
              <w:left w:val="single" w:color="auto" w:sz="6" w:space="0"/>
              <w:bottom w:val="single" w:color="auto" w:sz="6" w:space="0"/>
              <w:right w:val="single" w:color="auto" w:sz="6" w:space="0"/>
            </w:tcBorders>
            <w:noWrap w:val="0"/>
            <w:vAlign w:val="center"/>
          </w:tcPr>
          <w:p w14:paraId="53EF49F0">
            <w:pPr>
              <w:spacing w:line="0" w:lineRule="atLeast"/>
              <w:jc w:val="center"/>
              <w:rPr>
                <w:rFonts w:hint="eastAsia" w:ascii="宋体" w:hAnsi="宋体"/>
                <w:caps w:val="0"/>
                <w:color w:val="auto"/>
                <w:sz w:val="24"/>
                <w:szCs w:val="24"/>
                <w:highlight w:val="none"/>
              </w:rPr>
            </w:pPr>
          </w:p>
        </w:tc>
        <w:tc>
          <w:tcPr>
            <w:tcW w:w="1515" w:type="dxa"/>
            <w:tcBorders>
              <w:top w:val="single" w:color="auto" w:sz="4" w:space="0"/>
              <w:left w:val="single" w:color="auto" w:sz="6" w:space="0"/>
              <w:bottom w:val="single" w:color="auto" w:sz="6" w:space="0"/>
              <w:right w:val="single" w:color="auto" w:sz="6" w:space="0"/>
            </w:tcBorders>
            <w:noWrap w:val="0"/>
            <w:vAlign w:val="center"/>
          </w:tcPr>
          <w:p w14:paraId="4D855559">
            <w:pPr>
              <w:spacing w:line="0" w:lineRule="atLeast"/>
              <w:jc w:val="center"/>
              <w:rPr>
                <w:rFonts w:hint="eastAsia" w:ascii="宋体" w:hAnsi="宋体"/>
                <w:caps w:val="0"/>
                <w:color w:val="auto"/>
                <w:sz w:val="24"/>
                <w:szCs w:val="24"/>
                <w:highlight w:val="none"/>
              </w:rPr>
            </w:pPr>
          </w:p>
        </w:tc>
        <w:tc>
          <w:tcPr>
            <w:tcW w:w="1632" w:type="dxa"/>
            <w:tcBorders>
              <w:top w:val="single" w:color="auto" w:sz="4" w:space="0"/>
              <w:left w:val="single" w:color="auto" w:sz="6" w:space="0"/>
              <w:bottom w:val="single" w:color="auto" w:sz="6" w:space="0"/>
              <w:right w:val="single" w:color="auto" w:sz="6" w:space="0"/>
            </w:tcBorders>
            <w:noWrap w:val="0"/>
            <w:vAlign w:val="center"/>
          </w:tcPr>
          <w:p w14:paraId="1F226492">
            <w:pPr>
              <w:spacing w:line="0" w:lineRule="atLeast"/>
              <w:jc w:val="center"/>
              <w:rPr>
                <w:rFonts w:hint="eastAsia" w:ascii="宋体" w:hAnsi="宋体"/>
                <w:caps w:val="0"/>
                <w:color w:val="auto"/>
                <w:sz w:val="24"/>
                <w:szCs w:val="24"/>
                <w:highlight w:val="none"/>
              </w:rPr>
            </w:pPr>
          </w:p>
        </w:tc>
        <w:tc>
          <w:tcPr>
            <w:tcW w:w="859" w:type="dxa"/>
            <w:tcBorders>
              <w:top w:val="single" w:color="auto" w:sz="4" w:space="0"/>
              <w:left w:val="single" w:color="auto" w:sz="6" w:space="0"/>
              <w:bottom w:val="single" w:color="auto" w:sz="6" w:space="0"/>
              <w:right w:val="single" w:color="auto" w:sz="6" w:space="0"/>
            </w:tcBorders>
            <w:noWrap w:val="0"/>
            <w:vAlign w:val="center"/>
          </w:tcPr>
          <w:p w14:paraId="31A3F7BD">
            <w:pPr>
              <w:spacing w:line="0" w:lineRule="atLeast"/>
              <w:jc w:val="center"/>
              <w:rPr>
                <w:rFonts w:hint="eastAsia" w:ascii="宋体" w:hAnsi="宋体"/>
                <w:caps w:val="0"/>
                <w:color w:val="auto"/>
                <w:sz w:val="24"/>
                <w:szCs w:val="24"/>
                <w:highlight w:val="none"/>
              </w:rPr>
            </w:pPr>
          </w:p>
        </w:tc>
      </w:tr>
      <w:tr w14:paraId="1A2E9121">
        <w:tblPrEx>
          <w:tblCellMar>
            <w:top w:w="0" w:type="dxa"/>
            <w:left w:w="28" w:type="dxa"/>
            <w:bottom w:w="0" w:type="dxa"/>
            <w:right w:w="28" w:type="dxa"/>
          </w:tblCellMar>
        </w:tblPrEx>
        <w:trPr>
          <w:trHeight w:val="645" w:hRule="atLeast"/>
          <w:jc w:val="center"/>
        </w:trPr>
        <w:tc>
          <w:tcPr>
            <w:tcW w:w="790" w:type="dxa"/>
            <w:tcBorders>
              <w:top w:val="single" w:color="auto" w:sz="4" w:space="0"/>
              <w:left w:val="single" w:color="auto" w:sz="6" w:space="0"/>
              <w:bottom w:val="single" w:color="auto" w:sz="6" w:space="0"/>
            </w:tcBorders>
            <w:noWrap w:val="0"/>
            <w:vAlign w:val="center"/>
          </w:tcPr>
          <w:p w14:paraId="0C3E415B">
            <w:pPr>
              <w:adjustRightInd w:val="0"/>
              <w:snapToGrid w:val="0"/>
              <w:spacing w:line="0" w:lineRule="atLeast"/>
              <w:jc w:val="center"/>
              <w:rPr>
                <w:rFonts w:hint="eastAsia" w:ascii="宋体" w:hAnsi="宋体"/>
                <w:caps w:val="0"/>
                <w:color w:val="auto"/>
                <w:sz w:val="24"/>
                <w:szCs w:val="24"/>
                <w:highlight w:val="none"/>
              </w:rPr>
            </w:pPr>
            <w:r>
              <w:rPr>
                <w:rFonts w:hint="eastAsia" w:ascii="宋体" w:hAnsi="宋体"/>
                <w:caps w:val="0"/>
                <w:color w:val="auto"/>
                <w:sz w:val="24"/>
                <w:szCs w:val="24"/>
                <w:highlight w:val="none"/>
              </w:rPr>
              <w:t>5</w:t>
            </w:r>
          </w:p>
        </w:tc>
        <w:tc>
          <w:tcPr>
            <w:tcW w:w="1479" w:type="dxa"/>
            <w:tcBorders>
              <w:top w:val="single" w:color="auto" w:sz="4" w:space="0"/>
              <w:left w:val="single" w:color="auto" w:sz="6" w:space="0"/>
              <w:bottom w:val="single" w:color="auto" w:sz="6" w:space="0"/>
              <w:right w:val="single" w:color="auto" w:sz="6" w:space="0"/>
            </w:tcBorders>
            <w:noWrap w:val="0"/>
            <w:vAlign w:val="center"/>
          </w:tcPr>
          <w:p w14:paraId="554687B7">
            <w:pPr>
              <w:adjustRightInd w:val="0"/>
              <w:snapToGrid w:val="0"/>
              <w:spacing w:line="0" w:lineRule="atLeast"/>
              <w:jc w:val="center"/>
              <w:rPr>
                <w:rFonts w:hint="default" w:ascii="宋体" w:hAnsi="宋体" w:eastAsia="宋体"/>
                <w:caps w:val="0"/>
                <w:color w:val="auto"/>
                <w:sz w:val="24"/>
                <w:szCs w:val="24"/>
                <w:highlight w:val="none"/>
                <w:lang w:val="en-US" w:eastAsia="zh-CN"/>
              </w:rPr>
            </w:pPr>
            <w:r>
              <w:rPr>
                <w:rFonts w:hint="eastAsia" w:ascii="宋体" w:hAnsi="宋体"/>
                <w:caps w:val="0"/>
                <w:color w:val="auto"/>
                <w:sz w:val="24"/>
                <w:szCs w:val="24"/>
                <w:highlight w:val="none"/>
                <w:lang w:val="en-US" w:eastAsia="zh-CN"/>
              </w:rPr>
              <w:t>......</w:t>
            </w:r>
          </w:p>
        </w:tc>
        <w:tc>
          <w:tcPr>
            <w:tcW w:w="1513" w:type="dxa"/>
            <w:tcBorders>
              <w:top w:val="single" w:color="auto" w:sz="4" w:space="0"/>
              <w:left w:val="single" w:color="auto" w:sz="6" w:space="0"/>
              <w:bottom w:val="single" w:color="auto" w:sz="6" w:space="0"/>
              <w:right w:val="single" w:color="auto" w:sz="6" w:space="0"/>
            </w:tcBorders>
            <w:noWrap w:val="0"/>
            <w:vAlign w:val="center"/>
          </w:tcPr>
          <w:p w14:paraId="3C395B67">
            <w:pPr>
              <w:spacing w:line="0" w:lineRule="atLeast"/>
              <w:jc w:val="center"/>
              <w:rPr>
                <w:rFonts w:hint="eastAsia" w:ascii="宋体" w:hAnsi="宋体"/>
                <w:caps w:val="0"/>
                <w:color w:val="auto"/>
                <w:sz w:val="24"/>
                <w:szCs w:val="24"/>
                <w:highlight w:val="none"/>
              </w:rPr>
            </w:pPr>
          </w:p>
        </w:tc>
        <w:tc>
          <w:tcPr>
            <w:tcW w:w="1513" w:type="dxa"/>
            <w:tcBorders>
              <w:top w:val="single" w:color="auto" w:sz="4" w:space="0"/>
              <w:left w:val="single" w:color="auto" w:sz="6" w:space="0"/>
              <w:bottom w:val="single" w:color="auto" w:sz="6" w:space="0"/>
              <w:right w:val="single" w:color="auto" w:sz="6" w:space="0"/>
            </w:tcBorders>
            <w:noWrap w:val="0"/>
            <w:vAlign w:val="center"/>
          </w:tcPr>
          <w:p w14:paraId="46BDA9E8">
            <w:pPr>
              <w:spacing w:line="0" w:lineRule="atLeast"/>
              <w:jc w:val="center"/>
              <w:rPr>
                <w:rFonts w:hint="eastAsia" w:ascii="宋体" w:hAnsi="宋体"/>
                <w:caps w:val="0"/>
                <w:color w:val="auto"/>
                <w:sz w:val="24"/>
                <w:szCs w:val="24"/>
                <w:highlight w:val="none"/>
              </w:rPr>
            </w:pPr>
          </w:p>
        </w:tc>
        <w:tc>
          <w:tcPr>
            <w:tcW w:w="1515" w:type="dxa"/>
            <w:tcBorders>
              <w:top w:val="single" w:color="auto" w:sz="4" w:space="0"/>
              <w:left w:val="single" w:color="auto" w:sz="6" w:space="0"/>
              <w:bottom w:val="single" w:color="auto" w:sz="6" w:space="0"/>
              <w:right w:val="single" w:color="auto" w:sz="6" w:space="0"/>
            </w:tcBorders>
            <w:noWrap w:val="0"/>
            <w:vAlign w:val="center"/>
          </w:tcPr>
          <w:p w14:paraId="5AA85BC0">
            <w:pPr>
              <w:spacing w:line="0" w:lineRule="atLeast"/>
              <w:jc w:val="center"/>
              <w:rPr>
                <w:rFonts w:hint="eastAsia" w:ascii="宋体" w:hAnsi="宋体"/>
                <w:caps w:val="0"/>
                <w:color w:val="auto"/>
                <w:sz w:val="24"/>
                <w:szCs w:val="24"/>
                <w:highlight w:val="none"/>
              </w:rPr>
            </w:pPr>
          </w:p>
        </w:tc>
        <w:tc>
          <w:tcPr>
            <w:tcW w:w="1632" w:type="dxa"/>
            <w:tcBorders>
              <w:top w:val="single" w:color="auto" w:sz="4" w:space="0"/>
              <w:left w:val="single" w:color="auto" w:sz="6" w:space="0"/>
              <w:bottom w:val="single" w:color="auto" w:sz="6" w:space="0"/>
              <w:right w:val="single" w:color="auto" w:sz="6" w:space="0"/>
            </w:tcBorders>
            <w:noWrap w:val="0"/>
            <w:vAlign w:val="center"/>
          </w:tcPr>
          <w:p w14:paraId="44E80CA3">
            <w:pPr>
              <w:spacing w:line="0" w:lineRule="atLeast"/>
              <w:jc w:val="center"/>
              <w:rPr>
                <w:rFonts w:hint="eastAsia" w:ascii="宋体" w:hAnsi="宋体"/>
                <w:caps w:val="0"/>
                <w:color w:val="auto"/>
                <w:sz w:val="24"/>
                <w:szCs w:val="24"/>
                <w:highlight w:val="none"/>
              </w:rPr>
            </w:pPr>
          </w:p>
        </w:tc>
        <w:tc>
          <w:tcPr>
            <w:tcW w:w="859" w:type="dxa"/>
            <w:tcBorders>
              <w:top w:val="single" w:color="auto" w:sz="4" w:space="0"/>
              <w:left w:val="single" w:color="auto" w:sz="6" w:space="0"/>
              <w:bottom w:val="single" w:color="auto" w:sz="6" w:space="0"/>
              <w:right w:val="single" w:color="auto" w:sz="6" w:space="0"/>
            </w:tcBorders>
            <w:noWrap w:val="0"/>
            <w:vAlign w:val="center"/>
          </w:tcPr>
          <w:p w14:paraId="125AA157">
            <w:pPr>
              <w:spacing w:line="0" w:lineRule="atLeast"/>
              <w:jc w:val="center"/>
              <w:rPr>
                <w:rFonts w:hint="eastAsia" w:ascii="宋体" w:hAnsi="宋体"/>
                <w:caps w:val="0"/>
                <w:color w:val="auto"/>
                <w:sz w:val="24"/>
                <w:szCs w:val="24"/>
                <w:highlight w:val="none"/>
              </w:rPr>
            </w:pPr>
          </w:p>
        </w:tc>
      </w:tr>
      <w:tr w14:paraId="65CC2E7D">
        <w:tblPrEx>
          <w:tblCellMar>
            <w:top w:w="0" w:type="dxa"/>
            <w:left w:w="28" w:type="dxa"/>
            <w:bottom w:w="0" w:type="dxa"/>
            <w:right w:w="28" w:type="dxa"/>
          </w:tblCellMar>
        </w:tblPrEx>
        <w:trPr>
          <w:trHeight w:val="965" w:hRule="atLeast"/>
          <w:jc w:val="center"/>
        </w:trPr>
        <w:tc>
          <w:tcPr>
            <w:tcW w:w="790" w:type="dxa"/>
            <w:tcBorders>
              <w:top w:val="single" w:color="auto" w:sz="4" w:space="0"/>
              <w:left w:val="single" w:color="auto" w:sz="6" w:space="0"/>
              <w:bottom w:val="single" w:color="auto" w:sz="4" w:space="0"/>
              <w:right w:val="single" w:color="auto" w:sz="4" w:space="0"/>
            </w:tcBorders>
            <w:noWrap w:val="0"/>
            <w:vAlign w:val="center"/>
          </w:tcPr>
          <w:p w14:paraId="6BCA21A8">
            <w:pPr>
              <w:adjustRightInd w:val="0"/>
              <w:snapToGrid w:val="0"/>
              <w:spacing w:line="0" w:lineRule="atLeast"/>
              <w:jc w:val="center"/>
              <w:rPr>
                <w:rFonts w:hint="eastAsia" w:ascii="宋体" w:hAnsi="宋体" w:eastAsia="宋体" w:cs="Times New Roman"/>
                <w:caps w:val="0"/>
                <w:color w:val="auto"/>
                <w:sz w:val="24"/>
                <w:szCs w:val="24"/>
                <w:highlight w:val="none"/>
              </w:rPr>
            </w:pPr>
            <w:r>
              <w:rPr>
                <w:rFonts w:hint="eastAsia" w:ascii="宋体" w:hAnsi="宋体" w:eastAsia="宋体" w:cs="Times New Roman"/>
                <w:caps w:val="0"/>
                <w:color w:val="auto"/>
                <w:sz w:val="24"/>
                <w:szCs w:val="24"/>
                <w:highlight w:val="none"/>
              </w:rPr>
              <w:t>合计</w:t>
            </w:r>
          </w:p>
          <w:p w14:paraId="5676FD02">
            <w:pPr>
              <w:adjustRightInd w:val="0"/>
              <w:snapToGrid w:val="0"/>
              <w:spacing w:line="0" w:lineRule="atLeast"/>
              <w:jc w:val="center"/>
              <w:rPr>
                <w:rFonts w:hint="eastAsia" w:ascii="宋体" w:hAnsi="宋体" w:eastAsia="宋体" w:cs="Times New Roman"/>
                <w:caps w:val="0"/>
                <w:color w:val="auto"/>
                <w:kern w:val="2"/>
                <w:sz w:val="24"/>
                <w:szCs w:val="24"/>
                <w:highlight w:val="none"/>
                <w:lang w:val="en-US" w:eastAsia="zh-CN" w:bidi="ar-SA"/>
              </w:rPr>
            </w:pPr>
            <w:r>
              <w:rPr>
                <w:rFonts w:hint="eastAsia" w:ascii="宋体" w:hAnsi="宋体" w:eastAsia="宋体" w:cs="Times New Roman"/>
                <w:caps w:val="0"/>
                <w:color w:val="auto"/>
                <w:sz w:val="24"/>
                <w:szCs w:val="24"/>
                <w:highlight w:val="none"/>
                <w:lang w:val="en-US" w:eastAsia="zh-CN"/>
              </w:rPr>
              <w:t>总价</w:t>
            </w:r>
          </w:p>
        </w:tc>
        <w:tc>
          <w:tcPr>
            <w:tcW w:w="7652" w:type="dxa"/>
            <w:gridSpan w:val="5"/>
            <w:tcBorders>
              <w:top w:val="single" w:color="auto" w:sz="4" w:space="0"/>
              <w:left w:val="single" w:color="auto" w:sz="6" w:space="0"/>
              <w:bottom w:val="single" w:color="auto" w:sz="4" w:space="0"/>
              <w:right w:val="single" w:color="auto" w:sz="4" w:space="0"/>
            </w:tcBorders>
            <w:noWrap w:val="0"/>
            <w:vAlign w:val="center"/>
          </w:tcPr>
          <w:p w14:paraId="27799827">
            <w:pPr>
              <w:adjustRightInd w:val="0"/>
              <w:snapToGrid w:val="0"/>
              <w:spacing w:line="0" w:lineRule="atLeast"/>
              <w:jc w:val="left"/>
              <w:rPr>
                <w:rFonts w:hint="eastAsia" w:ascii="宋体" w:hAnsi="宋体" w:eastAsia="宋体" w:cs="Times New Roman"/>
                <w:caps w:val="0"/>
                <w:color w:val="auto"/>
                <w:sz w:val="24"/>
                <w:szCs w:val="24"/>
                <w:highlight w:val="none"/>
              </w:rPr>
            </w:pPr>
            <w:r>
              <w:rPr>
                <w:rFonts w:hint="eastAsia" w:ascii="宋体" w:hAnsi="宋体" w:eastAsia="宋体" w:cs="Times New Roman"/>
                <w:caps w:val="0"/>
                <w:color w:val="auto"/>
                <w:sz w:val="24"/>
                <w:szCs w:val="24"/>
                <w:highlight w:val="none"/>
              </w:rPr>
              <w:t>（小写）：</w:t>
            </w:r>
          </w:p>
          <w:p w14:paraId="533943F7">
            <w:pPr>
              <w:adjustRightInd w:val="0"/>
              <w:snapToGrid w:val="0"/>
              <w:spacing w:line="0" w:lineRule="atLeast"/>
              <w:jc w:val="left"/>
              <w:rPr>
                <w:rFonts w:hint="eastAsia" w:ascii="宋体" w:hAnsi="宋体" w:eastAsia="宋体" w:cs="Times New Roman"/>
                <w:caps w:val="0"/>
                <w:color w:val="auto"/>
                <w:kern w:val="2"/>
                <w:sz w:val="24"/>
                <w:szCs w:val="24"/>
                <w:highlight w:val="none"/>
                <w:lang w:val="en-US" w:eastAsia="zh-CN" w:bidi="ar-SA"/>
              </w:rPr>
            </w:pPr>
            <w:r>
              <w:rPr>
                <w:rFonts w:hint="eastAsia" w:ascii="宋体" w:hAnsi="宋体" w:eastAsia="宋体" w:cs="Times New Roman"/>
                <w:caps w:val="0"/>
                <w:color w:val="auto"/>
                <w:sz w:val="24"/>
                <w:szCs w:val="24"/>
                <w:highlight w:val="none"/>
              </w:rPr>
              <w:t>（大写）：</w:t>
            </w:r>
          </w:p>
        </w:tc>
        <w:tc>
          <w:tcPr>
            <w:tcW w:w="859" w:type="dxa"/>
            <w:tcBorders>
              <w:top w:val="single" w:color="auto" w:sz="4" w:space="0"/>
              <w:left w:val="single" w:color="auto" w:sz="6" w:space="0"/>
              <w:bottom w:val="single" w:color="auto" w:sz="4" w:space="0"/>
              <w:right w:val="single" w:color="auto" w:sz="4" w:space="0"/>
            </w:tcBorders>
            <w:noWrap w:val="0"/>
            <w:vAlign w:val="center"/>
          </w:tcPr>
          <w:p w14:paraId="1E4ED4AD">
            <w:pPr>
              <w:adjustRightInd w:val="0"/>
              <w:snapToGrid w:val="0"/>
              <w:spacing w:line="0" w:lineRule="atLeast"/>
              <w:jc w:val="left"/>
              <w:rPr>
                <w:rFonts w:hint="eastAsia" w:ascii="宋体" w:hAnsi="宋体" w:eastAsia="宋体" w:cs="Times New Roman"/>
                <w:caps w:val="0"/>
                <w:color w:val="auto"/>
                <w:sz w:val="24"/>
                <w:szCs w:val="24"/>
                <w:highlight w:val="none"/>
              </w:rPr>
            </w:pPr>
          </w:p>
        </w:tc>
      </w:tr>
    </w:tbl>
    <w:p w14:paraId="6BA7F928">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说明：</w:t>
      </w:r>
    </w:p>
    <w:p w14:paraId="19A42E8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1.所有</w:t>
      </w:r>
      <w:r>
        <w:rPr>
          <w:rFonts w:hint="eastAsia" w:ascii="宋体" w:hAnsi="宋体" w:cs="宋体"/>
          <w:b/>
          <w:bCs/>
          <w:color w:val="auto"/>
          <w:sz w:val="24"/>
          <w:szCs w:val="24"/>
          <w:highlight w:val="none"/>
          <w:lang w:val="en-US" w:eastAsia="zh-CN"/>
        </w:rPr>
        <w:t>磋商报价</w:t>
      </w:r>
      <w:r>
        <w:rPr>
          <w:rFonts w:hint="eastAsia" w:ascii="宋体" w:hAnsi="宋体" w:cs="宋体"/>
          <w:b/>
          <w:bCs/>
          <w:color w:val="auto"/>
          <w:sz w:val="24"/>
          <w:szCs w:val="24"/>
          <w:highlight w:val="none"/>
        </w:rPr>
        <w:t>均</w:t>
      </w:r>
      <w:r>
        <w:rPr>
          <w:rFonts w:hint="eastAsia" w:ascii="宋体" w:hAnsi="宋体" w:cs="宋体"/>
          <w:b/>
          <w:bCs/>
          <w:color w:val="auto"/>
          <w:sz w:val="24"/>
          <w:szCs w:val="24"/>
          <w:highlight w:val="none"/>
          <w:lang w:val="en-US" w:eastAsia="zh-CN"/>
        </w:rPr>
        <w:t>含税，且</w:t>
      </w:r>
      <w:r>
        <w:rPr>
          <w:rFonts w:hint="eastAsia" w:ascii="宋体" w:hAnsi="宋体" w:cs="宋体"/>
          <w:b/>
          <w:bCs/>
          <w:color w:val="auto"/>
          <w:sz w:val="24"/>
          <w:szCs w:val="24"/>
          <w:highlight w:val="none"/>
        </w:rPr>
        <w:t>用人民币表示，单位为元，精确到小数点后两位；</w:t>
      </w:r>
    </w:p>
    <w:p w14:paraId="46CA93E8">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cs="宋体"/>
          <w:b/>
          <w:bCs/>
          <w:color w:val="auto"/>
          <w:kern w:val="2"/>
          <w:sz w:val="24"/>
          <w:szCs w:val="24"/>
          <w:highlight w:val="none"/>
          <w:lang w:val="en-US" w:eastAsia="zh-CN" w:bidi="ar-SA"/>
        </w:rPr>
        <w:t>2.</w:t>
      </w:r>
      <w:r>
        <w:rPr>
          <w:rFonts w:hint="eastAsia" w:ascii="宋体" w:hAnsi="宋体" w:cs="宋体"/>
          <w:b/>
          <w:bCs/>
          <w:color w:val="auto"/>
          <w:sz w:val="24"/>
          <w:szCs w:val="24"/>
          <w:highlight w:val="none"/>
        </w:rPr>
        <w:t>该表中包</w:t>
      </w:r>
      <w:r>
        <w:rPr>
          <w:rFonts w:hint="eastAsia" w:ascii="宋体" w:hAnsi="宋体" w:eastAsia="宋体" w:cs="宋体"/>
          <w:b/>
          <w:bCs/>
          <w:color w:val="auto"/>
          <w:sz w:val="24"/>
          <w:szCs w:val="24"/>
          <w:highlight w:val="none"/>
          <w:lang w:val="en-US" w:eastAsia="zh-CN"/>
        </w:rPr>
        <w:t>含供应商认为完成本项目所需的所有费用,合计总价应与磋商一次报价表中响应总价金额一致。</w:t>
      </w:r>
    </w:p>
    <w:p w14:paraId="48228BB6">
      <w:pPr>
        <w:adjustRightInd w:val="0"/>
        <w:snapToGrid w:val="0"/>
        <w:spacing w:line="360" w:lineRule="auto"/>
        <w:ind w:firstLine="480" w:firstLineChars="200"/>
        <w:jc w:val="right"/>
        <w:rPr>
          <w:rFonts w:hint="eastAsia" w:ascii="宋体" w:hAnsi="宋体" w:cs="宋体"/>
          <w:color w:val="auto"/>
          <w:sz w:val="24"/>
          <w:szCs w:val="24"/>
          <w:highlight w:val="none"/>
          <w:lang w:eastAsia="zh-CN"/>
        </w:rPr>
      </w:pPr>
    </w:p>
    <w:p w14:paraId="2DE70780">
      <w:pPr>
        <w:adjustRightInd w:val="0"/>
        <w:snapToGrid w:val="0"/>
        <w:spacing w:line="360" w:lineRule="auto"/>
        <w:ind w:firstLine="480" w:firstLineChars="200"/>
        <w:jc w:val="right"/>
        <w:rPr>
          <w:rFonts w:hint="eastAsia" w:ascii="宋体" w:hAnsi="宋体" w:cs="宋体"/>
          <w:color w:val="auto"/>
          <w:sz w:val="24"/>
          <w:szCs w:val="24"/>
          <w:highlight w:val="none"/>
          <w:lang w:eastAsia="zh-CN"/>
        </w:rPr>
      </w:pPr>
    </w:p>
    <w:p w14:paraId="2E1E9D9B">
      <w:pPr>
        <w:adjustRightInd w:val="0"/>
        <w:snapToGrid w:val="0"/>
        <w:spacing w:line="360" w:lineRule="auto"/>
        <w:ind w:firstLine="480" w:firstLineChars="200"/>
        <w:jc w:val="right"/>
        <w:rPr>
          <w:rFonts w:hint="eastAsia" w:ascii="宋体" w:hAnsi="宋体" w:cs="宋体"/>
          <w:bCs/>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（盖章）</w:t>
      </w:r>
    </w:p>
    <w:p w14:paraId="34CBCED6">
      <w:pPr>
        <w:adjustRightInd w:val="0"/>
        <w:snapToGrid w:val="0"/>
        <w:spacing w:line="360" w:lineRule="auto"/>
        <w:ind w:firstLine="480" w:firstLineChars="200"/>
        <w:jc w:val="right"/>
        <w:rPr>
          <w:rFonts w:hint="eastAsia" w:ascii="宋体" w:hAnsi="宋体" w:cs="宋体"/>
          <w:color w:val="auto"/>
          <w:sz w:val="24"/>
          <w:szCs w:val="24"/>
          <w:highlight w:val="none"/>
        </w:rPr>
      </w:pPr>
      <w:r>
        <w:rPr>
          <w:rFonts w:hint="eastAsia" w:ascii="宋体" w:hAnsi="宋体" w:cs="宋体"/>
          <w:bCs/>
          <w:color w:val="auto"/>
          <w:sz w:val="24"/>
          <w:szCs w:val="24"/>
          <w:highlight w:val="none"/>
        </w:rPr>
        <w:t>法定代表人或被授权人</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（签字或盖章）</w:t>
      </w:r>
    </w:p>
    <w:p w14:paraId="453CF010">
      <w:pPr>
        <w:adjustRightInd w:val="0"/>
        <w:snapToGrid w:val="0"/>
        <w:spacing w:line="360" w:lineRule="auto"/>
        <w:ind w:firstLine="480" w:firstLineChars="200"/>
        <w:jc w:val="right"/>
        <w:rPr>
          <w:rFonts w:hint="eastAsia" w:ascii="宋体" w:hAnsi="宋体" w:cs="宋体"/>
          <w:color w:val="auto"/>
          <w:sz w:val="24"/>
          <w:szCs w:val="24"/>
          <w:highlight w:val="none"/>
        </w:rPr>
        <w:sectPr>
          <w:pgSz w:w="11906" w:h="16838"/>
          <w:pgMar w:top="1440" w:right="1800" w:bottom="1440" w:left="1800" w:header="851" w:footer="992" w:gutter="0"/>
          <w:pgNumType w:fmt="decimal"/>
          <w:cols w:space="720" w:num="1"/>
          <w:titlePg/>
          <w:docGrid w:type="lines" w:linePitch="312" w:charSpace="0"/>
        </w:sect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bookmarkEnd w:id="497"/>
    <w:bookmarkEnd w:id="498"/>
    <w:bookmarkEnd w:id="499"/>
    <w:bookmarkEnd w:id="500"/>
    <w:p w14:paraId="146429E9">
      <w:pPr>
        <w:bidi w:val="0"/>
        <w:jc w:val="center"/>
        <w:rPr>
          <w:rFonts w:hint="eastAsia" w:ascii="Times New Roman" w:hAnsi="Times New Roman" w:eastAsia="宋体" w:cs="Times New Roman"/>
          <w:b/>
          <w:bCs/>
          <w:sz w:val="32"/>
          <w:szCs w:val="28"/>
          <w:highlight w:val="none"/>
          <w:lang w:eastAsia="zh-CN"/>
        </w:rPr>
      </w:pPr>
      <w:r>
        <w:rPr>
          <w:rFonts w:hint="eastAsia" w:ascii="宋体" w:hAnsi="宋体" w:eastAsia="宋体" w:cs="Times New Roman"/>
          <w:b/>
          <w:color w:val="auto"/>
          <w:sz w:val="32"/>
          <w:szCs w:val="32"/>
          <w:highlight w:val="none"/>
          <w:lang w:val="en-US" w:eastAsia="zh-CN"/>
        </w:rPr>
        <w:t>4.技</w:t>
      </w:r>
      <w:r>
        <w:rPr>
          <w:rFonts w:hint="eastAsia" w:ascii="Times New Roman" w:hAnsi="Times New Roman" w:eastAsia="宋体" w:cs="Times New Roman"/>
          <w:b/>
          <w:bCs/>
          <w:sz w:val="32"/>
          <w:szCs w:val="28"/>
          <w:highlight w:val="none"/>
          <w:lang w:eastAsia="zh-CN"/>
        </w:rPr>
        <w:t>术条款响应偏离表</w:t>
      </w:r>
    </w:p>
    <w:p w14:paraId="7F2B538D">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项目名称：</w:t>
      </w:r>
      <w:r>
        <w:rPr>
          <w:rFonts w:hint="eastAsia" w:ascii="宋体" w:hAnsi="宋体"/>
          <w:bCs/>
          <w:color w:val="auto"/>
          <w:sz w:val="24"/>
          <w:szCs w:val="24"/>
          <w:highlight w:val="none"/>
          <w:u w:val="single"/>
        </w:rPr>
        <w:t xml:space="preserve">                       </w:t>
      </w:r>
    </w:p>
    <w:p w14:paraId="3D00424A">
      <w:pPr>
        <w:spacing w:line="360" w:lineRule="auto"/>
        <w:rPr>
          <w:rFonts w:hint="eastAsia" w:ascii="宋体" w:hAnsi="宋体" w:eastAsia="宋体" w:cs="宋体"/>
          <w:sz w:val="24"/>
          <w:szCs w:val="24"/>
          <w:highlight w:val="none"/>
        </w:rPr>
      </w:pPr>
      <w:r>
        <w:rPr>
          <w:rFonts w:hint="eastAsia" w:ascii="宋体" w:hAnsi="宋体"/>
          <w:bCs/>
          <w:color w:val="auto"/>
          <w:sz w:val="24"/>
          <w:szCs w:val="24"/>
          <w:highlight w:val="none"/>
        </w:rPr>
        <w:t>项目编号：</w:t>
      </w:r>
      <w:r>
        <w:rPr>
          <w:rFonts w:hint="eastAsia" w:ascii="宋体" w:hAnsi="宋体"/>
          <w:bCs/>
          <w:color w:val="auto"/>
          <w:sz w:val="24"/>
          <w:szCs w:val="24"/>
          <w:highlight w:val="none"/>
          <w:u w:val="single"/>
        </w:rPr>
        <w:t xml:space="preserve">                       </w:t>
      </w:r>
    </w:p>
    <w:tbl>
      <w:tblPr>
        <w:tblStyle w:val="39"/>
        <w:tblW w:w="8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2471"/>
        <w:gridCol w:w="2242"/>
        <w:gridCol w:w="2579"/>
        <w:gridCol w:w="1073"/>
      </w:tblGrid>
      <w:tr w14:paraId="4EA34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633" w:type="dxa"/>
            <w:noWrap w:val="0"/>
            <w:tcMar>
              <w:top w:w="57" w:type="dxa"/>
              <w:left w:w="28" w:type="dxa"/>
              <w:bottom w:w="57" w:type="dxa"/>
              <w:right w:w="28" w:type="dxa"/>
            </w:tcMar>
            <w:vAlign w:val="center"/>
          </w:tcPr>
          <w:p w14:paraId="76AF614C">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2471" w:type="dxa"/>
            <w:noWrap w:val="0"/>
            <w:tcMar>
              <w:top w:w="57" w:type="dxa"/>
              <w:left w:w="28" w:type="dxa"/>
              <w:bottom w:w="57" w:type="dxa"/>
              <w:right w:w="28" w:type="dxa"/>
            </w:tcMar>
            <w:vAlign w:val="center"/>
          </w:tcPr>
          <w:p w14:paraId="548C08D6">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竞争性磋商文件</w:t>
            </w:r>
          </w:p>
          <w:p w14:paraId="6E9DAE00">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服务要求</w:t>
            </w:r>
          </w:p>
        </w:tc>
        <w:tc>
          <w:tcPr>
            <w:tcW w:w="2242" w:type="dxa"/>
            <w:noWrap w:val="0"/>
            <w:tcMar>
              <w:top w:w="57" w:type="dxa"/>
              <w:left w:w="28" w:type="dxa"/>
              <w:bottom w:w="57" w:type="dxa"/>
              <w:right w:w="28" w:type="dxa"/>
            </w:tcMar>
            <w:vAlign w:val="center"/>
          </w:tcPr>
          <w:p w14:paraId="05116C68">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响应文件响应内容</w:t>
            </w:r>
          </w:p>
        </w:tc>
        <w:tc>
          <w:tcPr>
            <w:tcW w:w="2579" w:type="dxa"/>
            <w:noWrap w:val="0"/>
            <w:tcMar>
              <w:top w:w="57" w:type="dxa"/>
              <w:left w:w="28" w:type="dxa"/>
              <w:bottom w:w="57" w:type="dxa"/>
              <w:right w:w="28" w:type="dxa"/>
            </w:tcMar>
            <w:vAlign w:val="center"/>
          </w:tcPr>
          <w:p w14:paraId="25EA55DC">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偏离情况</w:t>
            </w:r>
          </w:p>
          <w:p w14:paraId="7047B8CE">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（正偏离/无偏离/</w:t>
            </w:r>
          </w:p>
          <w:p w14:paraId="2E24544F">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负偏离）</w:t>
            </w:r>
          </w:p>
        </w:tc>
        <w:tc>
          <w:tcPr>
            <w:tcW w:w="1073" w:type="dxa"/>
            <w:noWrap w:val="0"/>
            <w:tcMar>
              <w:top w:w="57" w:type="dxa"/>
              <w:left w:w="28" w:type="dxa"/>
              <w:bottom w:w="57" w:type="dxa"/>
              <w:right w:w="28" w:type="dxa"/>
            </w:tcMar>
            <w:vAlign w:val="center"/>
          </w:tcPr>
          <w:p w14:paraId="0530C363">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备注</w:t>
            </w:r>
          </w:p>
        </w:tc>
      </w:tr>
      <w:tr w14:paraId="75CDF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77759F69">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471" w:type="dxa"/>
            <w:noWrap w:val="0"/>
            <w:tcMar>
              <w:top w:w="57" w:type="dxa"/>
              <w:left w:w="28" w:type="dxa"/>
              <w:bottom w:w="57" w:type="dxa"/>
              <w:right w:w="28" w:type="dxa"/>
            </w:tcMar>
            <w:vAlign w:val="center"/>
          </w:tcPr>
          <w:p w14:paraId="4450B107">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p>
        </w:tc>
        <w:tc>
          <w:tcPr>
            <w:tcW w:w="2242" w:type="dxa"/>
            <w:noWrap w:val="0"/>
            <w:tcMar>
              <w:top w:w="57" w:type="dxa"/>
              <w:left w:w="28" w:type="dxa"/>
              <w:bottom w:w="57" w:type="dxa"/>
              <w:right w:w="28" w:type="dxa"/>
            </w:tcMar>
            <w:vAlign w:val="center"/>
          </w:tcPr>
          <w:p w14:paraId="468BA810">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p>
        </w:tc>
        <w:tc>
          <w:tcPr>
            <w:tcW w:w="2579" w:type="dxa"/>
            <w:noWrap w:val="0"/>
            <w:tcMar>
              <w:top w:w="57" w:type="dxa"/>
              <w:left w:w="28" w:type="dxa"/>
              <w:bottom w:w="57" w:type="dxa"/>
              <w:right w:w="28" w:type="dxa"/>
            </w:tcMar>
            <w:vAlign w:val="center"/>
          </w:tcPr>
          <w:p w14:paraId="1813D715">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p>
        </w:tc>
        <w:tc>
          <w:tcPr>
            <w:tcW w:w="1073" w:type="dxa"/>
            <w:noWrap w:val="0"/>
            <w:tcMar>
              <w:top w:w="57" w:type="dxa"/>
              <w:left w:w="28" w:type="dxa"/>
              <w:bottom w:w="57" w:type="dxa"/>
              <w:right w:w="28" w:type="dxa"/>
            </w:tcMar>
            <w:vAlign w:val="center"/>
          </w:tcPr>
          <w:p w14:paraId="16E3B8E3">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p>
        </w:tc>
      </w:tr>
      <w:tr w14:paraId="4811F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0FF6FA83">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2471" w:type="dxa"/>
            <w:noWrap w:val="0"/>
            <w:tcMar>
              <w:top w:w="57" w:type="dxa"/>
              <w:left w:w="28" w:type="dxa"/>
              <w:bottom w:w="57" w:type="dxa"/>
              <w:right w:w="28" w:type="dxa"/>
            </w:tcMar>
            <w:vAlign w:val="center"/>
          </w:tcPr>
          <w:p w14:paraId="52EDA1BF">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p>
        </w:tc>
        <w:tc>
          <w:tcPr>
            <w:tcW w:w="2242" w:type="dxa"/>
            <w:noWrap w:val="0"/>
            <w:tcMar>
              <w:top w:w="57" w:type="dxa"/>
              <w:left w:w="28" w:type="dxa"/>
              <w:bottom w:w="57" w:type="dxa"/>
              <w:right w:w="28" w:type="dxa"/>
            </w:tcMar>
            <w:vAlign w:val="center"/>
          </w:tcPr>
          <w:p w14:paraId="11ADAF3E">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p>
        </w:tc>
        <w:tc>
          <w:tcPr>
            <w:tcW w:w="2579" w:type="dxa"/>
            <w:noWrap w:val="0"/>
            <w:tcMar>
              <w:top w:w="57" w:type="dxa"/>
              <w:left w:w="28" w:type="dxa"/>
              <w:bottom w:w="57" w:type="dxa"/>
              <w:right w:w="28" w:type="dxa"/>
            </w:tcMar>
            <w:vAlign w:val="center"/>
          </w:tcPr>
          <w:p w14:paraId="16134F39">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p>
        </w:tc>
        <w:tc>
          <w:tcPr>
            <w:tcW w:w="1073" w:type="dxa"/>
            <w:noWrap w:val="0"/>
            <w:tcMar>
              <w:top w:w="57" w:type="dxa"/>
              <w:left w:w="28" w:type="dxa"/>
              <w:bottom w:w="57" w:type="dxa"/>
              <w:right w:w="28" w:type="dxa"/>
            </w:tcMar>
            <w:vAlign w:val="center"/>
          </w:tcPr>
          <w:p w14:paraId="70390A61">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p>
        </w:tc>
      </w:tr>
      <w:tr w14:paraId="57941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116490DF">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2471" w:type="dxa"/>
            <w:noWrap w:val="0"/>
            <w:tcMar>
              <w:top w:w="57" w:type="dxa"/>
              <w:left w:w="28" w:type="dxa"/>
              <w:bottom w:w="57" w:type="dxa"/>
              <w:right w:w="28" w:type="dxa"/>
            </w:tcMar>
            <w:vAlign w:val="center"/>
          </w:tcPr>
          <w:p w14:paraId="59554CE5">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p>
        </w:tc>
        <w:tc>
          <w:tcPr>
            <w:tcW w:w="2242" w:type="dxa"/>
            <w:noWrap w:val="0"/>
            <w:tcMar>
              <w:top w:w="57" w:type="dxa"/>
              <w:left w:w="28" w:type="dxa"/>
              <w:bottom w:w="57" w:type="dxa"/>
              <w:right w:w="28" w:type="dxa"/>
            </w:tcMar>
            <w:vAlign w:val="center"/>
          </w:tcPr>
          <w:p w14:paraId="7B76AF7A">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p>
        </w:tc>
        <w:tc>
          <w:tcPr>
            <w:tcW w:w="2579" w:type="dxa"/>
            <w:noWrap w:val="0"/>
            <w:tcMar>
              <w:top w:w="57" w:type="dxa"/>
              <w:left w:w="28" w:type="dxa"/>
              <w:bottom w:w="57" w:type="dxa"/>
              <w:right w:w="28" w:type="dxa"/>
            </w:tcMar>
            <w:vAlign w:val="center"/>
          </w:tcPr>
          <w:p w14:paraId="05F8CF4C">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p>
        </w:tc>
        <w:tc>
          <w:tcPr>
            <w:tcW w:w="1073" w:type="dxa"/>
            <w:noWrap w:val="0"/>
            <w:tcMar>
              <w:top w:w="57" w:type="dxa"/>
              <w:left w:w="28" w:type="dxa"/>
              <w:bottom w:w="57" w:type="dxa"/>
              <w:right w:w="28" w:type="dxa"/>
            </w:tcMar>
            <w:vAlign w:val="center"/>
          </w:tcPr>
          <w:p w14:paraId="32F7618B">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p>
        </w:tc>
      </w:tr>
      <w:tr w14:paraId="3E8AA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3C234C30">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2471" w:type="dxa"/>
            <w:noWrap w:val="0"/>
            <w:tcMar>
              <w:top w:w="57" w:type="dxa"/>
              <w:left w:w="28" w:type="dxa"/>
              <w:bottom w:w="57" w:type="dxa"/>
              <w:right w:w="28" w:type="dxa"/>
            </w:tcMar>
            <w:vAlign w:val="center"/>
          </w:tcPr>
          <w:p w14:paraId="0773BE24">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p>
        </w:tc>
        <w:tc>
          <w:tcPr>
            <w:tcW w:w="2242" w:type="dxa"/>
            <w:noWrap w:val="0"/>
            <w:tcMar>
              <w:top w:w="57" w:type="dxa"/>
              <w:left w:w="28" w:type="dxa"/>
              <w:bottom w:w="57" w:type="dxa"/>
              <w:right w:w="28" w:type="dxa"/>
            </w:tcMar>
            <w:vAlign w:val="center"/>
          </w:tcPr>
          <w:p w14:paraId="15D2329B">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p>
        </w:tc>
        <w:tc>
          <w:tcPr>
            <w:tcW w:w="2579" w:type="dxa"/>
            <w:noWrap w:val="0"/>
            <w:tcMar>
              <w:top w:w="57" w:type="dxa"/>
              <w:left w:w="28" w:type="dxa"/>
              <w:bottom w:w="57" w:type="dxa"/>
              <w:right w:w="28" w:type="dxa"/>
            </w:tcMar>
            <w:vAlign w:val="center"/>
          </w:tcPr>
          <w:p w14:paraId="0646A874">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p>
        </w:tc>
        <w:tc>
          <w:tcPr>
            <w:tcW w:w="1073" w:type="dxa"/>
            <w:noWrap w:val="0"/>
            <w:tcMar>
              <w:top w:w="57" w:type="dxa"/>
              <w:left w:w="28" w:type="dxa"/>
              <w:bottom w:w="57" w:type="dxa"/>
              <w:right w:w="28" w:type="dxa"/>
            </w:tcMar>
            <w:vAlign w:val="center"/>
          </w:tcPr>
          <w:p w14:paraId="2C30C6F4">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p>
        </w:tc>
      </w:tr>
      <w:tr w14:paraId="5C3C8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233ADC8E">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2471" w:type="dxa"/>
            <w:noWrap w:val="0"/>
            <w:tcMar>
              <w:top w:w="57" w:type="dxa"/>
              <w:left w:w="28" w:type="dxa"/>
              <w:bottom w:w="57" w:type="dxa"/>
              <w:right w:w="28" w:type="dxa"/>
            </w:tcMar>
            <w:vAlign w:val="center"/>
          </w:tcPr>
          <w:p w14:paraId="090DCD6D">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p>
        </w:tc>
        <w:tc>
          <w:tcPr>
            <w:tcW w:w="2242" w:type="dxa"/>
            <w:noWrap w:val="0"/>
            <w:tcMar>
              <w:top w:w="57" w:type="dxa"/>
              <w:left w:w="28" w:type="dxa"/>
              <w:bottom w:w="57" w:type="dxa"/>
              <w:right w:w="28" w:type="dxa"/>
            </w:tcMar>
            <w:vAlign w:val="center"/>
          </w:tcPr>
          <w:p w14:paraId="2BBD9F5A">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p>
        </w:tc>
        <w:tc>
          <w:tcPr>
            <w:tcW w:w="2579" w:type="dxa"/>
            <w:noWrap w:val="0"/>
            <w:tcMar>
              <w:top w:w="57" w:type="dxa"/>
              <w:left w:w="28" w:type="dxa"/>
              <w:bottom w:w="57" w:type="dxa"/>
              <w:right w:w="28" w:type="dxa"/>
            </w:tcMar>
            <w:vAlign w:val="center"/>
          </w:tcPr>
          <w:p w14:paraId="1A51B65E">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p>
        </w:tc>
        <w:tc>
          <w:tcPr>
            <w:tcW w:w="1073" w:type="dxa"/>
            <w:noWrap w:val="0"/>
            <w:tcMar>
              <w:top w:w="57" w:type="dxa"/>
              <w:left w:w="28" w:type="dxa"/>
              <w:bottom w:w="57" w:type="dxa"/>
              <w:right w:w="28" w:type="dxa"/>
            </w:tcMar>
            <w:vAlign w:val="center"/>
          </w:tcPr>
          <w:p w14:paraId="41B0E404">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p>
        </w:tc>
      </w:tr>
      <w:tr w14:paraId="4AF53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633" w:type="dxa"/>
            <w:noWrap w:val="0"/>
            <w:tcMar>
              <w:top w:w="57" w:type="dxa"/>
              <w:left w:w="28" w:type="dxa"/>
              <w:bottom w:w="57" w:type="dxa"/>
              <w:right w:w="28" w:type="dxa"/>
            </w:tcMar>
            <w:vAlign w:val="center"/>
          </w:tcPr>
          <w:p w14:paraId="4EE204B9">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2471" w:type="dxa"/>
            <w:noWrap w:val="0"/>
            <w:tcMar>
              <w:top w:w="57" w:type="dxa"/>
              <w:left w:w="28" w:type="dxa"/>
              <w:bottom w:w="57" w:type="dxa"/>
              <w:right w:w="28" w:type="dxa"/>
            </w:tcMar>
            <w:vAlign w:val="center"/>
          </w:tcPr>
          <w:p w14:paraId="560D5318">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2242" w:type="dxa"/>
            <w:noWrap w:val="0"/>
            <w:tcMar>
              <w:top w:w="57" w:type="dxa"/>
              <w:left w:w="28" w:type="dxa"/>
              <w:bottom w:w="57" w:type="dxa"/>
              <w:right w:w="28" w:type="dxa"/>
            </w:tcMar>
            <w:vAlign w:val="center"/>
          </w:tcPr>
          <w:p w14:paraId="5CDAE62C">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p>
        </w:tc>
        <w:tc>
          <w:tcPr>
            <w:tcW w:w="2579" w:type="dxa"/>
            <w:noWrap w:val="0"/>
            <w:tcMar>
              <w:top w:w="57" w:type="dxa"/>
              <w:left w:w="28" w:type="dxa"/>
              <w:bottom w:w="57" w:type="dxa"/>
              <w:right w:w="28" w:type="dxa"/>
            </w:tcMar>
            <w:vAlign w:val="center"/>
          </w:tcPr>
          <w:p w14:paraId="6DCC5A73">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p>
        </w:tc>
        <w:tc>
          <w:tcPr>
            <w:tcW w:w="1073" w:type="dxa"/>
            <w:noWrap w:val="0"/>
            <w:tcMar>
              <w:top w:w="57" w:type="dxa"/>
              <w:left w:w="28" w:type="dxa"/>
              <w:bottom w:w="57" w:type="dxa"/>
              <w:right w:w="28" w:type="dxa"/>
            </w:tcMar>
            <w:vAlign w:val="center"/>
          </w:tcPr>
          <w:p w14:paraId="79B60E24">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sz w:val="24"/>
                <w:szCs w:val="24"/>
                <w:highlight w:val="none"/>
              </w:rPr>
            </w:pPr>
          </w:p>
        </w:tc>
      </w:tr>
    </w:tbl>
    <w:p w14:paraId="09435456">
      <w:pPr>
        <w:keepNext w:val="0"/>
        <w:keepLines w:val="0"/>
        <w:pageBreakBefore w:val="0"/>
        <w:widowControl w:val="0"/>
        <w:kinsoku/>
        <w:wordWrap w:val="0"/>
        <w:overflowPunct/>
        <w:topLinePunct w:val="0"/>
        <w:autoSpaceDE/>
        <w:autoSpaceDN/>
        <w:bidi w:val="0"/>
        <w:adjustRightInd w:val="0"/>
        <w:snapToGrid w:val="0"/>
        <w:spacing w:line="36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注：供应商应按照“第三章  </w:t>
      </w:r>
      <w:r>
        <w:rPr>
          <w:rFonts w:hint="eastAsia" w:ascii="宋体" w:hAnsi="宋体" w:cs="宋体"/>
          <w:b/>
          <w:bCs/>
          <w:sz w:val="24"/>
          <w:szCs w:val="24"/>
          <w:highlight w:val="none"/>
          <w:lang w:val="en-US" w:eastAsia="zh-CN"/>
        </w:rPr>
        <w:t>服务</w:t>
      </w:r>
      <w:r>
        <w:rPr>
          <w:rFonts w:hint="eastAsia" w:ascii="宋体" w:hAnsi="宋体" w:eastAsia="宋体" w:cs="宋体"/>
          <w:b/>
          <w:bCs/>
          <w:sz w:val="24"/>
          <w:szCs w:val="24"/>
          <w:highlight w:val="none"/>
        </w:rPr>
        <w:t>需求及商务要求”中服务内容及要求内容进行逐条响应，列明偏离情况，如有偏离，请在此表中清楚地列明，并加以说明。同时，供应商应按照竞争性磋商文件要求的内容在此表后提供相关证明材料，并加以说明。</w:t>
      </w:r>
    </w:p>
    <w:p w14:paraId="757C2515">
      <w:pPr>
        <w:keepNext w:val="0"/>
        <w:keepLines w:val="0"/>
        <w:pageBreakBefore w:val="0"/>
        <w:widowControl w:val="0"/>
        <w:kinsoku/>
        <w:wordWrap w:val="0"/>
        <w:overflowPunct/>
        <w:topLinePunct w:val="0"/>
        <w:autoSpaceDE/>
        <w:autoSpaceDN/>
        <w:bidi w:val="0"/>
        <w:adjustRightInd/>
        <w:snapToGrid/>
        <w:textAlignment w:val="auto"/>
        <w:rPr>
          <w:rFonts w:hint="eastAsia" w:ascii="宋体" w:hAnsi="宋体" w:eastAsia="宋体" w:cs="宋体"/>
          <w:highlight w:val="none"/>
        </w:rPr>
      </w:pPr>
    </w:p>
    <w:p w14:paraId="5459A487">
      <w:pPr>
        <w:bidi w:val="0"/>
        <w:spacing w:line="480" w:lineRule="auto"/>
        <w:jc w:val="right"/>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rPr>
        <w:t>供应商：</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（盖</w:t>
      </w:r>
      <w:r>
        <w:rPr>
          <w:rFonts w:hint="eastAsia" w:ascii="宋体" w:hAnsi="宋体" w:eastAsia="宋体" w:cs="宋体"/>
          <w:sz w:val="24"/>
          <w:szCs w:val="22"/>
          <w:highlight w:val="none"/>
          <w:lang w:eastAsia="zh-CN"/>
        </w:rPr>
        <w:t>单位</w:t>
      </w:r>
      <w:r>
        <w:rPr>
          <w:rFonts w:hint="eastAsia" w:ascii="宋体" w:hAnsi="宋体" w:eastAsia="宋体" w:cs="宋体"/>
          <w:sz w:val="24"/>
          <w:szCs w:val="22"/>
          <w:highlight w:val="none"/>
        </w:rPr>
        <w:t>章</w:t>
      </w:r>
      <w:r>
        <w:rPr>
          <w:rFonts w:hint="eastAsia" w:ascii="宋体" w:hAnsi="宋体" w:eastAsia="宋体" w:cs="宋体"/>
          <w:sz w:val="24"/>
          <w:szCs w:val="22"/>
          <w:highlight w:val="none"/>
          <w:lang w:eastAsia="zh-CN"/>
        </w:rPr>
        <w:t>）</w:t>
      </w:r>
    </w:p>
    <w:p w14:paraId="1D3C5F25">
      <w:pPr>
        <w:bidi w:val="0"/>
        <w:spacing w:line="480" w:lineRule="auto"/>
        <w:jc w:val="right"/>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rPr>
        <w:t>法人代表或委托代理人：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（签字或盖章</w:t>
      </w:r>
      <w:r>
        <w:rPr>
          <w:rFonts w:hint="eastAsia" w:ascii="宋体" w:hAnsi="宋体" w:cs="宋体"/>
          <w:sz w:val="24"/>
          <w:szCs w:val="22"/>
          <w:highlight w:val="none"/>
          <w:lang w:eastAsia="zh-CN"/>
        </w:rPr>
        <w:t>）</w:t>
      </w:r>
    </w:p>
    <w:p w14:paraId="5AA79B98">
      <w:pPr>
        <w:bidi w:val="0"/>
        <w:spacing w:line="480" w:lineRule="auto"/>
        <w:jc w:val="right"/>
        <w:rPr>
          <w:rFonts w:hint="eastAsia" w:ascii="宋体" w:hAnsi="宋体" w:eastAsia="宋体" w:cs="宋体"/>
          <w:sz w:val="24"/>
          <w:szCs w:val="22"/>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年</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月</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日</w:t>
      </w:r>
    </w:p>
    <w:p w14:paraId="363F3CBC">
      <w:pPr>
        <w:bidi w:val="0"/>
        <w:jc w:val="center"/>
        <w:rPr>
          <w:rFonts w:hint="eastAsia" w:ascii="Times New Roman" w:hAnsi="Times New Roman" w:eastAsia="宋体" w:cs="Times New Roman"/>
          <w:b/>
          <w:bCs/>
          <w:sz w:val="32"/>
          <w:szCs w:val="28"/>
          <w:highlight w:val="none"/>
          <w:lang w:eastAsia="zh-CN"/>
        </w:rPr>
      </w:pPr>
      <w:r>
        <w:rPr>
          <w:rFonts w:hint="eastAsia" w:asciiTheme="minorEastAsia" w:hAnsiTheme="minorEastAsia" w:eastAsiaTheme="minorEastAsia" w:cstheme="minorEastAsia"/>
          <w:b/>
          <w:bCs/>
          <w:sz w:val="32"/>
          <w:szCs w:val="28"/>
          <w:highlight w:val="none"/>
          <w:lang w:val="en-US" w:eastAsia="zh-CN"/>
        </w:rPr>
        <w:t>5.</w:t>
      </w:r>
      <w:r>
        <w:rPr>
          <w:rFonts w:hint="eastAsia" w:asciiTheme="minorEastAsia" w:hAnsiTheme="minorEastAsia" w:eastAsiaTheme="minorEastAsia" w:cstheme="minorEastAsia"/>
          <w:b/>
          <w:bCs/>
          <w:sz w:val="32"/>
          <w:szCs w:val="28"/>
          <w:highlight w:val="none"/>
          <w:lang w:eastAsia="zh-CN"/>
        </w:rPr>
        <w:t>商务</w:t>
      </w:r>
      <w:r>
        <w:rPr>
          <w:rFonts w:hint="eastAsia" w:ascii="Times New Roman" w:hAnsi="Times New Roman" w:eastAsia="宋体" w:cs="Times New Roman"/>
          <w:b/>
          <w:bCs/>
          <w:sz w:val="32"/>
          <w:szCs w:val="28"/>
          <w:highlight w:val="none"/>
          <w:lang w:eastAsia="zh-CN"/>
        </w:rPr>
        <w:t>条款响应偏离表</w:t>
      </w:r>
    </w:p>
    <w:p w14:paraId="75268F0A">
      <w:pPr>
        <w:adjustRightInd w:val="0"/>
        <w:snapToGrid w:val="0"/>
        <w:spacing w:line="360" w:lineRule="auto"/>
        <w:ind w:firstLine="480" w:firstLineChars="20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项目名称：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p>
    <w:p w14:paraId="39A392A8">
      <w:pPr>
        <w:adjustRightInd w:val="0"/>
        <w:snapToGrid w:val="0"/>
        <w:spacing w:line="360" w:lineRule="auto"/>
        <w:ind w:firstLine="480" w:firstLineChars="200"/>
        <w:jc w:val="lef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项目编号：</w:t>
      </w:r>
      <w:r>
        <w:rPr>
          <w:rFonts w:hint="eastAsia" w:ascii="宋体" w:hAnsi="宋体" w:cs="宋体"/>
          <w:color w:val="000000"/>
          <w:sz w:val="24"/>
          <w:szCs w:val="24"/>
          <w:highlight w:val="none"/>
          <w:u w:val="single"/>
        </w:rPr>
        <w:t xml:space="preserve">                  </w:t>
      </w:r>
    </w:p>
    <w:tbl>
      <w:tblPr>
        <w:tblStyle w:val="39"/>
        <w:tblW w:w="8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2588"/>
        <w:gridCol w:w="2330"/>
        <w:gridCol w:w="2113"/>
        <w:gridCol w:w="1127"/>
      </w:tblGrid>
      <w:tr w14:paraId="6A32B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760" w:type="dxa"/>
            <w:noWrap w:val="0"/>
            <w:tcMar>
              <w:top w:w="57" w:type="dxa"/>
              <w:left w:w="28" w:type="dxa"/>
              <w:bottom w:w="57" w:type="dxa"/>
              <w:right w:w="28" w:type="dxa"/>
            </w:tcMar>
            <w:vAlign w:val="center"/>
          </w:tcPr>
          <w:p w14:paraId="6A74B02C">
            <w:pPr>
              <w:adjustRightInd w:val="0"/>
              <w:snapToGrid w:val="0"/>
              <w:spacing w:line="360" w:lineRule="auto"/>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序号</w:t>
            </w:r>
          </w:p>
        </w:tc>
        <w:tc>
          <w:tcPr>
            <w:tcW w:w="2588" w:type="dxa"/>
            <w:noWrap w:val="0"/>
            <w:tcMar>
              <w:top w:w="57" w:type="dxa"/>
              <w:left w:w="28" w:type="dxa"/>
              <w:bottom w:w="57" w:type="dxa"/>
              <w:right w:w="28" w:type="dxa"/>
            </w:tcMar>
            <w:vAlign w:val="center"/>
          </w:tcPr>
          <w:p w14:paraId="3F55DFB6">
            <w:pPr>
              <w:adjustRightInd w:val="0"/>
              <w:snapToGrid w:val="0"/>
              <w:spacing w:line="360" w:lineRule="auto"/>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竞争性磋商文件</w:t>
            </w:r>
          </w:p>
          <w:p w14:paraId="132EB7EC">
            <w:pPr>
              <w:adjustRightInd w:val="0"/>
              <w:snapToGrid w:val="0"/>
              <w:spacing w:line="360" w:lineRule="auto"/>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商务要求</w:t>
            </w:r>
          </w:p>
        </w:tc>
        <w:tc>
          <w:tcPr>
            <w:tcW w:w="2330" w:type="dxa"/>
            <w:noWrap w:val="0"/>
            <w:tcMar>
              <w:top w:w="57" w:type="dxa"/>
              <w:left w:w="28" w:type="dxa"/>
              <w:bottom w:w="57" w:type="dxa"/>
              <w:right w:w="28" w:type="dxa"/>
            </w:tcMar>
            <w:vAlign w:val="center"/>
          </w:tcPr>
          <w:p w14:paraId="275707A8">
            <w:pPr>
              <w:adjustRightInd w:val="0"/>
              <w:snapToGrid w:val="0"/>
              <w:spacing w:line="360" w:lineRule="auto"/>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响应文件</w:t>
            </w:r>
          </w:p>
          <w:p w14:paraId="68011818">
            <w:pPr>
              <w:adjustRightInd w:val="0"/>
              <w:snapToGrid w:val="0"/>
              <w:spacing w:line="360" w:lineRule="auto"/>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商务响应</w:t>
            </w:r>
          </w:p>
        </w:tc>
        <w:tc>
          <w:tcPr>
            <w:tcW w:w="2113" w:type="dxa"/>
            <w:noWrap w:val="0"/>
            <w:tcMar>
              <w:top w:w="57" w:type="dxa"/>
              <w:left w:w="28" w:type="dxa"/>
              <w:bottom w:w="57" w:type="dxa"/>
              <w:right w:w="28" w:type="dxa"/>
            </w:tcMar>
            <w:vAlign w:val="center"/>
          </w:tcPr>
          <w:p w14:paraId="1718A3E5">
            <w:pPr>
              <w:adjustRightInd w:val="0"/>
              <w:snapToGrid w:val="0"/>
              <w:spacing w:line="360" w:lineRule="auto"/>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偏离情况</w:t>
            </w:r>
          </w:p>
          <w:p w14:paraId="2EFDF265">
            <w:pPr>
              <w:adjustRightInd w:val="0"/>
              <w:snapToGrid w:val="0"/>
              <w:spacing w:line="360" w:lineRule="auto"/>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（正偏离/响应）</w:t>
            </w:r>
          </w:p>
        </w:tc>
        <w:tc>
          <w:tcPr>
            <w:tcW w:w="1127" w:type="dxa"/>
            <w:noWrap w:val="0"/>
            <w:vAlign w:val="center"/>
          </w:tcPr>
          <w:p w14:paraId="5B633E06">
            <w:pPr>
              <w:adjustRightInd w:val="0"/>
              <w:snapToGrid w:val="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说明</w:t>
            </w:r>
          </w:p>
        </w:tc>
      </w:tr>
      <w:tr w14:paraId="3819E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60" w:type="dxa"/>
            <w:noWrap w:val="0"/>
            <w:tcMar>
              <w:top w:w="57" w:type="dxa"/>
              <w:left w:w="28" w:type="dxa"/>
              <w:bottom w:w="57" w:type="dxa"/>
              <w:right w:w="28" w:type="dxa"/>
            </w:tcMar>
            <w:vAlign w:val="center"/>
          </w:tcPr>
          <w:p w14:paraId="284C50D6">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w:t>
            </w:r>
          </w:p>
        </w:tc>
        <w:tc>
          <w:tcPr>
            <w:tcW w:w="2588" w:type="dxa"/>
            <w:noWrap w:val="0"/>
            <w:tcMar>
              <w:top w:w="57" w:type="dxa"/>
              <w:left w:w="28" w:type="dxa"/>
              <w:bottom w:w="57" w:type="dxa"/>
              <w:right w:w="28" w:type="dxa"/>
            </w:tcMar>
            <w:vAlign w:val="center"/>
          </w:tcPr>
          <w:p w14:paraId="6AB12D1A">
            <w:pPr>
              <w:adjustRightInd w:val="0"/>
              <w:snapToGrid w:val="0"/>
              <w:spacing w:line="360" w:lineRule="auto"/>
              <w:rPr>
                <w:rFonts w:hint="eastAsia" w:ascii="宋体" w:hAnsi="宋体" w:cs="宋体"/>
                <w:color w:val="000000"/>
                <w:sz w:val="24"/>
                <w:szCs w:val="24"/>
                <w:highlight w:val="none"/>
              </w:rPr>
            </w:pPr>
          </w:p>
        </w:tc>
        <w:tc>
          <w:tcPr>
            <w:tcW w:w="2330" w:type="dxa"/>
            <w:noWrap w:val="0"/>
            <w:tcMar>
              <w:top w:w="57" w:type="dxa"/>
              <w:left w:w="28" w:type="dxa"/>
              <w:bottom w:w="57" w:type="dxa"/>
              <w:right w:w="28" w:type="dxa"/>
            </w:tcMar>
            <w:vAlign w:val="center"/>
          </w:tcPr>
          <w:p w14:paraId="39EA43D7">
            <w:pPr>
              <w:adjustRightInd w:val="0"/>
              <w:snapToGrid w:val="0"/>
              <w:spacing w:line="360" w:lineRule="auto"/>
              <w:rPr>
                <w:rFonts w:hint="eastAsia" w:ascii="宋体" w:hAnsi="宋体" w:cs="宋体"/>
                <w:color w:val="000000"/>
                <w:sz w:val="24"/>
                <w:szCs w:val="24"/>
                <w:highlight w:val="none"/>
              </w:rPr>
            </w:pPr>
          </w:p>
        </w:tc>
        <w:tc>
          <w:tcPr>
            <w:tcW w:w="2113" w:type="dxa"/>
            <w:noWrap w:val="0"/>
            <w:tcMar>
              <w:top w:w="57" w:type="dxa"/>
              <w:left w:w="28" w:type="dxa"/>
              <w:bottom w:w="57" w:type="dxa"/>
              <w:right w:w="28" w:type="dxa"/>
            </w:tcMar>
            <w:vAlign w:val="center"/>
          </w:tcPr>
          <w:p w14:paraId="4BC9C173">
            <w:pPr>
              <w:adjustRightInd w:val="0"/>
              <w:snapToGrid w:val="0"/>
              <w:spacing w:line="360" w:lineRule="auto"/>
              <w:rPr>
                <w:rFonts w:hint="eastAsia" w:ascii="宋体" w:hAnsi="宋体" w:cs="宋体"/>
                <w:color w:val="000000"/>
                <w:sz w:val="24"/>
                <w:szCs w:val="24"/>
                <w:highlight w:val="none"/>
              </w:rPr>
            </w:pPr>
          </w:p>
        </w:tc>
        <w:tc>
          <w:tcPr>
            <w:tcW w:w="1127" w:type="dxa"/>
            <w:noWrap w:val="0"/>
            <w:vAlign w:val="center"/>
          </w:tcPr>
          <w:p w14:paraId="147B30E6">
            <w:pPr>
              <w:adjustRightInd w:val="0"/>
              <w:snapToGrid w:val="0"/>
              <w:spacing w:line="360" w:lineRule="auto"/>
              <w:rPr>
                <w:rFonts w:hint="eastAsia" w:ascii="宋体" w:hAnsi="宋体" w:cs="宋体"/>
                <w:color w:val="000000"/>
                <w:sz w:val="24"/>
                <w:szCs w:val="24"/>
                <w:highlight w:val="none"/>
              </w:rPr>
            </w:pPr>
          </w:p>
        </w:tc>
      </w:tr>
      <w:tr w14:paraId="27329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60" w:type="dxa"/>
            <w:noWrap w:val="0"/>
            <w:tcMar>
              <w:top w:w="57" w:type="dxa"/>
              <w:left w:w="28" w:type="dxa"/>
              <w:bottom w:w="57" w:type="dxa"/>
              <w:right w:w="28" w:type="dxa"/>
            </w:tcMar>
            <w:vAlign w:val="center"/>
          </w:tcPr>
          <w:p w14:paraId="2165083F">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2</w:t>
            </w:r>
          </w:p>
        </w:tc>
        <w:tc>
          <w:tcPr>
            <w:tcW w:w="2588" w:type="dxa"/>
            <w:noWrap w:val="0"/>
            <w:tcMar>
              <w:top w:w="57" w:type="dxa"/>
              <w:left w:w="28" w:type="dxa"/>
              <w:bottom w:w="57" w:type="dxa"/>
              <w:right w:w="28" w:type="dxa"/>
            </w:tcMar>
            <w:vAlign w:val="center"/>
          </w:tcPr>
          <w:p w14:paraId="12BDED6F">
            <w:pPr>
              <w:adjustRightInd w:val="0"/>
              <w:snapToGrid w:val="0"/>
              <w:spacing w:line="360" w:lineRule="auto"/>
              <w:rPr>
                <w:rFonts w:hint="eastAsia" w:ascii="宋体" w:hAnsi="宋体" w:cs="宋体"/>
                <w:color w:val="000000"/>
                <w:sz w:val="24"/>
                <w:szCs w:val="24"/>
                <w:highlight w:val="none"/>
              </w:rPr>
            </w:pPr>
          </w:p>
        </w:tc>
        <w:tc>
          <w:tcPr>
            <w:tcW w:w="2330" w:type="dxa"/>
            <w:noWrap w:val="0"/>
            <w:tcMar>
              <w:top w:w="57" w:type="dxa"/>
              <w:left w:w="28" w:type="dxa"/>
              <w:bottom w:w="57" w:type="dxa"/>
              <w:right w:w="28" w:type="dxa"/>
            </w:tcMar>
            <w:vAlign w:val="center"/>
          </w:tcPr>
          <w:p w14:paraId="31F1A72F">
            <w:pPr>
              <w:adjustRightInd w:val="0"/>
              <w:snapToGrid w:val="0"/>
              <w:spacing w:line="360" w:lineRule="auto"/>
              <w:rPr>
                <w:rFonts w:hint="eastAsia" w:ascii="宋体" w:hAnsi="宋体" w:cs="宋体"/>
                <w:color w:val="000000"/>
                <w:sz w:val="24"/>
                <w:szCs w:val="24"/>
                <w:highlight w:val="none"/>
              </w:rPr>
            </w:pPr>
          </w:p>
        </w:tc>
        <w:tc>
          <w:tcPr>
            <w:tcW w:w="2113" w:type="dxa"/>
            <w:noWrap w:val="0"/>
            <w:tcMar>
              <w:top w:w="57" w:type="dxa"/>
              <w:left w:w="28" w:type="dxa"/>
              <w:bottom w:w="57" w:type="dxa"/>
              <w:right w:w="28" w:type="dxa"/>
            </w:tcMar>
            <w:vAlign w:val="center"/>
          </w:tcPr>
          <w:p w14:paraId="0EDEFB6A">
            <w:pPr>
              <w:adjustRightInd w:val="0"/>
              <w:snapToGrid w:val="0"/>
              <w:spacing w:line="360" w:lineRule="auto"/>
              <w:rPr>
                <w:rFonts w:hint="eastAsia" w:ascii="宋体" w:hAnsi="宋体" w:cs="宋体"/>
                <w:color w:val="000000"/>
                <w:sz w:val="24"/>
                <w:szCs w:val="24"/>
                <w:highlight w:val="none"/>
              </w:rPr>
            </w:pPr>
          </w:p>
        </w:tc>
        <w:tc>
          <w:tcPr>
            <w:tcW w:w="1127" w:type="dxa"/>
            <w:noWrap w:val="0"/>
            <w:vAlign w:val="center"/>
          </w:tcPr>
          <w:p w14:paraId="5FEDFDD1">
            <w:pPr>
              <w:adjustRightInd w:val="0"/>
              <w:snapToGrid w:val="0"/>
              <w:spacing w:line="360" w:lineRule="auto"/>
              <w:rPr>
                <w:rFonts w:hint="eastAsia" w:ascii="宋体" w:hAnsi="宋体" w:cs="宋体"/>
                <w:color w:val="000000"/>
                <w:sz w:val="24"/>
                <w:szCs w:val="24"/>
                <w:highlight w:val="none"/>
              </w:rPr>
            </w:pPr>
          </w:p>
        </w:tc>
      </w:tr>
      <w:tr w14:paraId="2EA06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760" w:type="dxa"/>
            <w:noWrap w:val="0"/>
            <w:tcMar>
              <w:top w:w="57" w:type="dxa"/>
              <w:left w:w="28" w:type="dxa"/>
              <w:bottom w:w="57" w:type="dxa"/>
              <w:right w:w="28" w:type="dxa"/>
            </w:tcMar>
            <w:vAlign w:val="center"/>
          </w:tcPr>
          <w:p w14:paraId="6ADE2E97">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3</w:t>
            </w:r>
          </w:p>
        </w:tc>
        <w:tc>
          <w:tcPr>
            <w:tcW w:w="2588" w:type="dxa"/>
            <w:noWrap w:val="0"/>
            <w:tcMar>
              <w:top w:w="57" w:type="dxa"/>
              <w:left w:w="28" w:type="dxa"/>
              <w:bottom w:w="57" w:type="dxa"/>
              <w:right w:w="28" w:type="dxa"/>
            </w:tcMar>
            <w:vAlign w:val="center"/>
          </w:tcPr>
          <w:p w14:paraId="7F5529B1">
            <w:pPr>
              <w:adjustRightInd w:val="0"/>
              <w:snapToGrid w:val="0"/>
              <w:spacing w:line="360" w:lineRule="auto"/>
              <w:rPr>
                <w:rFonts w:hint="eastAsia" w:ascii="宋体" w:hAnsi="宋体" w:cs="宋体"/>
                <w:color w:val="000000"/>
                <w:sz w:val="24"/>
                <w:szCs w:val="24"/>
                <w:highlight w:val="none"/>
              </w:rPr>
            </w:pPr>
          </w:p>
        </w:tc>
        <w:tc>
          <w:tcPr>
            <w:tcW w:w="2330" w:type="dxa"/>
            <w:noWrap w:val="0"/>
            <w:tcMar>
              <w:top w:w="57" w:type="dxa"/>
              <w:left w:w="28" w:type="dxa"/>
              <w:bottom w:w="57" w:type="dxa"/>
              <w:right w:w="28" w:type="dxa"/>
            </w:tcMar>
            <w:vAlign w:val="center"/>
          </w:tcPr>
          <w:p w14:paraId="512D9CD1">
            <w:pPr>
              <w:adjustRightInd w:val="0"/>
              <w:snapToGrid w:val="0"/>
              <w:spacing w:line="360" w:lineRule="auto"/>
              <w:rPr>
                <w:rFonts w:hint="eastAsia" w:ascii="宋体" w:hAnsi="宋体" w:cs="宋体"/>
                <w:color w:val="000000"/>
                <w:sz w:val="24"/>
                <w:szCs w:val="24"/>
                <w:highlight w:val="none"/>
              </w:rPr>
            </w:pPr>
          </w:p>
        </w:tc>
        <w:tc>
          <w:tcPr>
            <w:tcW w:w="2113" w:type="dxa"/>
            <w:noWrap w:val="0"/>
            <w:tcMar>
              <w:top w:w="57" w:type="dxa"/>
              <w:left w:w="28" w:type="dxa"/>
              <w:bottom w:w="57" w:type="dxa"/>
              <w:right w:w="28" w:type="dxa"/>
            </w:tcMar>
            <w:vAlign w:val="center"/>
          </w:tcPr>
          <w:p w14:paraId="04412227">
            <w:pPr>
              <w:adjustRightInd w:val="0"/>
              <w:snapToGrid w:val="0"/>
              <w:spacing w:line="360" w:lineRule="auto"/>
              <w:rPr>
                <w:rFonts w:hint="eastAsia" w:ascii="宋体" w:hAnsi="宋体" w:cs="宋体"/>
                <w:color w:val="000000"/>
                <w:sz w:val="24"/>
                <w:szCs w:val="24"/>
                <w:highlight w:val="none"/>
              </w:rPr>
            </w:pPr>
          </w:p>
        </w:tc>
        <w:tc>
          <w:tcPr>
            <w:tcW w:w="1127" w:type="dxa"/>
            <w:noWrap w:val="0"/>
            <w:vAlign w:val="center"/>
          </w:tcPr>
          <w:p w14:paraId="742D82CC">
            <w:pPr>
              <w:adjustRightInd w:val="0"/>
              <w:snapToGrid w:val="0"/>
              <w:spacing w:line="360" w:lineRule="auto"/>
              <w:rPr>
                <w:rFonts w:hint="eastAsia" w:ascii="宋体" w:hAnsi="宋体" w:cs="宋体"/>
                <w:color w:val="000000"/>
                <w:sz w:val="24"/>
                <w:szCs w:val="24"/>
                <w:highlight w:val="none"/>
              </w:rPr>
            </w:pPr>
          </w:p>
        </w:tc>
      </w:tr>
      <w:tr w14:paraId="6D31C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760" w:type="dxa"/>
            <w:noWrap w:val="0"/>
            <w:tcMar>
              <w:top w:w="57" w:type="dxa"/>
              <w:left w:w="28" w:type="dxa"/>
              <w:bottom w:w="57" w:type="dxa"/>
              <w:right w:w="28" w:type="dxa"/>
            </w:tcMar>
            <w:vAlign w:val="center"/>
          </w:tcPr>
          <w:p w14:paraId="07247070">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4</w:t>
            </w:r>
          </w:p>
        </w:tc>
        <w:tc>
          <w:tcPr>
            <w:tcW w:w="2588" w:type="dxa"/>
            <w:noWrap w:val="0"/>
            <w:tcMar>
              <w:top w:w="57" w:type="dxa"/>
              <w:left w:w="28" w:type="dxa"/>
              <w:bottom w:w="57" w:type="dxa"/>
              <w:right w:w="28" w:type="dxa"/>
            </w:tcMar>
            <w:vAlign w:val="center"/>
          </w:tcPr>
          <w:p w14:paraId="4AE2E43F">
            <w:pPr>
              <w:adjustRightInd w:val="0"/>
              <w:snapToGrid w:val="0"/>
              <w:spacing w:line="360" w:lineRule="auto"/>
              <w:rPr>
                <w:rFonts w:hint="eastAsia" w:ascii="宋体" w:hAnsi="宋体" w:cs="宋体"/>
                <w:color w:val="000000"/>
                <w:sz w:val="24"/>
                <w:szCs w:val="24"/>
                <w:highlight w:val="none"/>
              </w:rPr>
            </w:pPr>
          </w:p>
        </w:tc>
        <w:tc>
          <w:tcPr>
            <w:tcW w:w="2330" w:type="dxa"/>
            <w:noWrap w:val="0"/>
            <w:tcMar>
              <w:top w:w="57" w:type="dxa"/>
              <w:left w:w="28" w:type="dxa"/>
              <w:bottom w:w="57" w:type="dxa"/>
              <w:right w:w="28" w:type="dxa"/>
            </w:tcMar>
            <w:vAlign w:val="center"/>
          </w:tcPr>
          <w:p w14:paraId="7A9634B3">
            <w:pPr>
              <w:adjustRightInd w:val="0"/>
              <w:snapToGrid w:val="0"/>
              <w:spacing w:line="360" w:lineRule="auto"/>
              <w:rPr>
                <w:rFonts w:hint="eastAsia" w:ascii="宋体" w:hAnsi="宋体" w:cs="宋体"/>
                <w:color w:val="000000"/>
                <w:sz w:val="24"/>
                <w:szCs w:val="24"/>
                <w:highlight w:val="none"/>
              </w:rPr>
            </w:pPr>
          </w:p>
        </w:tc>
        <w:tc>
          <w:tcPr>
            <w:tcW w:w="2113" w:type="dxa"/>
            <w:noWrap w:val="0"/>
            <w:tcMar>
              <w:top w:w="57" w:type="dxa"/>
              <w:left w:w="28" w:type="dxa"/>
              <w:bottom w:w="57" w:type="dxa"/>
              <w:right w:w="28" w:type="dxa"/>
            </w:tcMar>
            <w:vAlign w:val="center"/>
          </w:tcPr>
          <w:p w14:paraId="18BE67EF">
            <w:pPr>
              <w:adjustRightInd w:val="0"/>
              <w:snapToGrid w:val="0"/>
              <w:spacing w:line="360" w:lineRule="auto"/>
              <w:rPr>
                <w:rFonts w:hint="eastAsia" w:ascii="宋体" w:hAnsi="宋体" w:cs="宋体"/>
                <w:color w:val="000000"/>
                <w:sz w:val="24"/>
                <w:szCs w:val="24"/>
                <w:highlight w:val="none"/>
              </w:rPr>
            </w:pPr>
          </w:p>
        </w:tc>
        <w:tc>
          <w:tcPr>
            <w:tcW w:w="1127" w:type="dxa"/>
            <w:noWrap w:val="0"/>
            <w:vAlign w:val="center"/>
          </w:tcPr>
          <w:p w14:paraId="6E5DF71E">
            <w:pPr>
              <w:adjustRightInd w:val="0"/>
              <w:snapToGrid w:val="0"/>
              <w:spacing w:line="360" w:lineRule="auto"/>
              <w:rPr>
                <w:rFonts w:hint="eastAsia" w:ascii="宋体" w:hAnsi="宋体" w:cs="宋体"/>
                <w:color w:val="000000"/>
                <w:sz w:val="24"/>
                <w:szCs w:val="24"/>
                <w:highlight w:val="none"/>
              </w:rPr>
            </w:pPr>
          </w:p>
        </w:tc>
      </w:tr>
      <w:tr w14:paraId="6CAFA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760" w:type="dxa"/>
            <w:noWrap w:val="0"/>
            <w:tcMar>
              <w:top w:w="57" w:type="dxa"/>
              <w:left w:w="28" w:type="dxa"/>
              <w:bottom w:w="57" w:type="dxa"/>
              <w:right w:w="28" w:type="dxa"/>
            </w:tcMar>
            <w:vAlign w:val="center"/>
          </w:tcPr>
          <w:p w14:paraId="395EF860">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5</w:t>
            </w:r>
          </w:p>
        </w:tc>
        <w:tc>
          <w:tcPr>
            <w:tcW w:w="2588" w:type="dxa"/>
            <w:noWrap w:val="0"/>
            <w:tcMar>
              <w:top w:w="57" w:type="dxa"/>
              <w:left w:w="28" w:type="dxa"/>
              <w:bottom w:w="57" w:type="dxa"/>
              <w:right w:w="28" w:type="dxa"/>
            </w:tcMar>
            <w:vAlign w:val="center"/>
          </w:tcPr>
          <w:p w14:paraId="201C93E4">
            <w:pPr>
              <w:adjustRightInd w:val="0"/>
              <w:snapToGrid w:val="0"/>
              <w:spacing w:line="360" w:lineRule="auto"/>
              <w:rPr>
                <w:rFonts w:hint="eastAsia" w:ascii="宋体" w:hAnsi="宋体" w:cs="宋体"/>
                <w:color w:val="000000"/>
                <w:sz w:val="24"/>
                <w:szCs w:val="24"/>
                <w:highlight w:val="none"/>
              </w:rPr>
            </w:pPr>
          </w:p>
        </w:tc>
        <w:tc>
          <w:tcPr>
            <w:tcW w:w="2330" w:type="dxa"/>
            <w:noWrap w:val="0"/>
            <w:tcMar>
              <w:top w:w="57" w:type="dxa"/>
              <w:left w:w="28" w:type="dxa"/>
              <w:bottom w:w="57" w:type="dxa"/>
              <w:right w:w="28" w:type="dxa"/>
            </w:tcMar>
            <w:vAlign w:val="center"/>
          </w:tcPr>
          <w:p w14:paraId="4F8F194D">
            <w:pPr>
              <w:adjustRightInd w:val="0"/>
              <w:snapToGrid w:val="0"/>
              <w:spacing w:line="360" w:lineRule="auto"/>
              <w:rPr>
                <w:rFonts w:hint="eastAsia" w:ascii="宋体" w:hAnsi="宋体" w:cs="宋体"/>
                <w:color w:val="000000"/>
                <w:sz w:val="24"/>
                <w:szCs w:val="24"/>
                <w:highlight w:val="none"/>
              </w:rPr>
            </w:pPr>
          </w:p>
        </w:tc>
        <w:tc>
          <w:tcPr>
            <w:tcW w:w="2113" w:type="dxa"/>
            <w:noWrap w:val="0"/>
            <w:tcMar>
              <w:top w:w="57" w:type="dxa"/>
              <w:left w:w="28" w:type="dxa"/>
              <w:bottom w:w="57" w:type="dxa"/>
              <w:right w:w="28" w:type="dxa"/>
            </w:tcMar>
            <w:vAlign w:val="center"/>
          </w:tcPr>
          <w:p w14:paraId="650F4BFF">
            <w:pPr>
              <w:adjustRightInd w:val="0"/>
              <w:snapToGrid w:val="0"/>
              <w:spacing w:line="360" w:lineRule="auto"/>
              <w:rPr>
                <w:rFonts w:hint="eastAsia" w:ascii="宋体" w:hAnsi="宋体" w:cs="宋体"/>
                <w:color w:val="000000"/>
                <w:sz w:val="24"/>
                <w:szCs w:val="24"/>
                <w:highlight w:val="none"/>
              </w:rPr>
            </w:pPr>
          </w:p>
        </w:tc>
        <w:tc>
          <w:tcPr>
            <w:tcW w:w="1127" w:type="dxa"/>
            <w:noWrap w:val="0"/>
            <w:vAlign w:val="center"/>
          </w:tcPr>
          <w:p w14:paraId="603A0C30">
            <w:pPr>
              <w:adjustRightInd w:val="0"/>
              <w:snapToGrid w:val="0"/>
              <w:spacing w:line="360" w:lineRule="auto"/>
              <w:rPr>
                <w:rFonts w:hint="eastAsia" w:ascii="宋体" w:hAnsi="宋体" w:cs="宋体"/>
                <w:color w:val="000000"/>
                <w:sz w:val="24"/>
                <w:szCs w:val="24"/>
                <w:highlight w:val="none"/>
              </w:rPr>
            </w:pPr>
          </w:p>
        </w:tc>
      </w:tr>
      <w:tr w14:paraId="05299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760" w:type="dxa"/>
            <w:noWrap w:val="0"/>
            <w:tcMar>
              <w:top w:w="57" w:type="dxa"/>
              <w:left w:w="28" w:type="dxa"/>
              <w:bottom w:w="57" w:type="dxa"/>
              <w:right w:w="28" w:type="dxa"/>
            </w:tcMar>
            <w:vAlign w:val="center"/>
          </w:tcPr>
          <w:p w14:paraId="43269369">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6</w:t>
            </w:r>
          </w:p>
        </w:tc>
        <w:tc>
          <w:tcPr>
            <w:tcW w:w="2588" w:type="dxa"/>
            <w:noWrap w:val="0"/>
            <w:tcMar>
              <w:top w:w="57" w:type="dxa"/>
              <w:left w:w="28" w:type="dxa"/>
              <w:bottom w:w="57" w:type="dxa"/>
              <w:right w:w="28" w:type="dxa"/>
            </w:tcMar>
            <w:vAlign w:val="center"/>
          </w:tcPr>
          <w:p w14:paraId="65D88F02">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w:t>
            </w:r>
          </w:p>
        </w:tc>
        <w:tc>
          <w:tcPr>
            <w:tcW w:w="2330" w:type="dxa"/>
            <w:noWrap w:val="0"/>
            <w:tcMar>
              <w:top w:w="57" w:type="dxa"/>
              <w:left w:w="28" w:type="dxa"/>
              <w:bottom w:w="57" w:type="dxa"/>
              <w:right w:w="28" w:type="dxa"/>
            </w:tcMar>
            <w:vAlign w:val="center"/>
          </w:tcPr>
          <w:p w14:paraId="75E616C3">
            <w:pPr>
              <w:adjustRightInd w:val="0"/>
              <w:snapToGrid w:val="0"/>
              <w:spacing w:line="360" w:lineRule="auto"/>
              <w:rPr>
                <w:rFonts w:hint="eastAsia" w:ascii="宋体" w:hAnsi="宋体" w:cs="宋体"/>
                <w:color w:val="000000"/>
                <w:sz w:val="24"/>
                <w:szCs w:val="24"/>
                <w:highlight w:val="none"/>
              </w:rPr>
            </w:pPr>
          </w:p>
        </w:tc>
        <w:tc>
          <w:tcPr>
            <w:tcW w:w="2113" w:type="dxa"/>
            <w:noWrap w:val="0"/>
            <w:tcMar>
              <w:top w:w="57" w:type="dxa"/>
              <w:left w:w="28" w:type="dxa"/>
              <w:bottom w:w="57" w:type="dxa"/>
              <w:right w:w="28" w:type="dxa"/>
            </w:tcMar>
            <w:vAlign w:val="center"/>
          </w:tcPr>
          <w:p w14:paraId="28FFDBCC">
            <w:pPr>
              <w:adjustRightInd w:val="0"/>
              <w:snapToGrid w:val="0"/>
              <w:spacing w:line="360" w:lineRule="auto"/>
              <w:rPr>
                <w:rFonts w:hint="eastAsia" w:ascii="宋体" w:hAnsi="宋体" w:cs="宋体"/>
                <w:color w:val="000000"/>
                <w:sz w:val="24"/>
                <w:szCs w:val="24"/>
                <w:highlight w:val="none"/>
              </w:rPr>
            </w:pPr>
          </w:p>
        </w:tc>
        <w:tc>
          <w:tcPr>
            <w:tcW w:w="1127" w:type="dxa"/>
            <w:noWrap w:val="0"/>
            <w:vAlign w:val="center"/>
          </w:tcPr>
          <w:p w14:paraId="5D0ACDE3">
            <w:pPr>
              <w:adjustRightInd w:val="0"/>
              <w:snapToGrid w:val="0"/>
              <w:spacing w:line="360" w:lineRule="auto"/>
              <w:rPr>
                <w:rFonts w:hint="eastAsia" w:ascii="宋体" w:hAnsi="宋体" w:cs="宋体"/>
                <w:color w:val="000000"/>
                <w:sz w:val="24"/>
                <w:szCs w:val="24"/>
                <w:highlight w:val="none"/>
              </w:rPr>
            </w:pPr>
          </w:p>
        </w:tc>
      </w:tr>
    </w:tbl>
    <w:p w14:paraId="4AC58299">
      <w:pPr>
        <w:adjustRightInd w:val="0"/>
        <w:snapToGrid w:val="0"/>
        <w:spacing w:line="360" w:lineRule="auto"/>
        <w:ind w:firstLine="482" w:firstLineChars="200"/>
        <w:rPr>
          <w:rFonts w:ascii="宋体" w:hAnsi="宋体" w:cs="宋体"/>
          <w:color w:val="000000"/>
          <w:sz w:val="24"/>
          <w:szCs w:val="24"/>
          <w:highlight w:val="none"/>
        </w:rPr>
      </w:pPr>
      <w:r>
        <w:rPr>
          <w:rFonts w:hint="eastAsia" w:ascii="宋体" w:hAnsi="宋体" w:cs="宋体"/>
          <w:b/>
          <w:color w:val="000000"/>
          <w:sz w:val="24"/>
          <w:szCs w:val="24"/>
          <w:highlight w:val="none"/>
        </w:rPr>
        <w:t xml:space="preserve">注：供应商应按照“第三章  </w:t>
      </w:r>
      <w:r>
        <w:rPr>
          <w:rFonts w:hint="eastAsia" w:ascii="宋体" w:hAnsi="宋体" w:cs="宋体"/>
          <w:b/>
          <w:color w:val="000000"/>
          <w:sz w:val="24"/>
          <w:szCs w:val="24"/>
          <w:highlight w:val="none"/>
          <w:lang w:val="en-US" w:eastAsia="zh-CN"/>
        </w:rPr>
        <w:t>服务</w:t>
      </w:r>
      <w:r>
        <w:rPr>
          <w:rFonts w:hint="eastAsia" w:ascii="宋体" w:hAnsi="宋体" w:cs="宋体"/>
          <w:b/>
          <w:color w:val="000000"/>
          <w:sz w:val="24"/>
          <w:szCs w:val="24"/>
          <w:highlight w:val="none"/>
        </w:rPr>
        <w:t>需求及商务要求”中商务要求内容进行逐条响应，并在此表中清楚地列明响应的内容，如仅表述内容为响应，则视为均满足竞争性磋商文件须响应的要求。</w:t>
      </w:r>
    </w:p>
    <w:p w14:paraId="1C4F8093">
      <w:pPr>
        <w:adjustRightInd w:val="0"/>
        <w:snapToGrid w:val="0"/>
        <w:spacing w:line="480" w:lineRule="auto"/>
        <w:ind w:firstLine="480" w:firstLineChars="200"/>
        <w:jc w:val="right"/>
        <w:rPr>
          <w:rFonts w:hint="eastAsia" w:ascii="宋体" w:hAnsi="宋体" w:cs="宋体"/>
          <w:color w:val="000000"/>
          <w:sz w:val="24"/>
          <w:szCs w:val="24"/>
          <w:highlight w:val="none"/>
        </w:rPr>
      </w:pPr>
    </w:p>
    <w:p w14:paraId="6084C65B">
      <w:pPr>
        <w:adjustRightInd w:val="0"/>
        <w:snapToGrid w:val="0"/>
        <w:spacing w:line="480" w:lineRule="auto"/>
        <w:ind w:firstLine="480" w:firstLineChars="200"/>
        <w:jc w:val="right"/>
        <w:rPr>
          <w:rFonts w:hint="eastAsia" w:ascii="宋体" w:hAnsi="宋体" w:cs="宋体"/>
          <w:color w:val="000000"/>
          <w:sz w:val="24"/>
          <w:szCs w:val="24"/>
          <w:highlight w:val="none"/>
        </w:rPr>
      </w:pPr>
      <w:r>
        <w:rPr>
          <w:rFonts w:hint="eastAsia" w:ascii="宋体" w:hAnsi="宋体" w:cs="宋体"/>
          <w:color w:val="000000"/>
          <w:sz w:val="24"/>
          <w:szCs w:val="24"/>
          <w:highlight w:val="none"/>
        </w:rPr>
        <w:t>供应商名称：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（盖章）</w:t>
      </w:r>
    </w:p>
    <w:p w14:paraId="44D21836">
      <w:pPr>
        <w:adjustRightInd w:val="0"/>
        <w:snapToGrid w:val="0"/>
        <w:spacing w:line="480" w:lineRule="auto"/>
        <w:ind w:firstLine="480" w:firstLineChars="200"/>
        <w:jc w:val="right"/>
        <w:rPr>
          <w:rFonts w:hint="eastAsia" w:ascii="宋体" w:hAnsi="宋体" w:cs="宋体"/>
          <w:color w:val="000000"/>
          <w:sz w:val="24"/>
          <w:szCs w:val="24"/>
          <w:highlight w:val="none"/>
        </w:rPr>
      </w:pPr>
      <w:r>
        <w:rPr>
          <w:rFonts w:hint="eastAsia" w:ascii="宋体" w:hAnsi="宋体" w:cs="宋体"/>
          <w:bCs/>
          <w:color w:val="000000"/>
          <w:sz w:val="24"/>
          <w:szCs w:val="24"/>
          <w:highlight w:val="none"/>
        </w:rPr>
        <w:t>法定代表人或被授权人</w:t>
      </w:r>
      <w:r>
        <w:rPr>
          <w:rFonts w:hint="eastAsia" w:ascii="宋体" w:hAnsi="宋体" w:cs="宋体"/>
          <w:color w:val="000000"/>
          <w:sz w:val="24"/>
          <w:szCs w:val="24"/>
          <w:highlight w:val="none"/>
        </w:rPr>
        <w:t>：</w:t>
      </w:r>
      <w:r>
        <w:rPr>
          <w:rFonts w:hint="eastAsia" w:ascii="宋体" w:hAnsi="宋体" w:cs="宋体"/>
          <w:color w:val="000000"/>
          <w:sz w:val="24"/>
          <w:szCs w:val="24"/>
          <w:highlight w:val="none"/>
          <w:u w:val="single"/>
        </w:rPr>
        <w:t xml:space="preserve">           </w:t>
      </w:r>
      <w:r>
        <w:rPr>
          <w:rFonts w:hint="eastAsia" w:ascii="宋体" w:hAnsi="宋体" w:cs="宋体"/>
          <w:bCs/>
          <w:color w:val="000000"/>
          <w:sz w:val="24"/>
          <w:szCs w:val="24"/>
          <w:highlight w:val="none"/>
        </w:rPr>
        <w:t>（签字或盖章）</w:t>
      </w:r>
    </w:p>
    <w:p w14:paraId="7C41D49B">
      <w:pPr>
        <w:adjustRightInd w:val="0"/>
        <w:snapToGrid w:val="0"/>
        <w:spacing w:line="480" w:lineRule="auto"/>
        <w:ind w:firstLine="480" w:firstLineChars="200"/>
        <w:jc w:val="right"/>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日</w:t>
      </w:r>
    </w:p>
    <w:p w14:paraId="6E1AD608">
      <w:pPr>
        <w:adjustRightInd w:val="0"/>
        <w:snapToGrid w:val="0"/>
        <w:spacing w:line="360" w:lineRule="auto"/>
        <w:ind w:firstLine="482" w:firstLineChars="200"/>
        <w:jc w:val="right"/>
        <w:rPr>
          <w:rFonts w:hint="eastAsia" w:ascii="宋体" w:hAnsi="宋体" w:cs="宋体"/>
          <w:b/>
          <w:bCs/>
          <w:color w:val="000000"/>
          <w:sz w:val="24"/>
          <w:szCs w:val="24"/>
          <w:highlight w:val="none"/>
        </w:rPr>
      </w:pPr>
    </w:p>
    <w:p w14:paraId="15B66A8A">
      <w:pPr>
        <w:adjustRightInd w:val="0"/>
        <w:snapToGrid w:val="0"/>
        <w:spacing w:line="360" w:lineRule="auto"/>
        <w:ind w:firstLine="480" w:firstLineChars="200"/>
        <w:rPr>
          <w:rFonts w:hint="eastAsia" w:ascii="宋体" w:hAnsi="宋体" w:cs="宋体"/>
          <w:color w:val="000000"/>
          <w:sz w:val="24"/>
          <w:szCs w:val="24"/>
          <w:highlight w:val="none"/>
        </w:rPr>
      </w:pPr>
    </w:p>
    <w:p w14:paraId="2A63A1B3">
      <w:pPr>
        <w:pStyle w:val="9"/>
        <w:adjustRightInd w:val="0"/>
        <w:snapToGrid w:val="0"/>
        <w:spacing w:line="360" w:lineRule="auto"/>
        <w:ind w:firstLine="482"/>
        <w:rPr>
          <w:rFonts w:hint="eastAsia" w:ascii="宋体" w:hAnsi="宋体" w:cs="宋体"/>
          <w:b/>
          <w:color w:val="000000"/>
          <w:sz w:val="24"/>
          <w:szCs w:val="24"/>
          <w:highlight w:val="none"/>
        </w:rPr>
      </w:pPr>
    </w:p>
    <w:bookmarkEnd w:id="493"/>
    <w:bookmarkEnd w:id="494"/>
    <w:bookmarkEnd w:id="495"/>
    <w:bookmarkEnd w:id="496"/>
    <w:p w14:paraId="0D9B8751">
      <w:pPr>
        <w:adjustRightInd w:val="0"/>
        <w:snapToGrid w:val="0"/>
        <w:spacing w:line="360" w:lineRule="auto"/>
        <w:ind w:firstLine="482" w:firstLineChars="200"/>
        <w:jc w:val="center"/>
        <w:rPr>
          <w:rFonts w:hint="eastAsia" w:ascii="宋体" w:hAnsi="宋体" w:cs="宋体"/>
          <w:b/>
          <w:color w:val="000000"/>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bookmarkStart w:id="501" w:name="_Toc10563650"/>
      <w:bookmarkStart w:id="502" w:name="_Toc193126887"/>
      <w:bookmarkStart w:id="503" w:name="_Toc188808838"/>
      <w:bookmarkStart w:id="504" w:name="_Toc193187103"/>
      <w:bookmarkStart w:id="505" w:name="_Toc10563611"/>
      <w:bookmarkStart w:id="506" w:name="_Toc194663924"/>
      <w:bookmarkStart w:id="507" w:name="_Toc4329"/>
      <w:bookmarkStart w:id="508" w:name="_Toc12377635"/>
    </w:p>
    <w:bookmarkEnd w:id="501"/>
    <w:bookmarkEnd w:id="502"/>
    <w:bookmarkEnd w:id="503"/>
    <w:bookmarkEnd w:id="504"/>
    <w:bookmarkEnd w:id="505"/>
    <w:bookmarkEnd w:id="506"/>
    <w:bookmarkEnd w:id="507"/>
    <w:bookmarkEnd w:id="508"/>
    <w:p w14:paraId="43335208">
      <w:pPr>
        <w:adjustRightInd w:val="0"/>
        <w:snapToGrid w:val="0"/>
        <w:spacing w:before="0" w:after="0" w:line="360" w:lineRule="auto"/>
        <w:ind w:firstLine="562" w:firstLineChars="200"/>
        <w:jc w:val="center"/>
        <w:outlineLvl w:val="9"/>
        <w:rPr>
          <w:rFonts w:hint="eastAsia" w:ascii="宋体" w:hAnsi="宋体" w:cs="宋体"/>
          <w:b/>
          <w:bCs w:val="0"/>
          <w:color w:val="000000"/>
          <w:sz w:val="28"/>
          <w:szCs w:val="28"/>
          <w:highlight w:val="none"/>
        </w:rPr>
      </w:pPr>
      <w:r>
        <w:rPr>
          <w:rFonts w:hint="eastAsia" w:ascii="宋体" w:hAnsi="宋体" w:cs="宋体"/>
          <w:b/>
          <w:bCs w:val="0"/>
          <w:color w:val="000000"/>
          <w:sz w:val="28"/>
          <w:szCs w:val="28"/>
          <w:highlight w:val="none"/>
          <w:lang w:val="en-US" w:eastAsia="zh-CN"/>
        </w:rPr>
        <w:t>6.</w:t>
      </w:r>
      <w:r>
        <w:rPr>
          <w:rFonts w:hint="eastAsia" w:ascii="宋体" w:hAnsi="宋体" w:cs="宋体"/>
          <w:b/>
          <w:bCs w:val="0"/>
          <w:color w:val="000000"/>
          <w:sz w:val="28"/>
          <w:szCs w:val="28"/>
          <w:highlight w:val="none"/>
        </w:rPr>
        <w:t>法定代表人证明书及授权书</w:t>
      </w:r>
    </w:p>
    <w:p w14:paraId="6C76239E">
      <w:pPr>
        <w:adjustRightInd w:val="0"/>
        <w:snapToGrid w:val="0"/>
        <w:spacing w:line="360" w:lineRule="auto"/>
        <w:ind w:firstLine="562" w:firstLineChars="200"/>
        <w:jc w:val="center"/>
        <w:rPr>
          <w:rFonts w:hint="eastAsia" w:ascii="宋体" w:hAnsi="宋体" w:cs="宋体"/>
          <w:b/>
          <w:color w:val="000000"/>
          <w:sz w:val="28"/>
          <w:szCs w:val="28"/>
          <w:highlight w:val="none"/>
        </w:rPr>
      </w:pPr>
      <w:bookmarkStart w:id="509" w:name="_Toc47262070"/>
      <w:bookmarkStart w:id="510" w:name="_Toc47418732"/>
      <w:bookmarkStart w:id="511" w:name="_Toc47418256"/>
      <w:bookmarkStart w:id="512" w:name="_Toc49019498"/>
      <w:bookmarkStart w:id="513" w:name="_Toc47261691"/>
      <w:bookmarkStart w:id="514" w:name="_Toc48791236"/>
      <w:bookmarkStart w:id="515" w:name="_Toc49019237"/>
      <w:bookmarkStart w:id="516" w:name="_Toc47261886"/>
      <w:bookmarkStart w:id="517" w:name="_Toc48995852"/>
      <w:bookmarkStart w:id="518" w:name="_Toc47418939"/>
      <w:r>
        <w:rPr>
          <w:rFonts w:hint="eastAsia" w:ascii="宋体" w:hAnsi="宋体" w:cs="宋体"/>
          <w:b/>
          <w:color w:val="000000"/>
          <w:sz w:val="28"/>
          <w:szCs w:val="28"/>
          <w:highlight w:val="none"/>
        </w:rPr>
        <w:t>6.1法定代表人证明书</w:t>
      </w:r>
    </w:p>
    <w:tbl>
      <w:tblPr>
        <w:tblStyle w:val="39"/>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6"/>
        <w:gridCol w:w="2412"/>
        <w:gridCol w:w="1607"/>
        <w:gridCol w:w="1497"/>
        <w:gridCol w:w="1868"/>
      </w:tblGrid>
      <w:tr w14:paraId="37F3D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60" w:type="dxa"/>
            <w:gridSpan w:val="5"/>
            <w:noWrap w:val="0"/>
            <w:vAlign w:val="center"/>
          </w:tcPr>
          <w:p w14:paraId="4E58D3B7">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致：</w:t>
            </w:r>
            <w:r>
              <w:rPr>
                <w:rFonts w:hint="eastAsia" w:ascii="宋体" w:hAnsi="宋体" w:cs="宋体"/>
                <w:bCs/>
                <w:color w:val="000000"/>
                <w:sz w:val="24"/>
                <w:szCs w:val="24"/>
                <w:highlight w:val="none"/>
                <w:u w:val="single"/>
              </w:rPr>
              <w:t>（采购人名称）</w:t>
            </w:r>
          </w:p>
        </w:tc>
      </w:tr>
      <w:tr w14:paraId="0AE70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restart"/>
            <w:noWrap w:val="0"/>
            <w:vAlign w:val="center"/>
          </w:tcPr>
          <w:p w14:paraId="56FF949C">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企业</w:t>
            </w:r>
          </w:p>
          <w:p w14:paraId="7860F1A5">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法人</w:t>
            </w:r>
          </w:p>
        </w:tc>
        <w:tc>
          <w:tcPr>
            <w:tcW w:w="2412" w:type="dxa"/>
            <w:noWrap w:val="0"/>
            <w:vAlign w:val="center"/>
          </w:tcPr>
          <w:p w14:paraId="27A0CEAF">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企 业 名 称</w:t>
            </w:r>
          </w:p>
        </w:tc>
        <w:tc>
          <w:tcPr>
            <w:tcW w:w="4972" w:type="dxa"/>
            <w:gridSpan w:val="3"/>
            <w:noWrap w:val="0"/>
            <w:vAlign w:val="center"/>
          </w:tcPr>
          <w:p w14:paraId="389CDB2E">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highlight w:val="none"/>
              </w:rPr>
            </w:pPr>
          </w:p>
        </w:tc>
      </w:tr>
      <w:tr w14:paraId="1B382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noWrap w:val="0"/>
            <w:vAlign w:val="center"/>
          </w:tcPr>
          <w:p w14:paraId="025A1A8B">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p>
        </w:tc>
        <w:tc>
          <w:tcPr>
            <w:tcW w:w="2412" w:type="dxa"/>
            <w:noWrap w:val="0"/>
            <w:vAlign w:val="center"/>
          </w:tcPr>
          <w:p w14:paraId="0324BB4A">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法 定 地 址</w:t>
            </w:r>
          </w:p>
        </w:tc>
        <w:tc>
          <w:tcPr>
            <w:tcW w:w="4972" w:type="dxa"/>
            <w:gridSpan w:val="3"/>
            <w:noWrap w:val="0"/>
            <w:vAlign w:val="center"/>
          </w:tcPr>
          <w:p w14:paraId="295AF985">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highlight w:val="none"/>
              </w:rPr>
            </w:pPr>
          </w:p>
        </w:tc>
      </w:tr>
      <w:tr w14:paraId="31EFD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noWrap w:val="0"/>
            <w:vAlign w:val="center"/>
          </w:tcPr>
          <w:p w14:paraId="306A4FE1">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p>
        </w:tc>
        <w:tc>
          <w:tcPr>
            <w:tcW w:w="2412" w:type="dxa"/>
            <w:noWrap w:val="0"/>
            <w:vAlign w:val="center"/>
          </w:tcPr>
          <w:p w14:paraId="4B5ACB43">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工商登记机关</w:t>
            </w:r>
          </w:p>
        </w:tc>
        <w:tc>
          <w:tcPr>
            <w:tcW w:w="4972" w:type="dxa"/>
            <w:gridSpan w:val="3"/>
            <w:noWrap w:val="0"/>
            <w:vAlign w:val="center"/>
          </w:tcPr>
          <w:p w14:paraId="744EE7EB">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highlight w:val="none"/>
              </w:rPr>
            </w:pPr>
          </w:p>
        </w:tc>
      </w:tr>
      <w:tr w14:paraId="312D4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noWrap w:val="0"/>
            <w:vAlign w:val="center"/>
          </w:tcPr>
          <w:p w14:paraId="44FDED19">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p>
        </w:tc>
        <w:tc>
          <w:tcPr>
            <w:tcW w:w="2412" w:type="dxa"/>
            <w:noWrap w:val="0"/>
            <w:vAlign w:val="center"/>
          </w:tcPr>
          <w:p w14:paraId="1BB4F937">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统一社会信用代码</w:t>
            </w:r>
          </w:p>
        </w:tc>
        <w:tc>
          <w:tcPr>
            <w:tcW w:w="4972" w:type="dxa"/>
            <w:gridSpan w:val="3"/>
            <w:noWrap w:val="0"/>
            <w:vAlign w:val="center"/>
          </w:tcPr>
          <w:p w14:paraId="52DF8622">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highlight w:val="none"/>
              </w:rPr>
            </w:pPr>
          </w:p>
        </w:tc>
      </w:tr>
      <w:tr w14:paraId="18686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noWrap w:val="0"/>
            <w:vAlign w:val="center"/>
          </w:tcPr>
          <w:p w14:paraId="28A22690">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法定</w:t>
            </w:r>
          </w:p>
          <w:p w14:paraId="114790DD">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代表人</w:t>
            </w:r>
          </w:p>
        </w:tc>
        <w:tc>
          <w:tcPr>
            <w:tcW w:w="2412" w:type="dxa"/>
            <w:noWrap w:val="0"/>
            <w:vAlign w:val="center"/>
          </w:tcPr>
          <w:p w14:paraId="79918625">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姓    名</w:t>
            </w:r>
          </w:p>
        </w:tc>
        <w:tc>
          <w:tcPr>
            <w:tcW w:w="1607" w:type="dxa"/>
            <w:noWrap w:val="0"/>
            <w:vAlign w:val="center"/>
          </w:tcPr>
          <w:p w14:paraId="69C5660D">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p>
        </w:tc>
        <w:tc>
          <w:tcPr>
            <w:tcW w:w="1497" w:type="dxa"/>
            <w:noWrap w:val="0"/>
            <w:vAlign w:val="center"/>
          </w:tcPr>
          <w:p w14:paraId="7EC166B3">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联系电话</w:t>
            </w:r>
          </w:p>
        </w:tc>
        <w:tc>
          <w:tcPr>
            <w:tcW w:w="1868" w:type="dxa"/>
            <w:noWrap w:val="0"/>
            <w:vAlign w:val="center"/>
          </w:tcPr>
          <w:p w14:paraId="726A6EB2">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p>
        </w:tc>
      </w:tr>
      <w:tr w14:paraId="6CF89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jc w:val="center"/>
        </w:trPr>
        <w:tc>
          <w:tcPr>
            <w:tcW w:w="1176" w:type="dxa"/>
            <w:vMerge w:val="restart"/>
            <w:noWrap w:val="0"/>
            <w:vAlign w:val="top"/>
          </w:tcPr>
          <w:p w14:paraId="5878D746">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highlight w:val="none"/>
              </w:rPr>
            </w:pPr>
          </w:p>
          <w:p w14:paraId="6A77ECE7">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highlight w:val="none"/>
              </w:rPr>
            </w:pPr>
          </w:p>
          <w:p w14:paraId="33361A0A">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highlight w:val="none"/>
              </w:rPr>
            </w:pPr>
          </w:p>
          <w:p w14:paraId="796C8C57">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highlight w:val="none"/>
              </w:rPr>
            </w:pPr>
          </w:p>
          <w:p w14:paraId="06635FAA">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highlight w:val="none"/>
              </w:rPr>
            </w:pPr>
          </w:p>
          <w:p w14:paraId="2BC9B3CE">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法定</w:t>
            </w:r>
          </w:p>
          <w:p w14:paraId="1ED45AC9">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代表人</w:t>
            </w:r>
          </w:p>
          <w:p w14:paraId="2480A257">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身份证</w:t>
            </w:r>
          </w:p>
          <w:p w14:paraId="669F5416">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复印件</w:t>
            </w:r>
          </w:p>
        </w:tc>
        <w:tc>
          <w:tcPr>
            <w:tcW w:w="4019" w:type="dxa"/>
            <w:gridSpan w:val="2"/>
            <w:vMerge w:val="restart"/>
            <w:noWrap w:val="0"/>
            <w:vAlign w:val="center"/>
          </w:tcPr>
          <w:p w14:paraId="7F9698D5">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color w:val="000000"/>
                <w:spacing w:val="-4"/>
                <w:sz w:val="24"/>
                <w:szCs w:val="24"/>
                <w:highlight w:val="none"/>
              </w:rPr>
              <w:t>身份证（国徽面、人像面）</w:t>
            </w:r>
          </w:p>
        </w:tc>
        <w:tc>
          <w:tcPr>
            <w:tcW w:w="3365" w:type="dxa"/>
            <w:gridSpan w:val="2"/>
            <w:noWrap w:val="0"/>
            <w:vAlign w:val="center"/>
          </w:tcPr>
          <w:p w14:paraId="0BEA2E7C">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highlight w:val="none"/>
              </w:rPr>
            </w:pPr>
          </w:p>
          <w:p w14:paraId="686ED7FB">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（法定代表人签字或盖章）</w:t>
            </w:r>
          </w:p>
        </w:tc>
      </w:tr>
      <w:tr w14:paraId="1F1D5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3" w:hRule="atLeast"/>
          <w:jc w:val="center"/>
        </w:trPr>
        <w:tc>
          <w:tcPr>
            <w:tcW w:w="1176" w:type="dxa"/>
            <w:vMerge w:val="continue"/>
            <w:noWrap w:val="0"/>
            <w:vAlign w:val="top"/>
          </w:tcPr>
          <w:p w14:paraId="15BCD405">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highlight w:val="none"/>
              </w:rPr>
            </w:pPr>
          </w:p>
        </w:tc>
        <w:tc>
          <w:tcPr>
            <w:tcW w:w="4019" w:type="dxa"/>
            <w:gridSpan w:val="2"/>
            <w:vMerge w:val="continue"/>
            <w:noWrap w:val="0"/>
            <w:vAlign w:val="top"/>
          </w:tcPr>
          <w:p w14:paraId="45E397D7">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highlight w:val="none"/>
              </w:rPr>
            </w:pPr>
          </w:p>
        </w:tc>
        <w:tc>
          <w:tcPr>
            <w:tcW w:w="3365" w:type="dxa"/>
            <w:gridSpan w:val="2"/>
            <w:noWrap w:val="0"/>
            <w:vAlign w:val="top"/>
          </w:tcPr>
          <w:p w14:paraId="2955D2FE">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highlight w:val="none"/>
              </w:rPr>
            </w:pPr>
          </w:p>
          <w:p w14:paraId="65F9D2E3">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highlight w:val="none"/>
              </w:rPr>
            </w:pPr>
          </w:p>
          <w:p w14:paraId="1F4CBB29">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（供应商公章）</w:t>
            </w:r>
          </w:p>
          <w:p w14:paraId="2558203C">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highlight w:val="none"/>
              </w:rPr>
            </w:pPr>
          </w:p>
          <w:p w14:paraId="6313197A">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highlight w:val="none"/>
              </w:rPr>
            </w:pPr>
          </w:p>
          <w:p w14:paraId="794EB3FA">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年  月  日</w:t>
            </w:r>
          </w:p>
        </w:tc>
      </w:tr>
    </w:tbl>
    <w:p w14:paraId="32253BA4">
      <w:pPr>
        <w:adjustRightInd w:val="0"/>
        <w:snapToGrid w:val="0"/>
        <w:spacing w:line="360" w:lineRule="auto"/>
        <w:ind w:firstLine="482" w:firstLineChars="200"/>
        <w:jc w:val="center"/>
        <w:rPr>
          <w:rFonts w:hint="eastAsia" w:ascii="宋体" w:hAnsi="宋体" w:cs="宋体"/>
          <w:b/>
          <w:color w:val="000000"/>
          <w:sz w:val="24"/>
          <w:szCs w:val="24"/>
          <w:highlight w:val="none"/>
        </w:rPr>
      </w:pPr>
    </w:p>
    <w:p w14:paraId="5834CF94">
      <w:pPr>
        <w:adjustRightInd w:val="0"/>
        <w:snapToGrid w:val="0"/>
        <w:spacing w:line="360" w:lineRule="auto"/>
        <w:ind w:firstLine="482" w:firstLineChars="200"/>
        <w:jc w:val="center"/>
        <w:rPr>
          <w:rFonts w:hint="eastAsia" w:ascii="宋体" w:hAnsi="宋体" w:cs="宋体"/>
          <w:b/>
          <w:color w:val="000000"/>
          <w:sz w:val="24"/>
          <w:szCs w:val="24"/>
          <w:highlight w:val="none"/>
        </w:rPr>
      </w:pPr>
    </w:p>
    <w:p w14:paraId="15FB5C14">
      <w:pPr>
        <w:adjustRightInd w:val="0"/>
        <w:snapToGrid w:val="0"/>
        <w:spacing w:line="360" w:lineRule="auto"/>
        <w:ind w:firstLine="562" w:firstLineChars="200"/>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r>
      <w:r>
        <w:rPr>
          <w:rFonts w:hint="eastAsia" w:ascii="宋体" w:hAnsi="宋体" w:cs="宋体"/>
          <w:b/>
          <w:color w:val="000000"/>
          <w:sz w:val="28"/>
          <w:szCs w:val="28"/>
          <w:highlight w:val="none"/>
        </w:rPr>
        <w:t>6.2 法定代表人授权书</w:t>
      </w:r>
    </w:p>
    <w:tbl>
      <w:tblPr>
        <w:tblStyle w:val="39"/>
        <w:tblW w:w="87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598"/>
        <w:gridCol w:w="1806"/>
        <w:gridCol w:w="1044"/>
        <w:gridCol w:w="1334"/>
        <w:gridCol w:w="2225"/>
      </w:tblGrid>
      <w:tr w14:paraId="5AFDC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8760" w:type="dxa"/>
            <w:gridSpan w:val="6"/>
            <w:noWrap w:val="0"/>
            <w:vAlign w:val="top"/>
          </w:tcPr>
          <w:p w14:paraId="7701D22B">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致：</w:t>
            </w:r>
            <w:r>
              <w:rPr>
                <w:rFonts w:hint="eastAsia" w:ascii="宋体" w:hAnsi="宋体" w:cs="宋体"/>
                <w:bCs/>
                <w:color w:val="000000"/>
                <w:sz w:val="24"/>
                <w:szCs w:val="24"/>
                <w:highlight w:val="none"/>
                <w:u w:val="single"/>
              </w:rPr>
              <w:t>（采购人名称）</w:t>
            </w:r>
          </w:p>
        </w:tc>
      </w:tr>
      <w:tr w14:paraId="43C19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53" w:type="dxa"/>
            <w:vMerge w:val="restart"/>
            <w:noWrap w:val="0"/>
            <w:vAlign w:val="center"/>
          </w:tcPr>
          <w:p w14:paraId="217AC6B2">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被</w:t>
            </w:r>
          </w:p>
          <w:p w14:paraId="1CDB3188">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授</w:t>
            </w:r>
          </w:p>
          <w:p w14:paraId="6BF93557">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权</w:t>
            </w:r>
          </w:p>
          <w:p w14:paraId="720C91DD">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人</w:t>
            </w:r>
          </w:p>
        </w:tc>
        <w:tc>
          <w:tcPr>
            <w:tcW w:w="1598" w:type="dxa"/>
            <w:noWrap w:val="0"/>
            <w:vAlign w:val="center"/>
          </w:tcPr>
          <w:p w14:paraId="0778F80F">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姓    名</w:t>
            </w:r>
          </w:p>
        </w:tc>
        <w:tc>
          <w:tcPr>
            <w:tcW w:w="2850" w:type="dxa"/>
            <w:gridSpan w:val="2"/>
            <w:noWrap w:val="0"/>
            <w:vAlign w:val="center"/>
          </w:tcPr>
          <w:p w14:paraId="70F72CC2">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p>
        </w:tc>
        <w:tc>
          <w:tcPr>
            <w:tcW w:w="1334" w:type="dxa"/>
            <w:noWrap w:val="0"/>
            <w:vAlign w:val="center"/>
          </w:tcPr>
          <w:p w14:paraId="5CDAF410">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性    别</w:t>
            </w:r>
          </w:p>
        </w:tc>
        <w:tc>
          <w:tcPr>
            <w:tcW w:w="2225" w:type="dxa"/>
            <w:noWrap w:val="0"/>
            <w:vAlign w:val="center"/>
          </w:tcPr>
          <w:p w14:paraId="7B79EB55">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p>
        </w:tc>
      </w:tr>
      <w:tr w14:paraId="15E66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jc w:val="center"/>
        </w:trPr>
        <w:tc>
          <w:tcPr>
            <w:tcW w:w="753" w:type="dxa"/>
            <w:vMerge w:val="continue"/>
            <w:noWrap w:val="0"/>
            <w:vAlign w:val="top"/>
          </w:tcPr>
          <w:p w14:paraId="67CCF0D8">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p>
        </w:tc>
        <w:tc>
          <w:tcPr>
            <w:tcW w:w="1598" w:type="dxa"/>
            <w:noWrap w:val="0"/>
            <w:vAlign w:val="center"/>
          </w:tcPr>
          <w:p w14:paraId="08D5D79B">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职    务</w:t>
            </w:r>
          </w:p>
        </w:tc>
        <w:tc>
          <w:tcPr>
            <w:tcW w:w="2850" w:type="dxa"/>
            <w:gridSpan w:val="2"/>
            <w:noWrap w:val="0"/>
            <w:vAlign w:val="center"/>
          </w:tcPr>
          <w:p w14:paraId="5252A42E">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p>
        </w:tc>
        <w:tc>
          <w:tcPr>
            <w:tcW w:w="1334" w:type="dxa"/>
            <w:noWrap w:val="0"/>
            <w:vAlign w:val="center"/>
          </w:tcPr>
          <w:p w14:paraId="20EAEFAE">
            <w:pPr>
              <w:tabs>
                <w:tab w:val="right" w:leader="dot" w:pos="9022"/>
              </w:tabs>
              <w:autoSpaceDE w:val="0"/>
              <w:autoSpaceDN w:val="0"/>
              <w:adjustRightInd w:val="0"/>
              <w:spacing w:line="500" w:lineRule="exact"/>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联系电话</w:t>
            </w:r>
          </w:p>
        </w:tc>
        <w:tc>
          <w:tcPr>
            <w:tcW w:w="2225" w:type="dxa"/>
            <w:noWrap w:val="0"/>
            <w:vAlign w:val="center"/>
          </w:tcPr>
          <w:p w14:paraId="2E8F32DC">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p>
        </w:tc>
      </w:tr>
      <w:tr w14:paraId="3D7BA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53" w:type="dxa"/>
            <w:vMerge w:val="restart"/>
            <w:noWrap w:val="0"/>
            <w:vAlign w:val="top"/>
          </w:tcPr>
          <w:p w14:paraId="55AC50AF">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被</w:t>
            </w:r>
          </w:p>
          <w:p w14:paraId="300109C4">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授</w:t>
            </w:r>
          </w:p>
          <w:p w14:paraId="7B4D0DC0">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权</w:t>
            </w:r>
          </w:p>
          <w:p w14:paraId="1897C1CD">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项</w:t>
            </w:r>
          </w:p>
          <w:p w14:paraId="61E5149B">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目</w:t>
            </w:r>
          </w:p>
          <w:p w14:paraId="7FF8AFE3">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与</w:t>
            </w:r>
          </w:p>
          <w:p w14:paraId="739114A0">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内</w:t>
            </w:r>
          </w:p>
          <w:p w14:paraId="6FEC4FAB">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容</w:t>
            </w:r>
          </w:p>
        </w:tc>
        <w:tc>
          <w:tcPr>
            <w:tcW w:w="1598" w:type="dxa"/>
            <w:noWrap w:val="0"/>
            <w:vAlign w:val="top"/>
          </w:tcPr>
          <w:p w14:paraId="71A35554">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项目名称</w:t>
            </w:r>
          </w:p>
        </w:tc>
        <w:tc>
          <w:tcPr>
            <w:tcW w:w="6409" w:type="dxa"/>
            <w:gridSpan w:val="4"/>
            <w:noWrap w:val="0"/>
            <w:vAlign w:val="top"/>
          </w:tcPr>
          <w:p w14:paraId="4B1A4571">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p>
        </w:tc>
      </w:tr>
      <w:tr w14:paraId="0067A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3" w:type="dxa"/>
            <w:vMerge w:val="continue"/>
            <w:noWrap w:val="0"/>
            <w:vAlign w:val="top"/>
          </w:tcPr>
          <w:p w14:paraId="201F5BBC">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p>
        </w:tc>
        <w:tc>
          <w:tcPr>
            <w:tcW w:w="1598" w:type="dxa"/>
            <w:noWrap w:val="0"/>
            <w:vAlign w:val="top"/>
          </w:tcPr>
          <w:p w14:paraId="58F57328">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项目编号</w:t>
            </w:r>
          </w:p>
        </w:tc>
        <w:tc>
          <w:tcPr>
            <w:tcW w:w="6409" w:type="dxa"/>
            <w:gridSpan w:val="4"/>
            <w:noWrap w:val="0"/>
            <w:vAlign w:val="top"/>
          </w:tcPr>
          <w:p w14:paraId="726978DB">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p>
        </w:tc>
      </w:tr>
      <w:tr w14:paraId="3168B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753" w:type="dxa"/>
            <w:vMerge w:val="continue"/>
            <w:noWrap w:val="0"/>
            <w:vAlign w:val="top"/>
          </w:tcPr>
          <w:p w14:paraId="0B7C06EC">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p>
        </w:tc>
        <w:tc>
          <w:tcPr>
            <w:tcW w:w="1598" w:type="dxa"/>
            <w:noWrap w:val="0"/>
            <w:vAlign w:val="center"/>
          </w:tcPr>
          <w:p w14:paraId="44E7B3A5">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授权范围</w:t>
            </w:r>
          </w:p>
        </w:tc>
        <w:tc>
          <w:tcPr>
            <w:tcW w:w="6409" w:type="dxa"/>
            <w:gridSpan w:val="4"/>
            <w:noWrap w:val="0"/>
            <w:vAlign w:val="top"/>
          </w:tcPr>
          <w:p w14:paraId="0D866507">
            <w:pPr>
              <w:tabs>
                <w:tab w:val="right" w:leader="dot" w:pos="9022"/>
              </w:tabs>
              <w:autoSpaceDE w:val="0"/>
              <w:autoSpaceDN w:val="0"/>
              <w:adjustRightInd w:val="0"/>
              <w:spacing w:line="500" w:lineRule="exact"/>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全权办理本次采购项目的磋商、联系、洽谈、签约、执行等具体事务，签署全部有关文件、文书、协议及合同。</w:t>
            </w:r>
          </w:p>
        </w:tc>
      </w:tr>
      <w:tr w14:paraId="53FFE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753" w:type="dxa"/>
            <w:vMerge w:val="continue"/>
            <w:noWrap w:val="0"/>
            <w:vAlign w:val="top"/>
          </w:tcPr>
          <w:p w14:paraId="2AD2E45F">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p>
        </w:tc>
        <w:tc>
          <w:tcPr>
            <w:tcW w:w="1598" w:type="dxa"/>
            <w:noWrap w:val="0"/>
            <w:vAlign w:val="top"/>
          </w:tcPr>
          <w:p w14:paraId="5F796468">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法律责任</w:t>
            </w:r>
          </w:p>
        </w:tc>
        <w:tc>
          <w:tcPr>
            <w:tcW w:w="6409" w:type="dxa"/>
            <w:gridSpan w:val="4"/>
            <w:noWrap w:val="0"/>
            <w:vAlign w:val="top"/>
          </w:tcPr>
          <w:p w14:paraId="26257FD6">
            <w:pPr>
              <w:tabs>
                <w:tab w:val="right" w:leader="dot" w:pos="9022"/>
              </w:tabs>
              <w:autoSpaceDE w:val="0"/>
              <w:autoSpaceDN w:val="0"/>
              <w:adjustRightInd w:val="0"/>
              <w:spacing w:line="500" w:lineRule="exact"/>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本公司对被授权人在本项目中所实施的代理行为承担全部法律责任。</w:t>
            </w:r>
          </w:p>
        </w:tc>
      </w:tr>
      <w:tr w14:paraId="357C8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753" w:type="dxa"/>
            <w:vMerge w:val="continue"/>
            <w:noWrap w:val="0"/>
            <w:vAlign w:val="top"/>
          </w:tcPr>
          <w:p w14:paraId="17312774">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p>
        </w:tc>
        <w:tc>
          <w:tcPr>
            <w:tcW w:w="1598" w:type="dxa"/>
            <w:noWrap w:val="0"/>
            <w:vAlign w:val="center"/>
          </w:tcPr>
          <w:p w14:paraId="4BA999D5">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授权期限</w:t>
            </w:r>
          </w:p>
        </w:tc>
        <w:tc>
          <w:tcPr>
            <w:tcW w:w="6409" w:type="dxa"/>
            <w:gridSpan w:val="4"/>
            <w:noWrap w:val="0"/>
            <w:vAlign w:val="center"/>
          </w:tcPr>
          <w:p w14:paraId="1972F3A4">
            <w:pPr>
              <w:tabs>
                <w:tab w:val="right" w:leader="dot" w:pos="9022"/>
              </w:tabs>
              <w:autoSpaceDE w:val="0"/>
              <w:autoSpaceDN w:val="0"/>
              <w:adjustRightInd w:val="0"/>
              <w:spacing w:line="500" w:lineRule="exact"/>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本授权书自竞争性磋商会议之日计算有效期为90天。</w:t>
            </w:r>
          </w:p>
        </w:tc>
      </w:tr>
      <w:tr w14:paraId="24280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4157" w:type="dxa"/>
            <w:gridSpan w:val="3"/>
            <w:noWrap w:val="0"/>
            <w:vAlign w:val="top"/>
          </w:tcPr>
          <w:p w14:paraId="6DBD70A8">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被授权人身份证复印件</w:t>
            </w:r>
          </w:p>
        </w:tc>
        <w:tc>
          <w:tcPr>
            <w:tcW w:w="4603" w:type="dxa"/>
            <w:gridSpan w:val="3"/>
            <w:vMerge w:val="restart"/>
            <w:noWrap w:val="0"/>
            <w:vAlign w:val="top"/>
          </w:tcPr>
          <w:p w14:paraId="01D2770E">
            <w:pPr>
              <w:tabs>
                <w:tab w:val="right" w:leader="dot" w:pos="9022"/>
              </w:tabs>
              <w:autoSpaceDE w:val="0"/>
              <w:autoSpaceDN w:val="0"/>
              <w:adjustRightInd w:val="0"/>
              <w:snapToGrid w:val="0"/>
              <w:spacing w:line="360" w:lineRule="auto"/>
              <w:rPr>
                <w:rFonts w:hint="eastAsia" w:ascii="宋体" w:hAnsi="宋体" w:cs="宋体"/>
                <w:bCs/>
                <w:color w:val="000000"/>
                <w:sz w:val="24"/>
                <w:szCs w:val="24"/>
                <w:highlight w:val="none"/>
              </w:rPr>
            </w:pPr>
          </w:p>
          <w:p w14:paraId="28AF2628">
            <w:pPr>
              <w:tabs>
                <w:tab w:val="right" w:leader="dot" w:pos="9022"/>
              </w:tabs>
              <w:autoSpaceDE w:val="0"/>
              <w:autoSpaceDN w:val="0"/>
              <w:adjustRightInd w:val="0"/>
              <w:snapToGrid w:val="0"/>
              <w:spacing w:line="360" w:lineRule="auto"/>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法定代表人签字或盖章：</w:t>
            </w:r>
          </w:p>
          <w:p w14:paraId="46F99CAC">
            <w:pPr>
              <w:tabs>
                <w:tab w:val="right" w:leader="dot" w:pos="9022"/>
              </w:tabs>
              <w:autoSpaceDE w:val="0"/>
              <w:autoSpaceDN w:val="0"/>
              <w:adjustRightInd w:val="0"/>
              <w:snapToGrid w:val="0"/>
              <w:spacing w:line="360" w:lineRule="auto"/>
              <w:rPr>
                <w:rFonts w:hint="eastAsia" w:ascii="宋体" w:hAnsi="宋体" w:cs="宋体"/>
                <w:bCs/>
                <w:color w:val="000000"/>
                <w:sz w:val="24"/>
                <w:szCs w:val="24"/>
                <w:highlight w:val="none"/>
              </w:rPr>
            </w:pPr>
          </w:p>
          <w:p w14:paraId="162BFE5D">
            <w:pPr>
              <w:tabs>
                <w:tab w:val="right" w:leader="dot" w:pos="9022"/>
              </w:tabs>
              <w:autoSpaceDE w:val="0"/>
              <w:autoSpaceDN w:val="0"/>
              <w:adjustRightInd w:val="0"/>
              <w:snapToGrid w:val="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被授权人签字或盖章：</w:t>
            </w:r>
          </w:p>
        </w:tc>
      </w:tr>
      <w:tr w14:paraId="13623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 w:hRule="atLeast"/>
          <w:jc w:val="center"/>
        </w:trPr>
        <w:tc>
          <w:tcPr>
            <w:tcW w:w="4157" w:type="dxa"/>
            <w:gridSpan w:val="3"/>
            <w:vMerge w:val="restart"/>
            <w:noWrap w:val="0"/>
            <w:vAlign w:val="center"/>
          </w:tcPr>
          <w:p w14:paraId="4360057E">
            <w:pPr>
              <w:tabs>
                <w:tab w:val="right" w:leader="dot" w:pos="9022"/>
              </w:tabs>
              <w:autoSpaceDE w:val="0"/>
              <w:autoSpaceDN w:val="0"/>
              <w:adjustRightInd w:val="0"/>
              <w:spacing w:line="500" w:lineRule="exact"/>
              <w:jc w:val="center"/>
              <w:rPr>
                <w:rFonts w:hint="eastAsia" w:ascii="宋体" w:hAnsi="宋体" w:cs="宋体"/>
                <w:bCs/>
                <w:color w:val="000000"/>
                <w:sz w:val="24"/>
                <w:szCs w:val="24"/>
                <w:highlight w:val="none"/>
              </w:rPr>
            </w:pPr>
            <w:r>
              <w:rPr>
                <w:rFonts w:hint="eastAsia" w:ascii="宋体" w:hAnsi="宋体" w:cs="宋体"/>
                <w:color w:val="000000"/>
                <w:spacing w:val="-4"/>
                <w:sz w:val="24"/>
                <w:szCs w:val="24"/>
                <w:highlight w:val="none"/>
              </w:rPr>
              <w:t>身份证（国徽面、人像面）</w:t>
            </w:r>
          </w:p>
        </w:tc>
        <w:tc>
          <w:tcPr>
            <w:tcW w:w="4603" w:type="dxa"/>
            <w:gridSpan w:val="3"/>
            <w:vMerge w:val="continue"/>
            <w:noWrap w:val="0"/>
            <w:vAlign w:val="top"/>
          </w:tcPr>
          <w:p w14:paraId="4CC55BFF">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highlight w:val="none"/>
              </w:rPr>
            </w:pPr>
          </w:p>
        </w:tc>
      </w:tr>
      <w:tr w14:paraId="2611D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0" w:hRule="atLeast"/>
          <w:jc w:val="center"/>
        </w:trPr>
        <w:tc>
          <w:tcPr>
            <w:tcW w:w="4157" w:type="dxa"/>
            <w:gridSpan w:val="3"/>
            <w:vMerge w:val="continue"/>
            <w:noWrap w:val="0"/>
            <w:vAlign w:val="top"/>
          </w:tcPr>
          <w:p w14:paraId="13EF8E5E">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highlight w:val="none"/>
              </w:rPr>
            </w:pPr>
          </w:p>
        </w:tc>
        <w:tc>
          <w:tcPr>
            <w:tcW w:w="4603" w:type="dxa"/>
            <w:gridSpan w:val="3"/>
            <w:noWrap w:val="0"/>
            <w:vAlign w:val="top"/>
          </w:tcPr>
          <w:p w14:paraId="6481D2AD">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highlight w:val="none"/>
              </w:rPr>
            </w:pPr>
          </w:p>
          <w:p w14:paraId="4A7C0941">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（供应商公章）</w:t>
            </w:r>
          </w:p>
          <w:p w14:paraId="44ABA61C">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年  月  日</w:t>
            </w:r>
          </w:p>
        </w:tc>
      </w:tr>
      <w:bookmarkEnd w:id="509"/>
      <w:bookmarkEnd w:id="510"/>
      <w:bookmarkEnd w:id="511"/>
      <w:bookmarkEnd w:id="512"/>
      <w:bookmarkEnd w:id="513"/>
      <w:bookmarkEnd w:id="514"/>
      <w:bookmarkEnd w:id="515"/>
      <w:bookmarkEnd w:id="516"/>
      <w:bookmarkEnd w:id="517"/>
      <w:bookmarkEnd w:id="518"/>
    </w:tbl>
    <w:p w14:paraId="5B294A6C">
      <w:pPr>
        <w:spacing w:line="480" w:lineRule="exact"/>
        <w:jc w:val="left"/>
        <w:rPr>
          <w:rFonts w:hint="eastAsia" w:ascii="宋体" w:hAnsi="宋体"/>
          <w:b/>
          <w:bCs/>
          <w:color w:val="000000"/>
          <w:sz w:val="24"/>
          <w:highlight w:val="none"/>
        </w:rPr>
      </w:pPr>
      <w:r>
        <w:rPr>
          <w:rFonts w:hint="eastAsia" w:ascii="宋体" w:hAnsi="宋体" w:cs="宋体"/>
          <w:b/>
          <w:bCs/>
          <w:sz w:val="24"/>
          <w:szCs w:val="24"/>
          <w:highlight w:val="none"/>
          <w:lang w:val="en-US" w:eastAsia="zh-CN"/>
        </w:rPr>
        <w:t>备注：法定代表人参加磋商会议的，应出具法定代表人证明书以及法定代表人合法有效的身份证，且应与营业执照上信息一致。法定代表人授权合法授权代表参加磋商会议的，应出具法定代表人证明书、法定代表人授权书及授权代表合法有效的身份证,同时提供截至响应文件递交截止时间前6个月内在本单位任意1个月的社保缴纳证明材料。供应商自行承担未按照上述要求提供上述资料导致符合行不合格等不利风险。</w:t>
      </w:r>
    </w:p>
    <w:p w14:paraId="66A9A704">
      <w:pPr>
        <w:jc w:val="center"/>
        <w:outlineLvl w:val="9"/>
        <w:rPr>
          <w:rFonts w:hint="default" w:ascii="宋体" w:hAnsi="宋体"/>
          <w:b/>
          <w:color w:val="000000"/>
          <w:sz w:val="36"/>
          <w:szCs w:val="36"/>
          <w:highlight w:val="none"/>
          <w:lang w:val="en-US" w:eastAsia="zh-CN"/>
        </w:rPr>
      </w:pPr>
      <w:r>
        <w:rPr>
          <w:rFonts w:hint="eastAsia" w:ascii="宋体" w:hAnsi="宋体"/>
          <w:b/>
          <w:color w:val="000000"/>
          <w:sz w:val="36"/>
          <w:szCs w:val="36"/>
          <w:highlight w:val="none"/>
        </w:rPr>
        <w:br w:type="page"/>
      </w:r>
      <w:bookmarkStart w:id="519" w:name="_Toc10563651"/>
      <w:bookmarkStart w:id="520" w:name="_Toc10563612"/>
      <w:bookmarkStart w:id="521" w:name="_Toc12377636"/>
      <w:bookmarkStart w:id="522" w:name="_Toc22833"/>
      <w:r>
        <w:rPr>
          <w:rFonts w:hint="eastAsia" w:ascii="宋体" w:hAnsi="宋体" w:eastAsia="宋体" w:cs="宋体"/>
          <w:b/>
          <w:color w:val="000000"/>
          <w:sz w:val="28"/>
          <w:szCs w:val="28"/>
          <w:highlight w:val="none"/>
          <w:lang w:val="en-US" w:eastAsia="zh-CN"/>
        </w:rPr>
        <w:t>6.3被授权代表社保缴纳证明资料</w:t>
      </w:r>
    </w:p>
    <w:p w14:paraId="74911F9A">
      <w:pPr>
        <w:rPr>
          <w:rFonts w:hint="eastAsia" w:ascii="宋体" w:hAnsi="宋体"/>
          <w:b/>
          <w:color w:val="000000"/>
          <w:sz w:val="36"/>
          <w:szCs w:val="36"/>
          <w:highlight w:val="none"/>
          <w:lang w:val="en-US" w:eastAsia="zh-CN"/>
        </w:rPr>
      </w:pPr>
      <w:r>
        <w:rPr>
          <w:rFonts w:hint="eastAsia" w:ascii="宋体" w:hAnsi="宋体"/>
          <w:b/>
          <w:color w:val="000000"/>
          <w:sz w:val="36"/>
          <w:szCs w:val="36"/>
          <w:highlight w:val="none"/>
          <w:lang w:val="en-US" w:eastAsia="zh-CN"/>
        </w:rPr>
        <w:br w:type="page"/>
      </w:r>
    </w:p>
    <w:p w14:paraId="2AB6FB99">
      <w:pPr>
        <w:jc w:val="left"/>
        <w:outlineLvl w:val="9"/>
        <w:rPr>
          <w:rFonts w:hint="eastAsia" w:ascii="宋体" w:hAnsi="宋体" w:cs="宋体"/>
          <w:bCs/>
          <w:color w:val="000000"/>
          <w:sz w:val="24"/>
          <w:szCs w:val="24"/>
          <w:highlight w:val="none"/>
        </w:rPr>
      </w:pPr>
      <w:r>
        <w:rPr>
          <w:rFonts w:hint="eastAsia" w:ascii="宋体" w:hAnsi="宋体"/>
          <w:b/>
          <w:color w:val="000000"/>
          <w:sz w:val="36"/>
          <w:szCs w:val="36"/>
          <w:highlight w:val="none"/>
          <w:lang w:val="en-US" w:eastAsia="zh-CN"/>
        </w:rPr>
        <w:t xml:space="preserve">  </w:t>
      </w:r>
      <w:r>
        <w:rPr>
          <w:rFonts w:hint="eastAsia" w:ascii="宋体" w:hAnsi="宋体" w:eastAsia="宋体" w:cs="宋体"/>
          <w:b/>
          <w:bCs w:val="0"/>
          <w:color w:val="000000"/>
          <w:sz w:val="28"/>
          <w:szCs w:val="28"/>
          <w:highlight w:val="none"/>
        </w:rPr>
        <w:t>7.资格证明文件</w:t>
      </w:r>
    </w:p>
    <w:p w14:paraId="1DA14B8C">
      <w:pPr>
        <w:spacing w:line="360" w:lineRule="auto"/>
        <w:ind w:firstLine="240" w:firstLineChars="100"/>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（供应商应在此处附与本项目竞争性磋商公告及竞争性磋商文件中要求的资格证明文件复印件或打印件并加盖公章，格式参考见本条附件）</w:t>
      </w:r>
    </w:p>
    <w:p w14:paraId="1AF1F996">
      <w:pPr>
        <w:spacing w:line="360" w:lineRule="auto"/>
        <w:ind w:firstLine="210"/>
        <w:jc w:val="center"/>
        <w:rPr>
          <w:rFonts w:hint="eastAsia" w:ascii="宋体" w:hAnsi="宋体" w:cs="宋体"/>
          <w:bCs/>
          <w:color w:val="000000"/>
          <w:sz w:val="24"/>
          <w:szCs w:val="24"/>
          <w:highlight w:val="none"/>
        </w:rPr>
      </w:pPr>
    </w:p>
    <w:p w14:paraId="5CE33ECA">
      <w:pPr>
        <w:spacing w:line="360" w:lineRule="auto"/>
        <w:ind w:firstLine="210"/>
        <w:jc w:val="center"/>
        <w:rPr>
          <w:rFonts w:hint="eastAsia" w:ascii="宋体" w:hAnsi="宋体" w:cs="宋体"/>
          <w:bCs/>
          <w:color w:val="000000"/>
          <w:sz w:val="24"/>
          <w:szCs w:val="24"/>
          <w:highlight w:val="none"/>
        </w:rPr>
      </w:pPr>
    </w:p>
    <w:p w14:paraId="6F84184C">
      <w:pPr>
        <w:spacing w:line="360" w:lineRule="auto"/>
        <w:ind w:firstLine="210"/>
        <w:jc w:val="center"/>
        <w:rPr>
          <w:rFonts w:hint="eastAsia" w:ascii="宋体" w:hAnsi="宋体" w:cs="宋体"/>
          <w:bCs/>
          <w:color w:val="000000"/>
          <w:sz w:val="24"/>
          <w:szCs w:val="24"/>
          <w:highlight w:val="none"/>
        </w:rPr>
      </w:pPr>
    </w:p>
    <w:p w14:paraId="64F8D4B1">
      <w:pPr>
        <w:spacing w:line="360" w:lineRule="auto"/>
        <w:ind w:firstLine="210"/>
        <w:jc w:val="center"/>
        <w:rPr>
          <w:rFonts w:hint="eastAsia" w:ascii="宋体" w:hAnsi="宋体" w:cs="宋体"/>
          <w:bCs/>
          <w:color w:val="000000"/>
          <w:sz w:val="24"/>
          <w:szCs w:val="24"/>
          <w:highlight w:val="none"/>
        </w:rPr>
      </w:pPr>
    </w:p>
    <w:p w14:paraId="026D9203">
      <w:pPr>
        <w:spacing w:line="360" w:lineRule="auto"/>
        <w:ind w:firstLine="210"/>
        <w:jc w:val="center"/>
        <w:rPr>
          <w:rFonts w:hint="eastAsia" w:ascii="宋体" w:hAnsi="宋体" w:cs="宋体"/>
          <w:bCs/>
          <w:color w:val="000000"/>
          <w:sz w:val="24"/>
          <w:szCs w:val="24"/>
          <w:highlight w:val="none"/>
        </w:rPr>
      </w:pPr>
    </w:p>
    <w:p w14:paraId="775E5A72">
      <w:pPr>
        <w:spacing w:line="360" w:lineRule="auto"/>
        <w:ind w:firstLine="210"/>
        <w:jc w:val="center"/>
        <w:rPr>
          <w:rFonts w:hint="eastAsia" w:ascii="宋体" w:hAnsi="宋体" w:cs="宋体"/>
          <w:bCs/>
          <w:color w:val="000000"/>
          <w:sz w:val="24"/>
          <w:szCs w:val="24"/>
          <w:highlight w:val="none"/>
        </w:rPr>
      </w:pPr>
    </w:p>
    <w:p w14:paraId="752DED91">
      <w:pPr>
        <w:pStyle w:val="9"/>
        <w:ind w:firstLine="480"/>
        <w:rPr>
          <w:rFonts w:hint="eastAsia" w:ascii="宋体" w:hAnsi="宋体" w:cs="宋体"/>
          <w:bCs/>
          <w:color w:val="000000"/>
          <w:sz w:val="24"/>
          <w:szCs w:val="24"/>
          <w:highlight w:val="none"/>
        </w:rPr>
      </w:pPr>
    </w:p>
    <w:p w14:paraId="41914D1E">
      <w:pPr>
        <w:pStyle w:val="9"/>
        <w:ind w:firstLine="480"/>
        <w:rPr>
          <w:rFonts w:hint="eastAsia" w:ascii="宋体" w:hAnsi="宋体" w:cs="宋体"/>
          <w:bCs/>
          <w:color w:val="000000"/>
          <w:sz w:val="24"/>
          <w:szCs w:val="24"/>
          <w:highlight w:val="none"/>
        </w:rPr>
      </w:pPr>
    </w:p>
    <w:p w14:paraId="23D91A5A">
      <w:pPr>
        <w:pStyle w:val="9"/>
        <w:ind w:firstLine="480"/>
        <w:rPr>
          <w:rFonts w:hint="eastAsia" w:ascii="宋体" w:hAnsi="宋体" w:cs="宋体"/>
          <w:bCs/>
          <w:color w:val="000000"/>
          <w:sz w:val="24"/>
          <w:szCs w:val="24"/>
          <w:highlight w:val="none"/>
        </w:rPr>
      </w:pPr>
    </w:p>
    <w:p w14:paraId="08380D3C">
      <w:pPr>
        <w:pStyle w:val="9"/>
        <w:ind w:firstLine="480"/>
        <w:rPr>
          <w:rFonts w:hint="eastAsia" w:ascii="宋体" w:hAnsi="宋体" w:cs="宋体"/>
          <w:bCs/>
          <w:color w:val="000000"/>
          <w:sz w:val="24"/>
          <w:szCs w:val="24"/>
          <w:highlight w:val="none"/>
        </w:rPr>
      </w:pPr>
    </w:p>
    <w:p w14:paraId="2ED7292E">
      <w:pPr>
        <w:pStyle w:val="9"/>
        <w:ind w:firstLine="480"/>
        <w:rPr>
          <w:rFonts w:hint="eastAsia" w:ascii="宋体" w:hAnsi="宋体" w:cs="宋体"/>
          <w:bCs/>
          <w:color w:val="000000"/>
          <w:sz w:val="24"/>
          <w:szCs w:val="24"/>
          <w:highlight w:val="none"/>
        </w:rPr>
      </w:pPr>
    </w:p>
    <w:p w14:paraId="1F6915CB">
      <w:pPr>
        <w:pStyle w:val="9"/>
        <w:ind w:firstLine="480"/>
        <w:rPr>
          <w:rFonts w:hint="eastAsia" w:ascii="宋体" w:hAnsi="宋体" w:cs="宋体"/>
          <w:bCs/>
          <w:color w:val="000000"/>
          <w:sz w:val="24"/>
          <w:szCs w:val="24"/>
          <w:highlight w:val="none"/>
        </w:rPr>
      </w:pPr>
    </w:p>
    <w:p w14:paraId="09229D32">
      <w:pPr>
        <w:pStyle w:val="9"/>
        <w:ind w:firstLine="480"/>
        <w:rPr>
          <w:rFonts w:hint="eastAsia" w:ascii="宋体" w:hAnsi="宋体" w:cs="宋体"/>
          <w:bCs/>
          <w:color w:val="000000"/>
          <w:sz w:val="24"/>
          <w:szCs w:val="24"/>
          <w:highlight w:val="none"/>
        </w:rPr>
      </w:pPr>
    </w:p>
    <w:p w14:paraId="36A5E31E">
      <w:pPr>
        <w:pStyle w:val="9"/>
        <w:ind w:firstLine="480"/>
        <w:rPr>
          <w:rFonts w:hint="eastAsia" w:ascii="宋体" w:hAnsi="宋体" w:cs="宋体"/>
          <w:bCs/>
          <w:color w:val="000000"/>
          <w:sz w:val="24"/>
          <w:szCs w:val="24"/>
          <w:highlight w:val="none"/>
        </w:rPr>
      </w:pPr>
    </w:p>
    <w:p w14:paraId="065A4E28">
      <w:pPr>
        <w:pStyle w:val="9"/>
        <w:ind w:firstLine="480"/>
        <w:rPr>
          <w:rFonts w:hint="eastAsia" w:ascii="宋体" w:hAnsi="宋体" w:cs="宋体"/>
          <w:bCs/>
          <w:color w:val="000000"/>
          <w:sz w:val="24"/>
          <w:szCs w:val="24"/>
          <w:highlight w:val="none"/>
        </w:rPr>
      </w:pPr>
    </w:p>
    <w:p w14:paraId="3B660C20">
      <w:pPr>
        <w:pStyle w:val="9"/>
        <w:ind w:firstLine="480"/>
        <w:rPr>
          <w:rFonts w:hint="eastAsia" w:ascii="宋体" w:hAnsi="宋体" w:cs="宋体"/>
          <w:bCs/>
          <w:color w:val="000000"/>
          <w:sz w:val="24"/>
          <w:szCs w:val="24"/>
          <w:highlight w:val="none"/>
        </w:rPr>
      </w:pPr>
    </w:p>
    <w:p w14:paraId="78EF31DE">
      <w:pPr>
        <w:pStyle w:val="9"/>
        <w:ind w:firstLine="480"/>
        <w:rPr>
          <w:rFonts w:hint="eastAsia" w:ascii="宋体" w:hAnsi="宋体" w:cs="宋体"/>
          <w:bCs/>
          <w:color w:val="000000"/>
          <w:sz w:val="24"/>
          <w:szCs w:val="24"/>
          <w:highlight w:val="none"/>
        </w:rPr>
      </w:pPr>
    </w:p>
    <w:p w14:paraId="7C93541A">
      <w:pPr>
        <w:pStyle w:val="9"/>
        <w:ind w:firstLine="480"/>
        <w:rPr>
          <w:rFonts w:hint="eastAsia" w:ascii="宋体" w:hAnsi="宋体" w:cs="宋体"/>
          <w:bCs/>
          <w:color w:val="000000"/>
          <w:sz w:val="24"/>
          <w:szCs w:val="24"/>
          <w:highlight w:val="none"/>
        </w:rPr>
      </w:pPr>
    </w:p>
    <w:p w14:paraId="293FAE73">
      <w:pPr>
        <w:pStyle w:val="9"/>
        <w:ind w:firstLine="480"/>
        <w:rPr>
          <w:rFonts w:hint="eastAsia" w:ascii="宋体" w:hAnsi="宋体" w:cs="宋体"/>
          <w:bCs/>
          <w:color w:val="000000"/>
          <w:sz w:val="24"/>
          <w:szCs w:val="24"/>
          <w:highlight w:val="none"/>
        </w:rPr>
      </w:pPr>
    </w:p>
    <w:p w14:paraId="7FA9DBDB">
      <w:pPr>
        <w:pStyle w:val="9"/>
        <w:ind w:firstLine="480"/>
        <w:rPr>
          <w:rFonts w:hint="eastAsia" w:ascii="宋体" w:hAnsi="宋体" w:cs="宋体"/>
          <w:bCs/>
          <w:color w:val="000000"/>
          <w:sz w:val="24"/>
          <w:szCs w:val="24"/>
          <w:highlight w:val="none"/>
        </w:rPr>
      </w:pPr>
    </w:p>
    <w:p w14:paraId="78AC6E60">
      <w:pPr>
        <w:pStyle w:val="9"/>
        <w:ind w:firstLine="480"/>
        <w:rPr>
          <w:rFonts w:hint="eastAsia" w:ascii="宋体" w:hAnsi="宋体" w:cs="宋体"/>
          <w:bCs/>
          <w:color w:val="000000"/>
          <w:sz w:val="24"/>
          <w:szCs w:val="24"/>
          <w:highlight w:val="none"/>
        </w:rPr>
      </w:pPr>
    </w:p>
    <w:p w14:paraId="7EF78122">
      <w:pPr>
        <w:pStyle w:val="9"/>
        <w:ind w:firstLine="480"/>
        <w:rPr>
          <w:rFonts w:hint="eastAsia" w:ascii="宋体" w:hAnsi="宋体" w:cs="宋体"/>
          <w:bCs/>
          <w:color w:val="000000"/>
          <w:sz w:val="24"/>
          <w:szCs w:val="24"/>
          <w:highlight w:val="none"/>
        </w:rPr>
      </w:pPr>
    </w:p>
    <w:p w14:paraId="2276785D">
      <w:pPr>
        <w:pStyle w:val="9"/>
        <w:ind w:firstLine="480"/>
        <w:rPr>
          <w:rFonts w:hint="eastAsia" w:ascii="宋体" w:hAnsi="宋体" w:cs="宋体"/>
          <w:bCs/>
          <w:color w:val="000000"/>
          <w:sz w:val="24"/>
          <w:szCs w:val="24"/>
          <w:highlight w:val="none"/>
        </w:rPr>
      </w:pPr>
    </w:p>
    <w:p w14:paraId="4EFD58DC">
      <w:pPr>
        <w:pStyle w:val="9"/>
        <w:ind w:firstLine="480"/>
        <w:rPr>
          <w:rFonts w:hint="eastAsia" w:ascii="宋体" w:hAnsi="宋体" w:cs="宋体"/>
          <w:bCs/>
          <w:color w:val="000000"/>
          <w:sz w:val="24"/>
          <w:szCs w:val="24"/>
          <w:highlight w:val="none"/>
        </w:rPr>
      </w:pPr>
    </w:p>
    <w:p w14:paraId="6B1CF24D">
      <w:pPr>
        <w:pStyle w:val="9"/>
        <w:ind w:firstLine="480"/>
        <w:rPr>
          <w:rFonts w:hint="eastAsia" w:ascii="宋体" w:hAnsi="宋体" w:cs="宋体"/>
          <w:bCs/>
          <w:color w:val="000000"/>
          <w:sz w:val="24"/>
          <w:szCs w:val="24"/>
          <w:highlight w:val="none"/>
        </w:rPr>
      </w:pPr>
    </w:p>
    <w:p w14:paraId="1C309F05">
      <w:pPr>
        <w:pStyle w:val="9"/>
        <w:ind w:firstLine="480"/>
        <w:rPr>
          <w:rFonts w:hint="eastAsia" w:ascii="宋体" w:hAnsi="宋体" w:cs="宋体"/>
          <w:bCs/>
          <w:color w:val="000000"/>
          <w:sz w:val="24"/>
          <w:szCs w:val="24"/>
          <w:highlight w:val="none"/>
        </w:rPr>
      </w:pPr>
    </w:p>
    <w:p w14:paraId="31260B5D">
      <w:pPr>
        <w:pStyle w:val="9"/>
        <w:ind w:firstLine="480"/>
        <w:rPr>
          <w:rFonts w:hint="eastAsia" w:ascii="宋体" w:hAnsi="宋体" w:cs="宋体"/>
          <w:bCs/>
          <w:color w:val="000000"/>
          <w:sz w:val="24"/>
          <w:szCs w:val="24"/>
          <w:highlight w:val="none"/>
        </w:rPr>
      </w:pPr>
    </w:p>
    <w:p w14:paraId="369A98F8">
      <w:pPr>
        <w:pStyle w:val="9"/>
        <w:ind w:firstLine="480"/>
        <w:rPr>
          <w:rFonts w:hint="eastAsia" w:ascii="宋体" w:hAnsi="宋体" w:cs="宋体"/>
          <w:bCs/>
          <w:color w:val="000000"/>
          <w:sz w:val="24"/>
          <w:szCs w:val="24"/>
          <w:highlight w:val="none"/>
        </w:rPr>
      </w:pPr>
    </w:p>
    <w:p w14:paraId="00DD3A42">
      <w:pPr>
        <w:pStyle w:val="9"/>
        <w:ind w:firstLine="480"/>
        <w:rPr>
          <w:rFonts w:hint="eastAsia" w:ascii="宋体" w:hAnsi="宋体" w:cs="宋体"/>
          <w:bCs/>
          <w:color w:val="000000"/>
          <w:sz w:val="24"/>
          <w:szCs w:val="24"/>
          <w:highlight w:val="none"/>
        </w:rPr>
      </w:pPr>
    </w:p>
    <w:p w14:paraId="08CFBFC1">
      <w:pPr>
        <w:pStyle w:val="9"/>
        <w:ind w:firstLine="480"/>
        <w:rPr>
          <w:rFonts w:hint="eastAsia" w:ascii="宋体" w:hAnsi="宋体" w:cs="宋体"/>
          <w:bCs/>
          <w:color w:val="000000"/>
          <w:sz w:val="24"/>
          <w:szCs w:val="24"/>
          <w:highlight w:val="none"/>
        </w:rPr>
      </w:pPr>
    </w:p>
    <w:p w14:paraId="0E3168B4">
      <w:pPr>
        <w:pStyle w:val="9"/>
        <w:ind w:firstLine="480"/>
        <w:rPr>
          <w:rFonts w:hint="eastAsia" w:ascii="宋体" w:hAnsi="宋体" w:cs="宋体"/>
          <w:bCs/>
          <w:color w:val="000000"/>
          <w:sz w:val="24"/>
          <w:szCs w:val="24"/>
          <w:highlight w:val="none"/>
        </w:rPr>
      </w:pPr>
    </w:p>
    <w:p w14:paraId="11A14CCA">
      <w:pPr>
        <w:pStyle w:val="9"/>
        <w:ind w:firstLine="480"/>
        <w:rPr>
          <w:rFonts w:hint="eastAsia" w:ascii="宋体" w:hAnsi="宋体" w:cs="宋体"/>
          <w:bCs/>
          <w:color w:val="000000"/>
          <w:sz w:val="24"/>
          <w:szCs w:val="24"/>
          <w:highlight w:val="none"/>
        </w:rPr>
      </w:pPr>
    </w:p>
    <w:p w14:paraId="1E3F6706">
      <w:pPr>
        <w:pStyle w:val="9"/>
        <w:ind w:firstLine="480"/>
        <w:rPr>
          <w:rFonts w:hint="eastAsia" w:ascii="宋体" w:hAnsi="宋体" w:cs="宋体"/>
          <w:bCs/>
          <w:color w:val="000000"/>
          <w:sz w:val="24"/>
          <w:szCs w:val="24"/>
          <w:highlight w:val="none"/>
        </w:rPr>
      </w:pPr>
    </w:p>
    <w:p w14:paraId="69506180">
      <w:pPr>
        <w:adjustRightInd w:val="0"/>
        <w:snapToGrid w:val="0"/>
        <w:spacing w:line="360" w:lineRule="auto"/>
        <w:jc w:val="left"/>
        <w:rPr>
          <w:rFonts w:hint="eastAsia" w:ascii="宋体" w:hAnsi="宋体"/>
          <w:b/>
          <w:bCs/>
          <w:color w:val="000000"/>
          <w:sz w:val="24"/>
          <w:szCs w:val="24"/>
          <w:highlight w:val="none"/>
        </w:rPr>
      </w:pPr>
    </w:p>
    <w:p w14:paraId="524B6282">
      <w:pPr>
        <w:adjustRightInd w:val="0"/>
        <w:snapToGrid w:val="0"/>
        <w:spacing w:line="360" w:lineRule="auto"/>
        <w:jc w:val="left"/>
        <w:rPr>
          <w:rFonts w:ascii="宋体" w:hAnsi="宋体" w:cs="宋体"/>
          <w:color w:val="000000"/>
          <w:spacing w:val="4"/>
          <w:sz w:val="24"/>
          <w:szCs w:val="24"/>
          <w:highlight w:val="none"/>
          <w:u w:val="single"/>
        </w:rPr>
      </w:pPr>
      <w:r>
        <w:rPr>
          <w:rFonts w:hint="eastAsia" w:ascii="宋体" w:hAnsi="宋体"/>
          <w:b/>
          <w:bCs/>
          <w:color w:val="000000"/>
          <w:sz w:val="24"/>
          <w:szCs w:val="24"/>
          <w:highlight w:val="none"/>
        </w:rPr>
        <w:br w:type="page"/>
      </w:r>
      <w:r>
        <w:rPr>
          <w:rFonts w:hint="eastAsia" w:ascii="宋体" w:hAnsi="宋体"/>
          <w:b/>
          <w:bCs/>
          <w:color w:val="000000"/>
          <w:sz w:val="24"/>
          <w:szCs w:val="24"/>
          <w:highlight w:val="none"/>
        </w:rPr>
        <w:t xml:space="preserve">附件7.1：承诺书                 </w:t>
      </w:r>
    </w:p>
    <w:p w14:paraId="3D97341F">
      <w:pPr>
        <w:adjustRightInd w:val="0"/>
        <w:snapToGrid w:val="0"/>
        <w:spacing w:line="360" w:lineRule="auto"/>
        <w:rPr>
          <w:rFonts w:hint="eastAsia" w:ascii="宋体" w:hAnsi="宋体" w:cs="宋体"/>
          <w:color w:val="000000"/>
          <w:spacing w:val="4"/>
          <w:sz w:val="24"/>
          <w:szCs w:val="24"/>
          <w:highlight w:val="none"/>
          <w:u w:val="single"/>
        </w:rPr>
      </w:pPr>
      <w:r>
        <w:rPr>
          <w:rFonts w:hint="eastAsia" w:ascii="宋体" w:hAnsi="宋体" w:cs="宋体"/>
          <w:color w:val="000000"/>
          <w:spacing w:val="4"/>
          <w:sz w:val="24"/>
          <w:szCs w:val="24"/>
          <w:highlight w:val="none"/>
        </w:rPr>
        <w:t>致：</w:t>
      </w:r>
      <w:r>
        <w:rPr>
          <w:rFonts w:hint="eastAsia" w:ascii="宋体" w:hAnsi="宋体" w:cs="宋体"/>
          <w:color w:val="000000"/>
          <w:spacing w:val="4"/>
          <w:sz w:val="24"/>
          <w:szCs w:val="24"/>
          <w:highlight w:val="none"/>
          <w:u w:val="single"/>
        </w:rPr>
        <w:t xml:space="preserve">   （采购人名称）  </w:t>
      </w:r>
      <w:r>
        <w:rPr>
          <w:rFonts w:hint="eastAsia" w:ascii="宋体" w:hAnsi="宋体" w:cs="宋体"/>
          <w:color w:val="000000"/>
          <w:spacing w:val="4"/>
          <w:sz w:val="24"/>
          <w:szCs w:val="24"/>
          <w:highlight w:val="none"/>
        </w:rPr>
        <w:t xml:space="preserve"> </w:t>
      </w:r>
    </w:p>
    <w:p w14:paraId="39D90407">
      <w:pPr>
        <w:adjustRightInd w:val="0"/>
        <w:snapToGrid w:val="0"/>
        <w:spacing w:line="560" w:lineRule="exact"/>
        <w:ind w:firstLine="480" w:firstLineChars="20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我公司</w:t>
      </w:r>
      <w:r>
        <w:rPr>
          <w:rFonts w:hint="eastAsia" w:ascii="宋体" w:hAnsi="宋体" w:cs="宋体"/>
          <w:bCs/>
          <w:color w:val="000000"/>
          <w:sz w:val="24"/>
          <w:szCs w:val="24"/>
          <w:highlight w:val="none"/>
          <w:u w:val="single"/>
        </w:rPr>
        <w:t xml:space="preserve">     （公司名称）      </w:t>
      </w:r>
      <w:r>
        <w:rPr>
          <w:rFonts w:hint="eastAsia" w:ascii="宋体" w:hAnsi="宋体" w:cs="宋体"/>
          <w:bCs/>
          <w:color w:val="000000"/>
          <w:sz w:val="24"/>
          <w:szCs w:val="24"/>
          <w:highlight w:val="none"/>
        </w:rPr>
        <w:t>为在中华人民共和国境内合法注册并经营的机构。在此郑重承诺：</w:t>
      </w:r>
    </w:p>
    <w:p w14:paraId="7BB11116">
      <w:pPr>
        <w:snapToGrid w:val="0"/>
        <w:spacing w:line="560" w:lineRule="exact"/>
        <w:ind w:left="479" w:leftChars="228"/>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1.我公司完全符合《中华人民共和国政府采购法》第二十二条的规定：</w:t>
      </w:r>
    </w:p>
    <w:p w14:paraId="40D395A6">
      <w:pPr>
        <w:snapToGrid w:val="0"/>
        <w:spacing w:line="560" w:lineRule="exact"/>
        <w:ind w:left="479" w:leftChars="228"/>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（1）具有独立承担民事责任的能力；</w:t>
      </w:r>
    </w:p>
    <w:p w14:paraId="21D576DC">
      <w:pPr>
        <w:snapToGrid w:val="0"/>
        <w:spacing w:line="560" w:lineRule="exact"/>
        <w:ind w:firstLine="480" w:firstLineChars="20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（2）具有良好的商业信誉和健全的财务会计制度；</w:t>
      </w:r>
    </w:p>
    <w:p w14:paraId="6C3A19D3">
      <w:pPr>
        <w:snapToGrid w:val="0"/>
        <w:spacing w:line="560" w:lineRule="exact"/>
        <w:ind w:firstLine="480" w:firstLineChars="20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（3）具有履行合同所必需的设备和专业技术能力；</w:t>
      </w:r>
    </w:p>
    <w:p w14:paraId="37DF5B27">
      <w:pPr>
        <w:snapToGrid w:val="0"/>
        <w:spacing w:line="560" w:lineRule="exact"/>
        <w:ind w:firstLine="480" w:firstLineChars="20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（4）有依法缴纳税收和社会保障资金的良好记录；</w:t>
      </w:r>
    </w:p>
    <w:p w14:paraId="631D2B44">
      <w:pPr>
        <w:snapToGrid w:val="0"/>
        <w:spacing w:line="560" w:lineRule="exact"/>
        <w:ind w:firstLine="480" w:firstLineChars="20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（5）参加政府采购活动前三年内，在经营活动中没有重大违法记录；</w:t>
      </w:r>
    </w:p>
    <w:p w14:paraId="6FE74CEC">
      <w:pPr>
        <w:snapToGrid w:val="0"/>
        <w:spacing w:line="560" w:lineRule="exact"/>
        <w:ind w:left="479" w:leftChars="228"/>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（6）法律、行政法规规定的其他条件；</w:t>
      </w:r>
    </w:p>
    <w:p w14:paraId="4CBE5F12">
      <w:pPr>
        <w:snapToGrid w:val="0"/>
        <w:spacing w:line="560" w:lineRule="exact"/>
        <w:ind w:firstLine="480" w:firstLineChars="20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2.我公司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w:t>
      </w:r>
    </w:p>
    <w:p w14:paraId="7BD4A6F9">
      <w:pPr>
        <w:snapToGrid w:val="0"/>
        <w:spacing w:line="560" w:lineRule="exact"/>
        <w:ind w:firstLine="480" w:firstLineChars="200"/>
        <w:rPr>
          <w:rFonts w:ascii="宋体" w:hAnsi="宋体" w:cs="宋体"/>
          <w:bCs/>
          <w:color w:val="000000"/>
          <w:sz w:val="24"/>
          <w:szCs w:val="24"/>
          <w:highlight w:val="none"/>
        </w:rPr>
      </w:pPr>
      <w:r>
        <w:rPr>
          <w:rFonts w:hint="eastAsia" w:ascii="宋体" w:hAnsi="宋体" w:cs="宋体"/>
          <w:bCs/>
          <w:color w:val="000000"/>
          <w:sz w:val="24"/>
          <w:szCs w:val="24"/>
          <w:highlight w:val="none"/>
        </w:rPr>
        <w:t>3.我公司不存在</w:t>
      </w:r>
      <w:r>
        <w:rPr>
          <w:rFonts w:hint="eastAsia" w:ascii="宋体" w:hAnsi="宋体" w:cs="宋体"/>
          <w:color w:val="000000"/>
          <w:sz w:val="24"/>
          <w:szCs w:val="24"/>
          <w:highlight w:val="none"/>
          <w:shd w:val="clear" w:color="auto" w:fill="FFFFFF"/>
        </w:rPr>
        <w:t>单位负责人为同一人或者存在直接控股、管理关系的不同供应商，不得参加同一合同项下的磋商活动的情形。</w:t>
      </w:r>
    </w:p>
    <w:p w14:paraId="0E993FAC">
      <w:pPr>
        <w:snapToGrid w:val="0"/>
        <w:spacing w:line="560" w:lineRule="exact"/>
        <w:ind w:firstLine="480" w:firstLineChars="200"/>
        <w:rPr>
          <w:rFonts w:hint="eastAsia" w:ascii="宋体" w:hAnsi="宋体" w:cs="宋体"/>
          <w:bCs/>
          <w:color w:val="000000"/>
          <w:sz w:val="24"/>
          <w:szCs w:val="24"/>
          <w:highlight w:val="none"/>
        </w:rPr>
      </w:pPr>
      <w:r>
        <w:rPr>
          <w:rFonts w:hint="eastAsia" w:ascii="宋体" w:hAnsi="宋体"/>
          <w:bCs/>
          <w:sz w:val="24"/>
          <w:highlight w:val="none"/>
          <w:lang w:val="zh-CN"/>
        </w:rPr>
        <w:t>我公司承诺，</w:t>
      </w:r>
      <w:r>
        <w:rPr>
          <w:rFonts w:hint="eastAsia" w:ascii="宋体" w:hAnsi="宋体" w:cs="宋体"/>
          <w:bCs/>
          <w:color w:val="000000"/>
          <w:sz w:val="24"/>
          <w:szCs w:val="24"/>
          <w:highlight w:val="none"/>
        </w:rPr>
        <w:t>如上述内容有隐瞒或未能提供真实信息的，我公司将承担一切不利后果。</w:t>
      </w:r>
    </w:p>
    <w:p w14:paraId="5CFFD65E">
      <w:pPr>
        <w:adjustRightInd w:val="0"/>
        <w:snapToGrid w:val="0"/>
        <w:spacing w:line="360" w:lineRule="auto"/>
        <w:ind w:firstLine="4440" w:firstLineChars="1850"/>
        <w:jc w:val="right"/>
        <w:rPr>
          <w:rFonts w:hint="eastAsia" w:ascii="宋体" w:hAnsi="宋体"/>
          <w:color w:val="000000"/>
          <w:sz w:val="24"/>
          <w:szCs w:val="24"/>
          <w:highlight w:val="none"/>
        </w:rPr>
      </w:pPr>
    </w:p>
    <w:p w14:paraId="48E1A593">
      <w:pPr>
        <w:adjustRightInd w:val="0"/>
        <w:snapToGrid w:val="0"/>
        <w:spacing w:line="360" w:lineRule="auto"/>
        <w:ind w:firstLine="4440" w:firstLineChars="1850"/>
        <w:jc w:val="right"/>
        <w:rPr>
          <w:rFonts w:hint="eastAsia" w:ascii="宋体" w:hAnsi="宋体"/>
          <w:color w:val="000000"/>
          <w:sz w:val="24"/>
          <w:szCs w:val="24"/>
          <w:highlight w:val="none"/>
        </w:rPr>
      </w:pPr>
    </w:p>
    <w:p w14:paraId="3A984E4F">
      <w:pPr>
        <w:adjustRightInd w:val="0"/>
        <w:snapToGrid w:val="0"/>
        <w:spacing w:line="360" w:lineRule="auto"/>
        <w:ind w:firstLine="4440" w:firstLineChars="1850"/>
        <w:jc w:val="right"/>
        <w:rPr>
          <w:rFonts w:hint="eastAsia" w:ascii="宋体" w:hAnsi="宋体"/>
          <w:color w:val="000000"/>
          <w:sz w:val="24"/>
          <w:szCs w:val="24"/>
          <w:highlight w:val="none"/>
        </w:rPr>
      </w:pPr>
      <w:r>
        <w:rPr>
          <w:rFonts w:hint="eastAsia" w:ascii="宋体" w:hAnsi="宋体"/>
          <w:color w:val="000000"/>
          <w:sz w:val="24"/>
          <w:szCs w:val="24"/>
          <w:highlight w:val="none"/>
        </w:rPr>
        <w:t>供应商：</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（盖章）</w:t>
      </w:r>
    </w:p>
    <w:p w14:paraId="40E2AB61">
      <w:pPr>
        <w:adjustRightInd w:val="0"/>
        <w:snapToGrid w:val="0"/>
        <w:spacing w:line="360" w:lineRule="auto"/>
        <w:ind w:firstLine="3120" w:firstLineChars="1300"/>
        <w:rPr>
          <w:rFonts w:hint="eastAsia" w:ascii="宋体" w:hAnsi="宋体"/>
          <w:color w:val="000000"/>
          <w:sz w:val="24"/>
          <w:szCs w:val="24"/>
          <w:highlight w:val="none"/>
        </w:rPr>
      </w:pPr>
      <w:r>
        <w:rPr>
          <w:rFonts w:hint="eastAsia" w:ascii="宋体" w:hAnsi="宋体"/>
          <w:bCs/>
          <w:color w:val="000000"/>
          <w:sz w:val="24"/>
          <w:highlight w:val="none"/>
        </w:rPr>
        <w:t>法定代表人或被授权人</w:t>
      </w:r>
      <w:r>
        <w:rPr>
          <w:rFonts w:hint="eastAsia" w:ascii="宋体" w:hAnsi="宋体"/>
          <w:color w:val="000000"/>
          <w:sz w:val="24"/>
          <w:szCs w:val="24"/>
          <w:highlight w:val="none"/>
        </w:rPr>
        <w:t>：</w:t>
      </w:r>
      <w:r>
        <w:rPr>
          <w:rFonts w:hint="eastAsia" w:ascii="宋体" w:hAnsi="宋体"/>
          <w:color w:val="000000"/>
          <w:sz w:val="24"/>
          <w:szCs w:val="24"/>
          <w:highlight w:val="none"/>
          <w:u w:val="single"/>
        </w:rPr>
        <w:t xml:space="preserve">         </w:t>
      </w:r>
      <w:r>
        <w:rPr>
          <w:rFonts w:hint="eastAsia" w:ascii="宋体" w:hAnsi="宋体" w:cs="宋体"/>
          <w:bCs/>
          <w:color w:val="000000"/>
          <w:sz w:val="24"/>
          <w:highlight w:val="none"/>
        </w:rPr>
        <w:t>（签字或盖章）</w:t>
      </w:r>
    </w:p>
    <w:p w14:paraId="3A1A0AA5">
      <w:pPr>
        <w:adjustRightInd w:val="0"/>
        <w:snapToGrid w:val="0"/>
        <w:spacing w:line="360" w:lineRule="auto"/>
        <w:jc w:val="righ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日</w:t>
      </w:r>
    </w:p>
    <w:p w14:paraId="7F8EB85B">
      <w:pPr>
        <w:adjustRightInd w:val="0"/>
        <w:snapToGrid w:val="0"/>
        <w:spacing w:line="360" w:lineRule="auto"/>
        <w:jc w:val="right"/>
        <w:rPr>
          <w:rFonts w:hint="eastAsia" w:ascii="宋体" w:hAnsi="宋体"/>
          <w:color w:val="000000"/>
          <w:sz w:val="24"/>
          <w:szCs w:val="24"/>
          <w:highlight w:val="none"/>
        </w:rPr>
      </w:pPr>
    </w:p>
    <w:p w14:paraId="311B0811">
      <w:pPr>
        <w:pStyle w:val="82"/>
        <w:adjustRightInd w:val="0"/>
        <w:snapToGrid w:val="0"/>
        <w:spacing w:line="360" w:lineRule="auto"/>
        <w:rPr>
          <w:rFonts w:hint="eastAsia" w:ascii="宋体" w:hAnsi="宋体" w:cs="宋体"/>
          <w:color w:val="000000"/>
          <w:sz w:val="24"/>
          <w:szCs w:val="24"/>
          <w:highlight w:val="none"/>
        </w:rPr>
        <w:sectPr>
          <w:headerReference r:id="rId15" w:type="default"/>
          <w:footerReference r:id="rId16"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b/>
          <w:bCs/>
          <w:sz w:val="24"/>
          <w:szCs w:val="24"/>
          <w:highlight w:val="none"/>
        </w:rPr>
        <w:br w:type="page"/>
      </w:r>
    </w:p>
    <w:p w14:paraId="7E2EA49F">
      <w:pPr>
        <w:adjustRightInd w:val="0"/>
        <w:snapToGrid w:val="0"/>
        <w:spacing w:line="360" w:lineRule="auto"/>
        <w:jc w:val="lef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附件7.2：中小企业声明函</w:t>
      </w:r>
    </w:p>
    <w:p w14:paraId="38498239">
      <w:pPr>
        <w:jc w:val="left"/>
        <w:rPr>
          <w:rFonts w:hint="default" w:ascii="宋体" w:hAnsi="宋体"/>
          <w:b/>
          <w:bCs/>
          <w:sz w:val="24"/>
          <w:szCs w:val="24"/>
          <w:highlight w:val="none"/>
          <w:lang w:val="en-US" w:eastAsia="zh-CN"/>
        </w:rPr>
      </w:pPr>
    </w:p>
    <w:p w14:paraId="140B702A">
      <w:pPr>
        <w:pStyle w:val="82"/>
        <w:adjustRightInd w:val="0"/>
        <w:snapToGrid w:val="0"/>
        <w:spacing w:line="360" w:lineRule="auto"/>
        <w:ind w:firstLine="643" w:firstLineChars="200"/>
        <w:jc w:val="center"/>
        <w:rPr>
          <w:rFonts w:ascii="宋体" w:hAnsi="宋体" w:cs="宋体"/>
          <w:b/>
          <w:bCs/>
          <w:color w:val="000000"/>
          <w:sz w:val="32"/>
          <w:szCs w:val="32"/>
          <w:highlight w:val="none"/>
        </w:rPr>
      </w:pPr>
      <w:r>
        <w:rPr>
          <w:rFonts w:ascii="宋体" w:hAnsi="宋体" w:cs="宋体"/>
          <w:b/>
          <w:bCs/>
          <w:color w:val="000000"/>
          <w:sz w:val="32"/>
          <w:szCs w:val="32"/>
          <w:highlight w:val="none"/>
        </w:rPr>
        <w:t>中小企业声明函</w:t>
      </w:r>
    </w:p>
    <w:p w14:paraId="4E804FD4">
      <w:pPr>
        <w:pStyle w:val="82"/>
        <w:adjustRightInd w:val="0"/>
        <w:snapToGrid w:val="0"/>
        <w:spacing w:line="360" w:lineRule="auto"/>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本公司（联合体）郑重声明，根据《政府采购促进中小企业发展管理办法》（财库﹝2020﹞46 号）的规定，本公司（联合体）参加</w:t>
      </w:r>
      <w:r>
        <w:rPr>
          <w:rFonts w:ascii="宋体" w:hAnsi="宋体" w:cs="宋体"/>
          <w:color w:val="000000"/>
          <w:sz w:val="24"/>
          <w:szCs w:val="24"/>
          <w:highlight w:val="none"/>
          <w:u w:val="single"/>
        </w:rPr>
        <w:t>（单位名称）</w:t>
      </w:r>
      <w:r>
        <w:rPr>
          <w:rFonts w:ascii="宋体" w:hAnsi="宋体" w:cs="宋体"/>
          <w:color w:val="000000"/>
          <w:sz w:val="24"/>
          <w:szCs w:val="24"/>
          <w:highlight w:val="none"/>
        </w:rPr>
        <w:t>的</w:t>
      </w:r>
      <w:r>
        <w:rPr>
          <w:rFonts w:ascii="宋体" w:hAnsi="宋体" w:cs="宋体"/>
          <w:color w:val="000000"/>
          <w:sz w:val="24"/>
          <w:szCs w:val="24"/>
          <w:highlight w:val="none"/>
          <w:u w:val="single"/>
        </w:rPr>
        <w:t>（项目名称）</w:t>
      </w:r>
      <w:r>
        <w:rPr>
          <w:rFonts w:ascii="宋体" w:hAnsi="宋体" w:cs="宋体"/>
          <w:color w:val="000000"/>
          <w:sz w:val="24"/>
          <w:szCs w:val="24"/>
          <w:highlight w:val="none"/>
        </w:rPr>
        <w:t>采购活动，服务全部由符合政策要求的中小企业承接。相关企业（含联合体中的中小企业、签订分包意向协议的中小企业）的具体情况如下：</w:t>
      </w:r>
    </w:p>
    <w:p w14:paraId="76DA185A">
      <w:pPr>
        <w:pStyle w:val="82"/>
        <w:adjustRightInd w:val="0"/>
        <w:snapToGrid w:val="0"/>
        <w:spacing w:line="360" w:lineRule="auto"/>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1.</w:t>
      </w:r>
      <w:r>
        <w:rPr>
          <w:rFonts w:ascii="宋体" w:hAnsi="宋体" w:cs="宋体"/>
          <w:color w:val="000000"/>
          <w:sz w:val="24"/>
          <w:szCs w:val="24"/>
          <w:highlight w:val="none"/>
          <w:u w:val="single"/>
        </w:rPr>
        <w:t xml:space="preserve"> （标的名称） </w:t>
      </w:r>
      <w:r>
        <w:rPr>
          <w:rFonts w:ascii="宋体" w:hAnsi="宋体" w:cs="宋体"/>
          <w:color w:val="000000"/>
          <w:sz w:val="24"/>
          <w:szCs w:val="24"/>
          <w:highlight w:val="none"/>
        </w:rPr>
        <w:t>，属于</w:t>
      </w:r>
      <w:r>
        <w:rPr>
          <w:rFonts w:ascii="宋体" w:hAnsi="宋体" w:cs="宋体"/>
          <w:color w:val="000000"/>
          <w:sz w:val="24"/>
          <w:szCs w:val="24"/>
          <w:highlight w:val="none"/>
          <w:u w:val="single"/>
        </w:rPr>
        <w:t>（采购文件中明确的所属行业）</w:t>
      </w:r>
      <w:r>
        <w:rPr>
          <w:rFonts w:ascii="宋体" w:hAnsi="宋体" w:cs="宋体"/>
          <w:color w:val="000000"/>
          <w:sz w:val="24"/>
          <w:szCs w:val="24"/>
          <w:highlight w:val="none"/>
        </w:rPr>
        <w:t>；承接企业为</w:t>
      </w:r>
      <w:r>
        <w:rPr>
          <w:rFonts w:ascii="宋体" w:hAnsi="宋体" w:cs="宋体"/>
          <w:color w:val="000000"/>
          <w:sz w:val="24"/>
          <w:szCs w:val="24"/>
          <w:highlight w:val="none"/>
          <w:u w:val="single"/>
        </w:rPr>
        <w:t>（企业名称）</w:t>
      </w:r>
      <w:r>
        <w:rPr>
          <w:rFonts w:ascii="宋体" w:hAnsi="宋体" w:cs="宋体"/>
          <w:color w:val="000000"/>
          <w:sz w:val="24"/>
          <w:szCs w:val="24"/>
          <w:highlight w:val="none"/>
        </w:rPr>
        <w:t>，从业人员</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人，营业收入为</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万元，资产总额为</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万元</w:t>
      </w:r>
      <w:r>
        <w:rPr>
          <w:rFonts w:hint="eastAsia" w:ascii="宋体" w:hAnsi="宋体" w:cs="宋体"/>
          <w:color w:val="000000"/>
          <w:sz w:val="24"/>
          <w:szCs w:val="24"/>
          <w:highlight w:val="none"/>
          <w:vertAlign w:val="superscript"/>
        </w:rPr>
        <w:t>1</w:t>
      </w:r>
      <w:r>
        <w:rPr>
          <w:rFonts w:ascii="宋体" w:hAnsi="宋体" w:cs="宋体"/>
          <w:color w:val="000000"/>
          <w:sz w:val="24"/>
          <w:szCs w:val="24"/>
          <w:highlight w:val="none"/>
        </w:rPr>
        <w:t>，属于</w:t>
      </w:r>
      <w:r>
        <w:rPr>
          <w:rFonts w:ascii="宋体" w:hAnsi="宋体" w:cs="宋体"/>
          <w:color w:val="000000"/>
          <w:sz w:val="24"/>
          <w:szCs w:val="24"/>
          <w:highlight w:val="none"/>
          <w:u w:val="single"/>
        </w:rPr>
        <w:t>（中型企业、小型企业、微型企业）</w:t>
      </w:r>
      <w:r>
        <w:rPr>
          <w:rFonts w:ascii="宋体" w:hAnsi="宋体" w:cs="宋体"/>
          <w:color w:val="000000"/>
          <w:sz w:val="24"/>
          <w:szCs w:val="24"/>
          <w:highlight w:val="none"/>
        </w:rPr>
        <w:t>；</w:t>
      </w:r>
    </w:p>
    <w:p w14:paraId="678AD29C">
      <w:pPr>
        <w:pStyle w:val="82"/>
        <w:adjustRightInd w:val="0"/>
        <w:snapToGrid w:val="0"/>
        <w:spacing w:line="360" w:lineRule="auto"/>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w:t>
      </w:r>
      <w:r>
        <w:rPr>
          <w:rFonts w:ascii="宋体" w:hAnsi="宋体" w:cs="宋体"/>
          <w:color w:val="000000"/>
          <w:sz w:val="24"/>
          <w:szCs w:val="24"/>
          <w:highlight w:val="none"/>
          <w:u w:val="single"/>
        </w:rPr>
        <w:t xml:space="preserve"> （标的名称） </w:t>
      </w:r>
      <w:r>
        <w:rPr>
          <w:rFonts w:ascii="宋体" w:hAnsi="宋体" w:cs="宋体"/>
          <w:color w:val="000000"/>
          <w:sz w:val="24"/>
          <w:szCs w:val="24"/>
          <w:highlight w:val="none"/>
        </w:rPr>
        <w:t>，属于</w:t>
      </w:r>
      <w:r>
        <w:rPr>
          <w:rFonts w:ascii="宋体" w:hAnsi="宋体" w:cs="宋体"/>
          <w:color w:val="000000"/>
          <w:sz w:val="24"/>
          <w:szCs w:val="24"/>
          <w:highlight w:val="none"/>
          <w:u w:val="single"/>
        </w:rPr>
        <w:t>（采购文件中明确的所属行业）</w:t>
      </w:r>
      <w:r>
        <w:rPr>
          <w:rFonts w:ascii="宋体" w:hAnsi="宋体" w:cs="宋体"/>
          <w:color w:val="000000"/>
          <w:sz w:val="24"/>
          <w:szCs w:val="24"/>
          <w:highlight w:val="none"/>
        </w:rPr>
        <w:t>；承接企业为</w:t>
      </w:r>
      <w:r>
        <w:rPr>
          <w:rFonts w:ascii="宋体" w:hAnsi="宋体" w:cs="宋体"/>
          <w:color w:val="000000"/>
          <w:sz w:val="24"/>
          <w:szCs w:val="24"/>
          <w:highlight w:val="none"/>
          <w:u w:val="single"/>
        </w:rPr>
        <w:t>（企业名称）</w:t>
      </w:r>
      <w:r>
        <w:rPr>
          <w:rFonts w:ascii="宋体" w:hAnsi="宋体" w:cs="宋体"/>
          <w:color w:val="000000"/>
          <w:sz w:val="24"/>
          <w:szCs w:val="24"/>
          <w:highlight w:val="none"/>
        </w:rPr>
        <w:t>，从业人员</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人，营业收入为</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万元，资产总额为</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万元，属于</w:t>
      </w:r>
      <w:r>
        <w:rPr>
          <w:rFonts w:ascii="宋体" w:hAnsi="宋体" w:cs="宋体"/>
          <w:color w:val="000000"/>
          <w:sz w:val="24"/>
          <w:szCs w:val="24"/>
          <w:highlight w:val="none"/>
          <w:u w:val="single"/>
        </w:rPr>
        <w:t>（中型企业、小型企业、微型企业）</w:t>
      </w:r>
      <w:r>
        <w:rPr>
          <w:rFonts w:ascii="宋体" w:hAnsi="宋体" w:cs="宋体"/>
          <w:color w:val="000000"/>
          <w:sz w:val="24"/>
          <w:szCs w:val="24"/>
          <w:highlight w:val="none"/>
        </w:rPr>
        <w:t>；</w:t>
      </w:r>
    </w:p>
    <w:p w14:paraId="7589D683">
      <w:pPr>
        <w:pStyle w:val="82"/>
        <w:adjustRightInd w:val="0"/>
        <w:snapToGrid w:val="0"/>
        <w:spacing w:line="360" w:lineRule="auto"/>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 xml:space="preserve">…… </w:t>
      </w:r>
    </w:p>
    <w:p w14:paraId="25292711">
      <w:pPr>
        <w:pStyle w:val="82"/>
        <w:adjustRightInd w:val="0"/>
        <w:snapToGrid w:val="0"/>
        <w:spacing w:line="360" w:lineRule="auto"/>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 xml:space="preserve">以上企业，不属于大企业的分支机构，不存在控股股东为大企业的情形，也不存在与大企业的负责人为同一人的情形。 </w:t>
      </w:r>
    </w:p>
    <w:p w14:paraId="67B9D56F">
      <w:pPr>
        <w:pStyle w:val="82"/>
        <w:adjustRightInd w:val="0"/>
        <w:snapToGrid w:val="0"/>
        <w:spacing w:line="360" w:lineRule="auto"/>
        <w:ind w:firstLine="480" w:firstLineChars="200"/>
        <w:rPr>
          <w:rFonts w:ascii="宋体" w:hAnsi="宋体" w:cs="宋体"/>
          <w:color w:val="000000"/>
          <w:sz w:val="24"/>
          <w:szCs w:val="24"/>
          <w:highlight w:val="none"/>
        </w:rPr>
      </w:pPr>
      <w:r>
        <w:rPr>
          <w:rFonts w:ascii="宋体" w:hAnsi="宋体" w:cs="宋体"/>
          <w:color w:val="000000"/>
          <w:sz w:val="24"/>
          <w:szCs w:val="24"/>
          <w:highlight w:val="none"/>
        </w:rPr>
        <w:t>本企业对上述声明内容的真实性负责。如有虚假，将依法承担相应责任。</w:t>
      </w:r>
    </w:p>
    <w:p w14:paraId="6FDFABBE">
      <w:pPr>
        <w:pStyle w:val="82"/>
        <w:adjustRightInd w:val="0"/>
        <w:snapToGrid w:val="0"/>
        <w:spacing w:line="360" w:lineRule="auto"/>
        <w:ind w:firstLine="480" w:firstLineChars="200"/>
        <w:rPr>
          <w:rFonts w:ascii="宋体" w:hAnsi="宋体" w:cs="宋体"/>
          <w:color w:val="000000"/>
          <w:sz w:val="24"/>
          <w:szCs w:val="24"/>
          <w:highlight w:val="none"/>
        </w:rPr>
      </w:pPr>
    </w:p>
    <w:p w14:paraId="5EA3CBA6">
      <w:pPr>
        <w:pStyle w:val="82"/>
        <w:adjustRightInd w:val="0"/>
        <w:snapToGrid w:val="0"/>
        <w:spacing w:line="360" w:lineRule="auto"/>
        <w:ind w:firstLine="480" w:firstLineChars="200"/>
        <w:rPr>
          <w:rFonts w:hint="eastAsia" w:ascii="宋体" w:hAnsi="宋体" w:cs="宋体"/>
          <w:color w:val="000000"/>
          <w:sz w:val="24"/>
          <w:szCs w:val="24"/>
          <w:highlight w:val="none"/>
        </w:rPr>
      </w:pPr>
    </w:p>
    <w:p w14:paraId="215DD554">
      <w:pPr>
        <w:pStyle w:val="82"/>
        <w:adjustRightInd w:val="0"/>
        <w:snapToGrid w:val="0"/>
        <w:spacing w:line="360" w:lineRule="auto"/>
        <w:ind w:firstLine="480" w:firstLineChars="200"/>
        <w:rPr>
          <w:rFonts w:hint="eastAsia" w:ascii="宋体" w:hAnsi="宋体" w:cs="宋体"/>
          <w:color w:val="000000"/>
          <w:sz w:val="24"/>
          <w:szCs w:val="24"/>
          <w:highlight w:val="none"/>
        </w:rPr>
      </w:pPr>
    </w:p>
    <w:p w14:paraId="648958E6">
      <w:pPr>
        <w:pStyle w:val="82"/>
        <w:adjustRightInd w:val="0"/>
        <w:snapToGrid w:val="0"/>
        <w:spacing w:line="360" w:lineRule="auto"/>
        <w:ind w:firstLine="4800" w:firstLineChars="2000"/>
        <w:rPr>
          <w:rFonts w:ascii="宋体" w:hAnsi="宋体" w:cs="宋体"/>
          <w:color w:val="000000"/>
          <w:sz w:val="24"/>
          <w:szCs w:val="24"/>
          <w:highlight w:val="none"/>
        </w:rPr>
      </w:pPr>
      <w:r>
        <w:rPr>
          <w:rFonts w:ascii="宋体" w:hAnsi="宋体" w:cs="宋体"/>
          <w:color w:val="000000"/>
          <w:sz w:val="24"/>
          <w:szCs w:val="24"/>
          <w:highlight w:val="none"/>
        </w:rPr>
        <w:t>企业名称（盖章）：</w:t>
      </w:r>
    </w:p>
    <w:p w14:paraId="313D084A">
      <w:pPr>
        <w:pStyle w:val="82"/>
        <w:adjustRightInd w:val="0"/>
        <w:snapToGrid w:val="0"/>
        <w:spacing w:line="360" w:lineRule="auto"/>
        <w:ind w:firstLine="4800" w:firstLineChars="2000"/>
        <w:rPr>
          <w:rFonts w:ascii="宋体" w:hAnsi="宋体" w:cs="宋体"/>
          <w:color w:val="000000"/>
          <w:sz w:val="24"/>
          <w:szCs w:val="24"/>
          <w:highlight w:val="none"/>
        </w:rPr>
      </w:pPr>
      <w:r>
        <w:rPr>
          <w:rFonts w:ascii="宋体" w:hAnsi="宋体" w:cs="宋体"/>
          <w:color w:val="000000"/>
          <w:sz w:val="24"/>
          <w:szCs w:val="24"/>
          <w:highlight w:val="none"/>
        </w:rPr>
        <w:t>日期：</w:t>
      </w:r>
    </w:p>
    <w:p w14:paraId="0474F7D2">
      <w:pPr>
        <w:pStyle w:val="82"/>
        <w:adjustRightInd w:val="0"/>
        <w:snapToGrid w:val="0"/>
        <w:spacing w:line="360" w:lineRule="auto"/>
        <w:ind w:firstLine="4800" w:firstLineChars="2000"/>
        <w:rPr>
          <w:rFonts w:ascii="宋体" w:hAnsi="宋体" w:cs="宋体"/>
          <w:color w:val="000000"/>
          <w:sz w:val="24"/>
          <w:szCs w:val="24"/>
          <w:highlight w:val="none"/>
        </w:rPr>
      </w:pPr>
    </w:p>
    <w:p w14:paraId="76E9A1C9">
      <w:pPr>
        <w:pStyle w:val="82"/>
        <w:adjustRightInd w:val="0"/>
        <w:snapToGrid w:val="0"/>
        <w:spacing w:line="360" w:lineRule="auto"/>
        <w:ind w:firstLine="4800" w:firstLineChars="2000"/>
        <w:rPr>
          <w:rFonts w:ascii="宋体" w:hAnsi="宋体" w:cs="宋体"/>
          <w:color w:val="000000"/>
          <w:sz w:val="24"/>
          <w:szCs w:val="24"/>
          <w:highlight w:val="none"/>
        </w:rPr>
      </w:pPr>
    </w:p>
    <w:p w14:paraId="763A381C">
      <w:pPr>
        <w:pStyle w:val="82"/>
        <w:adjustRightInd w:val="0"/>
        <w:snapToGrid w:val="0"/>
        <w:spacing w:line="360" w:lineRule="auto"/>
        <w:ind w:firstLine="4800" w:firstLineChars="2000"/>
        <w:rPr>
          <w:rFonts w:ascii="宋体" w:hAnsi="宋体" w:cs="宋体"/>
          <w:color w:val="000000"/>
          <w:sz w:val="24"/>
          <w:szCs w:val="24"/>
          <w:highlight w:val="none"/>
        </w:rPr>
      </w:pPr>
    </w:p>
    <w:p w14:paraId="1D9BD5E9">
      <w:pPr>
        <w:pStyle w:val="82"/>
        <w:adjustRightInd w:val="0"/>
        <w:snapToGrid w:val="0"/>
        <w:spacing w:line="360" w:lineRule="auto"/>
        <w:ind w:firstLine="4800" w:firstLineChars="2000"/>
        <w:rPr>
          <w:rFonts w:ascii="宋体" w:hAnsi="宋体" w:cs="宋体"/>
          <w:color w:val="000000"/>
          <w:sz w:val="24"/>
          <w:szCs w:val="24"/>
          <w:highlight w:val="none"/>
        </w:rPr>
      </w:pPr>
    </w:p>
    <w:p w14:paraId="0D031141">
      <w:pPr>
        <w:pStyle w:val="82"/>
        <w:adjustRightInd w:val="0"/>
        <w:snapToGrid w:val="0"/>
        <w:spacing w:line="360" w:lineRule="auto"/>
        <w:rPr>
          <w:rFonts w:hint="eastAsia" w:ascii="宋体" w:hAnsi="宋体" w:cs="宋体"/>
          <w:color w:val="000000"/>
          <w:sz w:val="24"/>
          <w:szCs w:val="24"/>
          <w:highlight w:val="none"/>
        </w:rPr>
        <w:sectPr>
          <w:headerReference r:id="rId17" w:type="default"/>
          <w:footerReference r:id="rId18"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cs="宋体"/>
          <w:color w:val="000000"/>
          <w:sz w:val="24"/>
          <w:szCs w:val="24"/>
          <w:highlight w:val="none"/>
          <w:vertAlign w:val="superscript"/>
        </w:rPr>
        <w:t xml:space="preserve">1 </w:t>
      </w:r>
      <w:r>
        <w:rPr>
          <w:rFonts w:hint="eastAsia" w:ascii="宋体" w:hAnsi="宋体" w:cs="宋体"/>
          <w:color w:val="000000"/>
          <w:sz w:val="24"/>
          <w:szCs w:val="24"/>
          <w:highlight w:val="none"/>
        </w:rPr>
        <w:t>从业人员、营业收入、资产总额填报上一年度数据，无上一年度数据的新成立企业可不填报。</w:t>
      </w:r>
    </w:p>
    <w:p w14:paraId="68AACA32">
      <w:pPr>
        <w:jc w:val="center"/>
        <w:rPr>
          <w:rFonts w:hint="eastAsia" w:ascii="宋体" w:hAnsi="宋体"/>
          <w:bCs/>
          <w:color w:val="000000"/>
          <w:sz w:val="24"/>
          <w:szCs w:val="24"/>
          <w:highlight w:val="none"/>
        </w:rPr>
      </w:pPr>
      <w:r>
        <w:rPr>
          <w:rFonts w:hint="eastAsia" w:ascii="宋体" w:hAnsi="宋体" w:eastAsia="宋体" w:cs="宋体"/>
          <w:b/>
          <w:bCs w:val="0"/>
          <w:color w:val="000000"/>
          <w:sz w:val="28"/>
          <w:szCs w:val="28"/>
          <w:highlight w:val="none"/>
        </w:rPr>
        <w:t>8.服务方案</w:t>
      </w:r>
    </w:p>
    <w:p w14:paraId="4D979BEC">
      <w:pPr>
        <w:spacing w:line="480" w:lineRule="exact"/>
        <w:ind w:firstLine="480" w:firstLineChars="200"/>
        <w:jc w:val="left"/>
        <w:rPr>
          <w:rFonts w:hint="eastAsia" w:ascii="宋体" w:hAnsi="宋体" w:cs="宋体"/>
          <w:color w:val="000000"/>
          <w:sz w:val="24"/>
          <w:szCs w:val="22"/>
          <w:highlight w:val="none"/>
        </w:rPr>
      </w:pPr>
      <w:r>
        <w:rPr>
          <w:rFonts w:hint="eastAsia" w:ascii="宋体" w:hAnsi="宋体" w:cs="宋体"/>
          <w:color w:val="000000"/>
          <w:sz w:val="24"/>
          <w:szCs w:val="22"/>
          <w:highlight w:val="none"/>
        </w:rPr>
        <w:t>供应商应按照竞争性磋商文件要求，根据采购内容以及评审办法中技术内容作出全面响应的项目方案：</w:t>
      </w:r>
    </w:p>
    <w:p w14:paraId="4F856E94">
      <w:pPr>
        <w:spacing w:line="480" w:lineRule="exact"/>
        <w:ind w:firstLine="480" w:firstLineChars="200"/>
        <w:jc w:val="left"/>
        <w:rPr>
          <w:rFonts w:hint="eastAsia"/>
          <w:color w:val="000000"/>
          <w:sz w:val="24"/>
          <w:szCs w:val="22"/>
          <w:highlight w:val="none"/>
        </w:rPr>
      </w:pPr>
    </w:p>
    <w:p w14:paraId="048FA705">
      <w:pPr>
        <w:pStyle w:val="9"/>
        <w:ind w:firstLine="480"/>
        <w:rPr>
          <w:rFonts w:hint="eastAsia" w:ascii="Times New Roman" w:hAnsi="Times New Roman"/>
          <w:color w:val="000000"/>
          <w:sz w:val="24"/>
          <w:szCs w:val="22"/>
          <w:highlight w:val="none"/>
        </w:rPr>
      </w:pPr>
    </w:p>
    <w:p w14:paraId="5C39BC77">
      <w:pPr>
        <w:pStyle w:val="9"/>
        <w:ind w:firstLine="480"/>
        <w:rPr>
          <w:rFonts w:hint="eastAsia" w:ascii="Times New Roman" w:hAnsi="Times New Roman"/>
          <w:color w:val="000000"/>
          <w:sz w:val="24"/>
          <w:szCs w:val="22"/>
          <w:highlight w:val="none"/>
        </w:rPr>
      </w:pPr>
    </w:p>
    <w:p w14:paraId="7D0E6016">
      <w:pPr>
        <w:pStyle w:val="9"/>
        <w:ind w:firstLine="480"/>
        <w:rPr>
          <w:rFonts w:hint="eastAsia" w:ascii="Times New Roman" w:hAnsi="Times New Roman"/>
          <w:color w:val="000000"/>
          <w:sz w:val="24"/>
          <w:szCs w:val="22"/>
          <w:highlight w:val="none"/>
        </w:rPr>
      </w:pPr>
    </w:p>
    <w:p w14:paraId="1BB18A71">
      <w:pPr>
        <w:pStyle w:val="9"/>
        <w:ind w:firstLine="480"/>
        <w:rPr>
          <w:rFonts w:hint="eastAsia" w:ascii="Times New Roman" w:hAnsi="Times New Roman"/>
          <w:color w:val="000000"/>
          <w:sz w:val="24"/>
          <w:szCs w:val="22"/>
          <w:highlight w:val="none"/>
        </w:rPr>
      </w:pPr>
    </w:p>
    <w:p w14:paraId="65CD36FF">
      <w:pPr>
        <w:pStyle w:val="9"/>
        <w:ind w:firstLine="480"/>
        <w:rPr>
          <w:rFonts w:hint="eastAsia" w:ascii="Times New Roman" w:hAnsi="Times New Roman"/>
          <w:color w:val="000000"/>
          <w:sz w:val="24"/>
          <w:szCs w:val="22"/>
          <w:highlight w:val="none"/>
        </w:rPr>
      </w:pPr>
    </w:p>
    <w:p w14:paraId="35CB4689">
      <w:pPr>
        <w:pStyle w:val="9"/>
        <w:ind w:firstLine="480"/>
        <w:rPr>
          <w:rFonts w:hint="eastAsia" w:ascii="Times New Roman" w:hAnsi="Times New Roman"/>
          <w:color w:val="000000"/>
          <w:sz w:val="24"/>
          <w:szCs w:val="22"/>
          <w:highlight w:val="none"/>
        </w:rPr>
      </w:pPr>
    </w:p>
    <w:p w14:paraId="44168739">
      <w:pPr>
        <w:pStyle w:val="9"/>
        <w:ind w:firstLine="480"/>
        <w:rPr>
          <w:rFonts w:hint="eastAsia" w:ascii="Times New Roman" w:hAnsi="Times New Roman"/>
          <w:color w:val="000000"/>
          <w:sz w:val="24"/>
          <w:szCs w:val="22"/>
          <w:highlight w:val="none"/>
        </w:rPr>
      </w:pPr>
    </w:p>
    <w:p w14:paraId="7BC7CA9B">
      <w:pPr>
        <w:pStyle w:val="9"/>
        <w:ind w:firstLine="480"/>
        <w:rPr>
          <w:rFonts w:hint="eastAsia" w:ascii="Times New Roman" w:hAnsi="Times New Roman"/>
          <w:color w:val="000000"/>
          <w:sz w:val="24"/>
          <w:szCs w:val="22"/>
          <w:highlight w:val="none"/>
        </w:rPr>
      </w:pPr>
    </w:p>
    <w:p w14:paraId="7EE2CE31">
      <w:pPr>
        <w:pStyle w:val="9"/>
        <w:ind w:firstLine="480"/>
        <w:rPr>
          <w:rFonts w:hint="eastAsia" w:ascii="Times New Roman" w:hAnsi="Times New Roman"/>
          <w:color w:val="000000"/>
          <w:sz w:val="24"/>
          <w:szCs w:val="22"/>
          <w:highlight w:val="none"/>
        </w:rPr>
      </w:pPr>
    </w:p>
    <w:p w14:paraId="29118966">
      <w:pPr>
        <w:pStyle w:val="9"/>
        <w:ind w:firstLine="480"/>
        <w:rPr>
          <w:rFonts w:hint="eastAsia" w:ascii="Times New Roman" w:hAnsi="Times New Roman"/>
          <w:color w:val="000000"/>
          <w:sz w:val="24"/>
          <w:szCs w:val="22"/>
          <w:highlight w:val="none"/>
        </w:rPr>
      </w:pPr>
    </w:p>
    <w:p w14:paraId="12F4A088">
      <w:pPr>
        <w:pStyle w:val="9"/>
        <w:ind w:firstLine="480"/>
        <w:rPr>
          <w:rFonts w:hint="eastAsia" w:ascii="Times New Roman" w:hAnsi="Times New Roman"/>
          <w:color w:val="000000"/>
          <w:sz w:val="24"/>
          <w:szCs w:val="22"/>
          <w:highlight w:val="none"/>
        </w:rPr>
      </w:pPr>
    </w:p>
    <w:p w14:paraId="2EC3F091">
      <w:pPr>
        <w:pStyle w:val="9"/>
        <w:ind w:firstLine="480"/>
        <w:rPr>
          <w:rFonts w:hint="eastAsia" w:ascii="Times New Roman" w:hAnsi="Times New Roman"/>
          <w:color w:val="000000"/>
          <w:sz w:val="24"/>
          <w:szCs w:val="22"/>
          <w:highlight w:val="none"/>
        </w:rPr>
      </w:pPr>
    </w:p>
    <w:p w14:paraId="1DD290C4">
      <w:pPr>
        <w:pStyle w:val="9"/>
        <w:ind w:firstLine="480"/>
        <w:rPr>
          <w:rFonts w:hint="eastAsia" w:ascii="Times New Roman" w:hAnsi="Times New Roman"/>
          <w:color w:val="000000"/>
          <w:sz w:val="24"/>
          <w:szCs w:val="22"/>
          <w:highlight w:val="none"/>
        </w:rPr>
      </w:pPr>
    </w:p>
    <w:p w14:paraId="7F53F3BA">
      <w:pPr>
        <w:pStyle w:val="9"/>
        <w:ind w:firstLine="480"/>
        <w:rPr>
          <w:rFonts w:hint="eastAsia" w:ascii="Times New Roman" w:hAnsi="Times New Roman"/>
          <w:color w:val="000000"/>
          <w:sz w:val="24"/>
          <w:szCs w:val="22"/>
          <w:highlight w:val="none"/>
        </w:rPr>
      </w:pPr>
    </w:p>
    <w:p w14:paraId="6B460547">
      <w:pPr>
        <w:pStyle w:val="9"/>
        <w:ind w:firstLine="480"/>
        <w:rPr>
          <w:rFonts w:hint="eastAsia" w:ascii="Times New Roman" w:hAnsi="Times New Roman"/>
          <w:color w:val="000000"/>
          <w:sz w:val="24"/>
          <w:szCs w:val="22"/>
          <w:highlight w:val="none"/>
        </w:rPr>
      </w:pPr>
    </w:p>
    <w:p w14:paraId="40FB2E36">
      <w:pPr>
        <w:pStyle w:val="9"/>
        <w:ind w:firstLine="480"/>
        <w:rPr>
          <w:rFonts w:hint="eastAsia" w:ascii="Times New Roman" w:hAnsi="Times New Roman"/>
          <w:color w:val="000000"/>
          <w:sz w:val="24"/>
          <w:szCs w:val="22"/>
          <w:highlight w:val="none"/>
        </w:rPr>
      </w:pPr>
    </w:p>
    <w:p w14:paraId="0A7BF287">
      <w:pPr>
        <w:pStyle w:val="9"/>
        <w:ind w:firstLine="480"/>
        <w:rPr>
          <w:rFonts w:hint="eastAsia" w:ascii="Times New Roman" w:hAnsi="Times New Roman"/>
          <w:color w:val="000000"/>
          <w:sz w:val="24"/>
          <w:szCs w:val="22"/>
          <w:highlight w:val="none"/>
        </w:rPr>
      </w:pPr>
    </w:p>
    <w:p w14:paraId="020DD46E">
      <w:pPr>
        <w:pStyle w:val="9"/>
        <w:ind w:firstLine="480"/>
        <w:rPr>
          <w:rFonts w:hint="eastAsia" w:ascii="Times New Roman" w:hAnsi="Times New Roman"/>
          <w:color w:val="000000"/>
          <w:sz w:val="24"/>
          <w:szCs w:val="22"/>
          <w:highlight w:val="none"/>
        </w:rPr>
      </w:pPr>
    </w:p>
    <w:p w14:paraId="46EABE3A">
      <w:pPr>
        <w:pStyle w:val="9"/>
        <w:ind w:firstLine="480"/>
        <w:rPr>
          <w:rFonts w:hint="eastAsia" w:ascii="Times New Roman" w:hAnsi="Times New Roman"/>
          <w:color w:val="000000"/>
          <w:sz w:val="24"/>
          <w:szCs w:val="22"/>
          <w:highlight w:val="none"/>
        </w:rPr>
      </w:pPr>
    </w:p>
    <w:p w14:paraId="601AF492">
      <w:pPr>
        <w:pStyle w:val="9"/>
        <w:ind w:firstLine="0" w:firstLineChars="0"/>
        <w:rPr>
          <w:rFonts w:hint="eastAsia" w:ascii="Times New Roman" w:hAnsi="Times New Roman"/>
          <w:color w:val="000000"/>
          <w:sz w:val="24"/>
          <w:szCs w:val="22"/>
          <w:highlight w:val="none"/>
        </w:rPr>
      </w:pPr>
    </w:p>
    <w:p w14:paraId="436B572E">
      <w:pP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br w:type="page"/>
      </w:r>
      <w:r>
        <w:rPr>
          <w:rFonts w:hint="eastAsia" w:ascii="宋体" w:hAnsi="宋体" w:cs="宋体"/>
          <w:b/>
          <w:bCs/>
          <w:color w:val="000000"/>
          <w:sz w:val="24"/>
          <w:szCs w:val="24"/>
          <w:highlight w:val="none"/>
        </w:rPr>
        <w:t>附件8.1项目团队</w:t>
      </w:r>
    </w:p>
    <w:p w14:paraId="54AB44A0">
      <w:pPr>
        <w:jc w:val="center"/>
        <w:rPr>
          <w:rFonts w:hint="eastAsia" w:ascii="宋体" w:hAnsi="宋体" w:cs="宋体"/>
          <w:b/>
          <w:color w:val="000000"/>
          <w:sz w:val="28"/>
          <w:szCs w:val="28"/>
          <w:highlight w:val="none"/>
        </w:rPr>
      </w:pPr>
    </w:p>
    <w:p w14:paraId="22BAD3B5">
      <w:pPr>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项目组团队人员情况表</w:t>
      </w:r>
    </w:p>
    <w:p w14:paraId="12CC7A02">
      <w:pPr>
        <w:pStyle w:val="14"/>
        <w:rPr>
          <w:rFonts w:hint="eastAsia"/>
          <w:color w:val="000000"/>
          <w:highlight w:val="none"/>
        </w:rPr>
      </w:pPr>
    </w:p>
    <w:p w14:paraId="494A9E78">
      <w:pPr>
        <w:adjustRightInd w:val="0"/>
        <w:snapToGrid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p>
    <w:p w14:paraId="7C4D8810">
      <w:pPr>
        <w:adjustRightInd w:val="0"/>
        <w:snapToGrid w:val="0"/>
        <w:spacing w:line="360" w:lineRule="auto"/>
        <w:rPr>
          <w:rFonts w:hint="eastAsia"/>
          <w:color w:val="000000"/>
          <w:highlight w:val="none"/>
        </w:rPr>
      </w:pPr>
      <w:r>
        <w:rPr>
          <w:rFonts w:hint="eastAsia" w:ascii="宋体" w:hAnsi="宋体" w:cs="宋体"/>
          <w:color w:val="000000"/>
          <w:sz w:val="24"/>
          <w:highlight w:val="none"/>
        </w:rPr>
        <w:t>项目编号：</w:t>
      </w:r>
      <w:r>
        <w:rPr>
          <w:rFonts w:hint="eastAsia" w:ascii="宋体" w:hAnsi="宋体" w:cs="宋体"/>
          <w:color w:val="000000"/>
          <w:sz w:val="24"/>
          <w:highlight w:val="none"/>
          <w:u w:val="single"/>
        </w:rPr>
        <w:t xml:space="preserve">                  </w:t>
      </w:r>
    </w:p>
    <w:tbl>
      <w:tblPr>
        <w:tblStyle w:val="39"/>
        <w:tblW w:w="8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8"/>
        <w:gridCol w:w="967"/>
        <w:gridCol w:w="1073"/>
        <w:gridCol w:w="1289"/>
        <w:gridCol w:w="1492"/>
        <w:gridCol w:w="1606"/>
        <w:gridCol w:w="1012"/>
      </w:tblGrid>
      <w:tr w14:paraId="599DB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798" w:type="dxa"/>
            <w:tcBorders>
              <w:top w:val="single" w:color="auto" w:sz="4" w:space="0"/>
              <w:left w:val="single" w:color="auto" w:sz="4" w:space="0"/>
              <w:bottom w:val="single" w:color="auto" w:sz="4" w:space="0"/>
              <w:right w:val="single" w:color="auto" w:sz="4" w:space="0"/>
            </w:tcBorders>
            <w:noWrap w:val="0"/>
            <w:vAlign w:val="center"/>
          </w:tcPr>
          <w:p w14:paraId="5D27B4A4">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序号</w:t>
            </w:r>
          </w:p>
        </w:tc>
        <w:tc>
          <w:tcPr>
            <w:tcW w:w="967" w:type="dxa"/>
            <w:tcBorders>
              <w:top w:val="single" w:color="auto" w:sz="4" w:space="0"/>
              <w:left w:val="single" w:color="auto" w:sz="4" w:space="0"/>
              <w:bottom w:val="single" w:color="auto" w:sz="4" w:space="0"/>
              <w:right w:val="single" w:color="auto" w:sz="4" w:space="0"/>
            </w:tcBorders>
            <w:noWrap w:val="0"/>
            <w:vAlign w:val="center"/>
          </w:tcPr>
          <w:p w14:paraId="30B7E107">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姓 名</w:t>
            </w:r>
          </w:p>
        </w:tc>
        <w:tc>
          <w:tcPr>
            <w:tcW w:w="1073" w:type="dxa"/>
            <w:tcBorders>
              <w:top w:val="single" w:color="auto" w:sz="4" w:space="0"/>
              <w:left w:val="single" w:color="auto" w:sz="4" w:space="0"/>
              <w:bottom w:val="single" w:color="auto" w:sz="4" w:space="0"/>
              <w:right w:val="single" w:color="auto" w:sz="4" w:space="0"/>
            </w:tcBorders>
            <w:noWrap w:val="0"/>
            <w:vAlign w:val="center"/>
          </w:tcPr>
          <w:p w14:paraId="583FC60B">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学历</w:t>
            </w:r>
          </w:p>
        </w:tc>
        <w:tc>
          <w:tcPr>
            <w:tcW w:w="1289" w:type="dxa"/>
            <w:tcBorders>
              <w:top w:val="single" w:color="auto" w:sz="4" w:space="0"/>
              <w:left w:val="single" w:color="auto" w:sz="4" w:space="0"/>
              <w:bottom w:val="single" w:color="auto" w:sz="4" w:space="0"/>
              <w:right w:val="single" w:color="auto" w:sz="4" w:space="0"/>
            </w:tcBorders>
            <w:noWrap w:val="0"/>
            <w:vAlign w:val="center"/>
          </w:tcPr>
          <w:p w14:paraId="316DAE9F">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技术</w:t>
            </w:r>
          </w:p>
          <w:p w14:paraId="48320AD1">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职称</w:t>
            </w:r>
          </w:p>
        </w:tc>
        <w:tc>
          <w:tcPr>
            <w:tcW w:w="1492" w:type="dxa"/>
            <w:tcBorders>
              <w:top w:val="single" w:color="auto" w:sz="4" w:space="0"/>
              <w:left w:val="single" w:color="auto" w:sz="4" w:space="0"/>
              <w:bottom w:val="single" w:color="auto" w:sz="4" w:space="0"/>
              <w:right w:val="single" w:color="auto" w:sz="4" w:space="0"/>
            </w:tcBorders>
            <w:noWrap w:val="0"/>
            <w:vAlign w:val="center"/>
          </w:tcPr>
          <w:p w14:paraId="18B3EA70">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证书</w:t>
            </w:r>
          </w:p>
          <w:p w14:paraId="5A679188">
            <w:pPr>
              <w:adjustRightInd w:val="0"/>
              <w:snapToGrid w:val="0"/>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名称</w:t>
            </w:r>
          </w:p>
        </w:tc>
        <w:tc>
          <w:tcPr>
            <w:tcW w:w="1606" w:type="dxa"/>
            <w:tcBorders>
              <w:top w:val="single" w:color="auto" w:sz="4" w:space="0"/>
              <w:left w:val="single" w:color="auto" w:sz="4" w:space="0"/>
              <w:bottom w:val="single" w:color="auto" w:sz="4" w:space="0"/>
              <w:right w:val="single" w:color="auto" w:sz="4" w:space="0"/>
            </w:tcBorders>
            <w:noWrap w:val="0"/>
            <w:vAlign w:val="center"/>
          </w:tcPr>
          <w:p w14:paraId="59F1EABF">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本项目中</w:t>
            </w:r>
          </w:p>
          <w:p w14:paraId="7C08322A">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担任职务</w:t>
            </w:r>
          </w:p>
        </w:tc>
        <w:tc>
          <w:tcPr>
            <w:tcW w:w="1012" w:type="dxa"/>
            <w:tcBorders>
              <w:top w:val="single" w:color="auto" w:sz="4" w:space="0"/>
              <w:left w:val="single" w:color="auto" w:sz="4" w:space="0"/>
              <w:bottom w:val="single" w:color="auto" w:sz="4" w:space="0"/>
              <w:right w:val="single" w:color="auto" w:sz="4" w:space="0"/>
            </w:tcBorders>
            <w:noWrap w:val="0"/>
            <w:vAlign w:val="center"/>
          </w:tcPr>
          <w:p w14:paraId="2485EBF7">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备注</w:t>
            </w:r>
          </w:p>
        </w:tc>
      </w:tr>
      <w:tr w14:paraId="3ADCF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798" w:type="dxa"/>
            <w:tcBorders>
              <w:top w:val="single" w:color="auto" w:sz="4" w:space="0"/>
              <w:left w:val="single" w:color="auto" w:sz="4" w:space="0"/>
              <w:bottom w:val="single" w:color="auto" w:sz="4" w:space="0"/>
              <w:right w:val="single" w:color="auto" w:sz="4" w:space="0"/>
            </w:tcBorders>
            <w:noWrap w:val="0"/>
            <w:vAlign w:val="center"/>
          </w:tcPr>
          <w:p w14:paraId="7D5444CB">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w:t>
            </w:r>
          </w:p>
        </w:tc>
        <w:tc>
          <w:tcPr>
            <w:tcW w:w="967" w:type="dxa"/>
            <w:tcBorders>
              <w:top w:val="single" w:color="auto" w:sz="4" w:space="0"/>
              <w:left w:val="single" w:color="auto" w:sz="4" w:space="0"/>
              <w:bottom w:val="single" w:color="auto" w:sz="4" w:space="0"/>
              <w:right w:val="single" w:color="auto" w:sz="4" w:space="0"/>
            </w:tcBorders>
            <w:noWrap w:val="0"/>
            <w:vAlign w:val="center"/>
          </w:tcPr>
          <w:p w14:paraId="2DC8847E">
            <w:pPr>
              <w:spacing w:line="360" w:lineRule="auto"/>
              <w:jc w:val="center"/>
              <w:rPr>
                <w:rFonts w:hint="eastAsia" w:ascii="宋体" w:hAnsi="宋体" w:cs="宋体"/>
                <w:color w:val="000000"/>
                <w:sz w:val="24"/>
                <w:szCs w:val="24"/>
                <w:highlight w:val="none"/>
              </w:rPr>
            </w:pPr>
          </w:p>
        </w:tc>
        <w:tc>
          <w:tcPr>
            <w:tcW w:w="1073" w:type="dxa"/>
            <w:tcBorders>
              <w:top w:val="single" w:color="auto" w:sz="4" w:space="0"/>
              <w:left w:val="single" w:color="auto" w:sz="4" w:space="0"/>
              <w:bottom w:val="single" w:color="auto" w:sz="4" w:space="0"/>
              <w:right w:val="single" w:color="auto" w:sz="4" w:space="0"/>
            </w:tcBorders>
            <w:noWrap w:val="0"/>
            <w:vAlign w:val="center"/>
          </w:tcPr>
          <w:p w14:paraId="1CD11CB8">
            <w:pPr>
              <w:spacing w:line="360" w:lineRule="auto"/>
              <w:jc w:val="center"/>
              <w:rPr>
                <w:rFonts w:hint="eastAsia" w:ascii="宋体" w:hAnsi="宋体" w:cs="宋体"/>
                <w:color w:val="000000"/>
                <w:sz w:val="24"/>
                <w:szCs w:val="24"/>
                <w:highlight w:val="none"/>
              </w:rPr>
            </w:pPr>
          </w:p>
        </w:tc>
        <w:tc>
          <w:tcPr>
            <w:tcW w:w="1289" w:type="dxa"/>
            <w:tcBorders>
              <w:top w:val="single" w:color="auto" w:sz="4" w:space="0"/>
              <w:left w:val="single" w:color="auto" w:sz="4" w:space="0"/>
              <w:bottom w:val="single" w:color="auto" w:sz="4" w:space="0"/>
              <w:right w:val="single" w:color="auto" w:sz="4" w:space="0"/>
            </w:tcBorders>
            <w:noWrap w:val="0"/>
            <w:vAlign w:val="center"/>
          </w:tcPr>
          <w:p w14:paraId="3B7540E1">
            <w:pPr>
              <w:spacing w:line="360" w:lineRule="auto"/>
              <w:jc w:val="center"/>
              <w:rPr>
                <w:rFonts w:hint="eastAsia" w:ascii="宋体" w:hAnsi="宋体" w:cs="宋体"/>
                <w:color w:val="000000"/>
                <w:sz w:val="24"/>
                <w:szCs w:val="24"/>
                <w:highlight w:val="none"/>
              </w:rPr>
            </w:pPr>
          </w:p>
        </w:tc>
        <w:tc>
          <w:tcPr>
            <w:tcW w:w="1492" w:type="dxa"/>
            <w:tcBorders>
              <w:top w:val="single" w:color="auto" w:sz="4" w:space="0"/>
              <w:left w:val="single" w:color="auto" w:sz="4" w:space="0"/>
              <w:bottom w:val="single" w:color="auto" w:sz="4" w:space="0"/>
              <w:right w:val="single" w:color="auto" w:sz="4" w:space="0"/>
            </w:tcBorders>
            <w:noWrap w:val="0"/>
            <w:vAlign w:val="center"/>
          </w:tcPr>
          <w:p w14:paraId="031FBDA2">
            <w:pPr>
              <w:spacing w:line="360" w:lineRule="auto"/>
              <w:jc w:val="center"/>
              <w:rPr>
                <w:rFonts w:hint="eastAsia" w:ascii="宋体" w:hAnsi="宋体" w:cs="宋体"/>
                <w:color w:val="000000"/>
                <w:sz w:val="24"/>
                <w:szCs w:val="24"/>
                <w:highlight w:val="none"/>
              </w:rPr>
            </w:pPr>
          </w:p>
        </w:tc>
        <w:tc>
          <w:tcPr>
            <w:tcW w:w="1606" w:type="dxa"/>
            <w:tcBorders>
              <w:top w:val="single" w:color="auto" w:sz="4" w:space="0"/>
              <w:left w:val="single" w:color="auto" w:sz="4" w:space="0"/>
              <w:bottom w:val="single" w:color="auto" w:sz="4" w:space="0"/>
              <w:right w:val="single" w:color="auto" w:sz="4" w:space="0"/>
            </w:tcBorders>
            <w:noWrap w:val="0"/>
            <w:vAlign w:val="center"/>
          </w:tcPr>
          <w:p w14:paraId="4B8C01E3">
            <w:pPr>
              <w:spacing w:line="360" w:lineRule="auto"/>
              <w:jc w:val="center"/>
              <w:rPr>
                <w:rFonts w:hint="eastAsia" w:ascii="宋体" w:hAnsi="宋体" w:cs="宋体"/>
                <w:color w:val="000000"/>
                <w:sz w:val="24"/>
                <w:szCs w:val="24"/>
                <w:highlight w:val="none"/>
              </w:rPr>
            </w:pPr>
          </w:p>
        </w:tc>
        <w:tc>
          <w:tcPr>
            <w:tcW w:w="1012" w:type="dxa"/>
            <w:tcBorders>
              <w:top w:val="single" w:color="auto" w:sz="4" w:space="0"/>
              <w:left w:val="single" w:color="auto" w:sz="4" w:space="0"/>
              <w:bottom w:val="single" w:color="auto" w:sz="4" w:space="0"/>
              <w:right w:val="single" w:color="auto" w:sz="4" w:space="0"/>
            </w:tcBorders>
            <w:noWrap w:val="0"/>
            <w:vAlign w:val="center"/>
          </w:tcPr>
          <w:p w14:paraId="010B303A">
            <w:pPr>
              <w:spacing w:line="360" w:lineRule="auto"/>
              <w:jc w:val="center"/>
              <w:rPr>
                <w:rFonts w:hint="eastAsia" w:ascii="宋体" w:hAnsi="宋体" w:cs="宋体"/>
                <w:color w:val="000000"/>
                <w:sz w:val="24"/>
                <w:szCs w:val="24"/>
                <w:highlight w:val="none"/>
              </w:rPr>
            </w:pPr>
          </w:p>
        </w:tc>
      </w:tr>
      <w:tr w14:paraId="4331E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798" w:type="dxa"/>
            <w:tcBorders>
              <w:top w:val="single" w:color="auto" w:sz="4" w:space="0"/>
              <w:left w:val="single" w:color="auto" w:sz="4" w:space="0"/>
              <w:bottom w:val="single" w:color="auto" w:sz="4" w:space="0"/>
              <w:right w:val="single" w:color="auto" w:sz="4" w:space="0"/>
            </w:tcBorders>
            <w:noWrap w:val="0"/>
            <w:vAlign w:val="center"/>
          </w:tcPr>
          <w:p w14:paraId="0FB63740">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2</w:t>
            </w:r>
          </w:p>
        </w:tc>
        <w:tc>
          <w:tcPr>
            <w:tcW w:w="967" w:type="dxa"/>
            <w:tcBorders>
              <w:top w:val="single" w:color="auto" w:sz="4" w:space="0"/>
              <w:left w:val="single" w:color="auto" w:sz="4" w:space="0"/>
              <w:bottom w:val="single" w:color="auto" w:sz="4" w:space="0"/>
              <w:right w:val="single" w:color="auto" w:sz="4" w:space="0"/>
            </w:tcBorders>
            <w:noWrap w:val="0"/>
            <w:vAlign w:val="center"/>
          </w:tcPr>
          <w:p w14:paraId="20B42511">
            <w:pPr>
              <w:spacing w:line="360" w:lineRule="auto"/>
              <w:jc w:val="center"/>
              <w:rPr>
                <w:rFonts w:hint="eastAsia" w:ascii="宋体" w:hAnsi="宋体" w:cs="宋体"/>
                <w:color w:val="000000"/>
                <w:sz w:val="24"/>
                <w:szCs w:val="24"/>
                <w:highlight w:val="none"/>
              </w:rPr>
            </w:pPr>
          </w:p>
        </w:tc>
        <w:tc>
          <w:tcPr>
            <w:tcW w:w="1073" w:type="dxa"/>
            <w:tcBorders>
              <w:top w:val="single" w:color="auto" w:sz="4" w:space="0"/>
              <w:left w:val="single" w:color="auto" w:sz="4" w:space="0"/>
              <w:bottom w:val="single" w:color="auto" w:sz="4" w:space="0"/>
              <w:right w:val="single" w:color="auto" w:sz="4" w:space="0"/>
            </w:tcBorders>
            <w:noWrap w:val="0"/>
            <w:vAlign w:val="center"/>
          </w:tcPr>
          <w:p w14:paraId="7D64CDD1">
            <w:pPr>
              <w:spacing w:line="360" w:lineRule="auto"/>
              <w:jc w:val="center"/>
              <w:rPr>
                <w:rFonts w:hint="eastAsia" w:ascii="宋体" w:hAnsi="宋体" w:cs="宋体"/>
                <w:color w:val="000000"/>
                <w:sz w:val="24"/>
                <w:szCs w:val="24"/>
                <w:highlight w:val="none"/>
              </w:rPr>
            </w:pPr>
          </w:p>
        </w:tc>
        <w:tc>
          <w:tcPr>
            <w:tcW w:w="1289" w:type="dxa"/>
            <w:tcBorders>
              <w:top w:val="single" w:color="auto" w:sz="4" w:space="0"/>
              <w:left w:val="single" w:color="auto" w:sz="4" w:space="0"/>
              <w:bottom w:val="single" w:color="auto" w:sz="4" w:space="0"/>
              <w:right w:val="single" w:color="auto" w:sz="4" w:space="0"/>
            </w:tcBorders>
            <w:noWrap w:val="0"/>
            <w:vAlign w:val="center"/>
          </w:tcPr>
          <w:p w14:paraId="7A2C04FA">
            <w:pPr>
              <w:spacing w:line="360" w:lineRule="auto"/>
              <w:jc w:val="center"/>
              <w:rPr>
                <w:rFonts w:hint="eastAsia" w:ascii="宋体" w:hAnsi="宋体" w:cs="宋体"/>
                <w:color w:val="000000"/>
                <w:sz w:val="24"/>
                <w:szCs w:val="24"/>
                <w:highlight w:val="none"/>
              </w:rPr>
            </w:pPr>
          </w:p>
        </w:tc>
        <w:tc>
          <w:tcPr>
            <w:tcW w:w="1492" w:type="dxa"/>
            <w:tcBorders>
              <w:top w:val="single" w:color="auto" w:sz="4" w:space="0"/>
              <w:left w:val="single" w:color="auto" w:sz="4" w:space="0"/>
              <w:bottom w:val="single" w:color="auto" w:sz="4" w:space="0"/>
              <w:right w:val="single" w:color="auto" w:sz="4" w:space="0"/>
            </w:tcBorders>
            <w:noWrap w:val="0"/>
            <w:vAlign w:val="center"/>
          </w:tcPr>
          <w:p w14:paraId="55CAA5D3">
            <w:pPr>
              <w:spacing w:line="360" w:lineRule="auto"/>
              <w:jc w:val="center"/>
              <w:rPr>
                <w:rFonts w:hint="eastAsia" w:ascii="宋体" w:hAnsi="宋体" w:cs="宋体"/>
                <w:color w:val="000000"/>
                <w:sz w:val="24"/>
                <w:szCs w:val="24"/>
                <w:highlight w:val="none"/>
              </w:rPr>
            </w:pPr>
          </w:p>
        </w:tc>
        <w:tc>
          <w:tcPr>
            <w:tcW w:w="1606" w:type="dxa"/>
            <w:tcBorders>
              <w:top w:val="single" w:color="auto" w:sz="4" w:space="0"/>
              <w:left w:val="single" w:color="auto" w:sz="4" w:space="0"/>
              <w:bottom w:val="single" w:color="auto" w:sz="4" w:space="0"/>
              <w:right w:val="single" w:color="auto" w:sz="4" w:space="0"/>
            </w:tcBorders>
            <w:noWrap w:val="0"/>
            <w:vAlign w:val="center"/>
          </w:tcPr>
          <w:p w14:paraId="645B6CF8">
            <w:pPr>
              <w:spacing w:line="360" w:lineRule="auto"/>
              <w:jc w:val="center"/>
              <w:rPr>
                <w:rFonts w:hint="eastAsia" w:ascii="宋体" w:hAnsi="宋体" w:cs="宋体"/>
                <w:color w:val="000000"/>
                <w:sz w:val="24"/>
                <w:szCs w:val="24"/>
                <w:highlight w:val="none"/>
              </w:rPr>
            </w:pPr>
          </w:p>
        </w:tc>
        <w:tc>
          <w:tcPr>
            <w:tcW w:w="1012" w:type="dxa"/>
            <w:tcBorders>
              <w:top w:val="single" w:color="auto" w:sz="4" w:space="0"/>
              <w:left w:val="single" w:color="auto" w:sz="4" w:space="0"/>
              <w:bottom w:val="single" w:color="auto" w:sz="4" w:space="0"/>
              <w:right w:val="single" w:color="auto" w:sz="4" w:space="0"/>
            </w:tcBorders>
            <w:noWrap w:val="0"/>
            <w:vAlign w:val="center"/>
          </w:tcPr>
          <w:p w14:paraId="1382C3DD">
            <w:pPr>
              <w:spacing w:line="360" w:lineRule="auto"/>
              <w:jc w:val="center"/>
              <w:rPr>
                <w:rFonts w:hint="eastAsia" w:ascii="宋体" w:hAnsi="宋体" w:cs="宋体"/>
                <w:color w:val="000000"/>
                <w:sz w:val="24"/>
                <w:szCs w:val="24"/>
                <w:highlight w:val="none"/>
              </w:rPr>
            </w:pPr>
          </w:p>
        </w:tc>
      </w:tr>
      <w:tr w14:paraId="25CF1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798" w:type="dxa"/>
            <w:tcBorders>
              <w:top w:val="single" w:color="auto" w:sz="4" w:space="0"/>
              <w:left w:val="single" w:color="auto" w:sz="4" w:space="0"/>
              <w:bottom w:val="single" w:color="auto" w:sz="4" w:space="0"/>
              <w:right w:val="single" w:color="auto" w:sz="4" w:space="0"/>
            </w:tcBorders>
            <w:noWrap w:val="0"/>
            <w:vAlign w:val="center"/>
          </w:tcPr>
          <w:p w14:paraId="5F0FDA4F">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3</w:t>
            </w:r>
          </w:p>
        </w:tc>
        <w:tc>
          <w:tcPr>
            <w:tcW w:w="967" w:type="dxa"/>
            <w:tcBorders>
              <w:top w:val="single" w:color="auto" w:sz="4" w:space="0"/>
              <w:left w:val="single" w:color="auto" w:sz="4" w:space="0"/>
              <w:bottom w:val="single" w:color="auto" w:sz="4" w:space="0"/>
              <w:right w:val="single" w:color="auto" w:sz="4" w:space="0"/>
            </w:tcBorders>
            <w:noWrap w:val="0"/>
            <w:vAlign w:val="center"/>
          </w:tcPr>
          <w:p w14:paraId="27E8DCEA">
            <w:pPr>
              <w:spacing w:line="360" w:lineRule="auto"/>
              <w:jc w:val="center"/>
              <w:rPr>
                <w:rFonts w:hint="eastAsia" w:ascii="宋体" w:hAnsi="宋体" w:cs="宋体"/>
                <w:color w:val="000000"/>
                <w:sz w:val="24"/>
                <w:szCs w:val="24"/>
                <w:highlight w:val="none"/>
              </w:rPr>
            </w:pPr>
          </w:p>
        </w:tc>
        <w:tc>
          <w:tcPr>
            <w:tcW w:w="1073" w:type="dxa"/>
            <w:tcBorders>
              <w:top w:val="single" w:color="auto" w:sz="4" w:space="0"/>
              <w:left w:val="single" w:color="auto" w:sz="4" w:space="0"/>
              <w:bottom w:val="single" w:color="auto" w:sz="4" w:space="0"/>
              <w:right w:val="single" w:color="auto" w:sz="4" w:space="0"/>
            </w:tcBorders>
            <w:noWrap w:val="0"/>
            <w:vAlign w:val="center"/>
          </w:tcPr>
          <w:p w14:paraId="7FDAA6CC">
            <w:pPr>
              <w:spacing w:line="360" w:lineRule="auto"/>
              <w:jc w:val="center"/>
              <w:rPr>
                <w:rFonts w:hint="eastAsia" w:ascii="宋体" w:hAnsi="宋体" w:cs="宋体"/>
                <w:color w:val="000000"/>
                <w:sz w:val="24"/>
                <w:szCs w:val="24"/>
                <w:highlight w:val="none"/>
              </w:rPr>
            </w:pPr>
          </w:p>
        </w:tc>
        <w:tc>
          <w:tcPr>
            <w:tcW w:w="1289" w:type="dxa"/>
            <w:tcBorders>
              <w:top w:val="single" w:color="auto" w:sz="4" w:space="0"/>
              <w:left w:val="single" w:color="auto" w:sz="4" w:space="0"/>
              <w:bottom w:val="single" w:color="auto" w:sz="4" w:space="0"/>
              <w:right w:val="single" w:color="auto" w:sz="4" w:space="0"/>
            </w:tcBorders>
            <w:noWrap w:val="0"/>
            <w:vAlign w:val="center"/>
          </w:tcPr>
          <w:p w14:paraId="5E472795">
            <w:pPr>
              <w:spacing w:line="360" w:lineRule="auto"/>
              <w:jc w:val="center"/>
              <w:rPr>
                <w:rFonts w:hint="eastAsia" w:ascii="宋体" w:hAnsi="宋体" w:cs="宋体"/>
                <w:color w:val="000000"/>
                <w:sz w:val="24"/>
                <w:szCs w:val="24"/>
                <w:highlight w:val="none"/>
              </w:rPr>
            </w:pPr>
          </w:p>
        </w:tc>
        <w:tc>
          <w:tcPr>
            <w:tcW w:w="1492" w:type="dxa"/>
            <w:tcBorders>
              <w:top w:val="single" w:color="auto" w:sz="4" w:space="0"/>
              <w:left w:val="single" w:color="auto" w:sz="4" w:space="0"/>
              <w:bottom w:val="single" w:color="auto" w:sz="4" w:space="0"/>
              <w:right w:val="single" w:color="auto" w:sz="4" w:space="0"/>
            </w:tcBorders>
            <w:noWrap w:val="0"/>
            <w:vAlign w:val="center"/>
          </w:tcPr>
          <w:p w14:paraId="685B4DD0">
            <w:pPr>
              <w:spacing w:line="360" w:lineRule="auto"/>
              <w:jc w:val="center"/>
              <w:rPr>
                <w:rFonts w:hint="eastAsia" w:ascii="宋体" w:hAnsi="宋体" w:cs="宋体"/>
                <w:color w:val="000000"/>
                <w:sz w:val="24"/>
                <w:szCs w:val="24"/>
                <w:highlight w:val="none"/>
              </w:rPr>
            </w:pPr>
          </w:p>
        </w:tc>
        <w:tc>
          <w:tcPr>
            <w:tcW w:w="1606" w:type="dxa"/>
            <w:tcBorders>
              <w:top w:val="single" w:color="auto" w:sz="4" w:space="0"/>
              <w:left w:val="single" w:color="auto" w:sz="4" w:space="0"/>
              <w:bottom w:val="single" w:color="auto" w:sz="4" w:space="0"/>
              <w:right w:val="single" w:color="auto" w:sz="4" w:space="0"/>
            </w:tcBorders>
            <w:noWrap w:val="0"/>
            <w:vAlign w:val="center"/>
          </w:tcPr>
          <w:p w14:paraId="69E60688">
            <w:pPr>
              <w:spacing w:line="360" w:lineRule="auto"/>
              <w:jc w:val="center"/>
              <w:rPr>
                <w:rFonts w:hint="eastAsia" w:ascii="宋体" w:hAnsi="宋体" w:cs="宋体"/>
                <w:color w:val="000000"/>
                <w:sz w:val="24"/>
                <w:szCs w:val="24"/>
                <w:highlight w:val="none"/>
              </w:rPr>
            </w:pPr>
          </w:p>
        </w:tc>
        <w:tc>
          <w:tcPr>
            <w:tcW w:w="1012" w:type="dxa"/>
            <w:tcBorders>
              <w:top w:val="single" w:color="auto" w:sz="4" w:space="0"/>
              <w:left w:val="single" w:color="auto" w:sz="4" w:space="0"/>
              <w:bottom w:val="single" w:color="auto" w:sz="4" w:space="0"/>
              <w:right w:val="single" w:color="auto" w:sz="4" w:space="0"/>
            </w:tcBorders>
            <w:noWrap w:val="0"/>
            <w:vAlign w:val="center"/>
          </w:tcPr>
          <w:p w14:paraId="2F5629C8">
            <w:pPr>
              <w:spacing w:line="360" w:lineRule="auto"/>
              <w:jc w:val="center"/>
              <w:rPr>
                <w:rFonts w:hint="eastAsia" w:ascii="宋体" w:hAnsi="宋体" w:cs="宋体"/>
                <w:color w:val="000000"/>
                <w:sz w:val="24"/>
                <w:szCs w:val="24"/>
                <w:highlight w:val="none"/>
              </w:rPr>
            </w:pPr>
          </w:p>
        </w:tc>
      </w:tr>
      <w:tr w14:paraId="21FBA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798" w:type="dxa"/>
            <w:tcBorders>
              <w:top w:val="single" w:color="auto" w:sz="4" w:space="0"/>
              <w:left w:val="single" w:color="auto" w:sz="4" w:space="0"/>
              <w:bottom w:val="single" w:color="auto" w:sz="4" w:space="0"/>
              <w:right w:val="single" w:color="auto" w:sz="4" w:space="0"/>
            </w:tcBorders>
            <w:noWrap w:val="0"/>
            <w:vAlign w:val="center"/>
          </w:tcPr>
          <w:p w14:paraId="29F11B41">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4</w:t>
            </w:r>
          </w:p>
        </w:tc>
        <w:tc>
          <w:tcPr>
            <w:tcW w:w="967" w:type="dxa"/>
            <w:tcBorders>
              <w:top w:val="single" w:color="auto" w:sz="4" w:space="0"/>
              <w:left w:val="single" w:color="auto" w:sz="4" w:space="0"/>
              <w:bottom w:val="single" w:color="auto" w:sz="4" w:space="0"/>
              <w:right w:val="single" w:color="auto" w:sz="4" w:space="0"/>
            </w:tcBorders>
            <w:noWrap w:val="0"/>
            <w:vAlign w:val="center"/>
          </w:tcPr>
          <w:p w14:paraId="16D430DE">
            <w:pPr>
              <w:spacing w:line="360" w:lineRule="auto"/>
              <w:jc w:val="center"/>
              <w:rPr>
                <w:rFonts w:hint="eastAsia" w:ascii="宋体" w:hAnsi="宋体" w:cs="宋体"/>
                <w:color w:val="000000"/>
                <w:sz w:val="24"/>
                <w:szCs w:val="24"/>
                <w:highlight w:val="none"/>
              </w:rPr>
            </w:pPr>
          </w:p>
        </w:tc>
        <w:tc>
          <w:tcPr>
            <w:tcW w:w="1073" w:type="dxa"/>
            <w:tcBorders>
              <w:top w:val="single" w:color="auto" w:sz="4" w:space="0"/>
              <w:left w:val="single" w:color="auto" w:sz="4" w:space="0"/>
              <w:bottom w:val="single" w:color="auto" w:sz="4" w:space="0"/>
              <w:right w:val="single" w:color="auto" w:sz="4" w:space="0"/>
            </w:tcBorders>
            <w:noWrap w:val="0"/>
            <w:vAlign w:val="center"/>
          </w:tcPr>
          <w:p w14:paraId="03DEE266">
            <w:pPr>
              <w:spacing w:line="360" w:lineRule="auto"/>
              <w:jc w:val="center"/>
              <w:rPr>
                <w:rFonts w:hint="eastAsia" w:ascii="宋体" w:hAnsi="宋体" w:cs="宋体"/>
                <w:color w:val="000000"/>
                <w:sz w:val="24"/>
                <w:szCs w:val="24"/>
                <w:highlight w:val="none"/>
              </w:rPr>
            </w:pPr>
          </w:p>
        </w:tc>
        <w:tc>
          <w:tcPr>
            <w:tcW w:w="1289" w:type="dxa"/>
            <w:tcBorders>
              <w:top w:val="single" w:color="auto" w:sz="4" w:space="0"/>
              <w:left w:val="single" w:color="auto" w:sz="4" w:space="0"/>
              <w:bottom w:val="single" w:color="auto" w:sz="4" w:space="0"/>
              <w:right w:val="single" w:color="auto" w:sz="4" w:space="0"/>
            </w:tcBorders>
            <w:noWrap w:val="0"/>
            <w:vAlign w:val="center"/>
          </w:tcPr>
          <w:p w14:paraId="5B2313DD">
            <w:pPr>
              <w:spacing w:line="360" w:lineRule="auto"/>
              <w:jc w:val="center"/>
              <w:rPr>
                <w:rFonts w:hint="eastAsia" w:ascii="宋体" w:hAnsi="宋体" w:cs="宋体"/>
                <w:color w:val="000000"/>
                <w:sz w:val="24"/>
                <w:szCs w:val="24"/>
                <w:highlight w:val="none"/>
              </w:rPr>
            </w:pPr>
          </w:p>
        </w:tc>
        <w:tc>
          <w:tcPr>
            <w:tcW w:w="1492" w:type="dxa"/>
            <w:tcBorders>
              <w:top w:val="single" w:color="auto" w:sz="4" w:space="0"/>
              <w:left w:val="single" w:color="auto" w:sz="4" w:space="0"/>
              <w:bottom w:val="single" w:color="auto" w:sz="4" w:space="0"/>
              <w:right w:val="single" w:color="auto" w:sz="4" w:space="0"/>
            </w:tcBorders>
            <w:noWrap w:val="0"/>
            <w:vAlign w:val="center"/>
          </w:tcPr>
          <w:p w14:paraId="46B9263E">
            <w:pPr>
              <w:spacing w:line="360" w:lineRule="auto"/>
              <w:jc w:val="center"/>
              <w:rPr>
                <w:rFonts w:hint="eastAsia" w:ascii="宋体" w:hAnsi="宋体" w:cs="宋体"/>
                <w:color w:val="000000"/>
                <w:sz w:val="24"/>
                <w:szCs w:val="24"/>
                <w:highlight w:val="none"/>
              </w:rPr>
            </w:pPr>
          </w:p>
        </w:tc>
        <w:tc>
          <w:tcPr>
            <w:tcW w:w="1606" w:type="dxa"/>
            <w:tcBorders>
              <w:top w:val="single" w:color="auto" w:sz="4" w:space="0"/>
              <w:left w:val="single" w:color="auto" w:sz="4" w:space="0"/>
              <w:bottom w:val="single" w:color="auto" w:sz="4" w:space="0"/>
              <w:right w:val="single" w:color="auto" w:sz="4" w:space="0"/>
            </w:tcBorders>
            <w:noWrap w:val="0"/>
            <w:vAlign w:val="center"/>
          </w:tcPr>
          <w:p w14:paraId="094373B9">
            <w:pPr>
              <w:spacing w:line="360" w:lineRule="auto"/>
              <w:jc w:val="center"/>
              <w:rPr>
                <w:rFonts w:hint="eastAsia" w:ascii="宋体" w:hAnsi="宋体" w:cs="宋体"/>
                <w:color w:val="000000"/>
                <w:sz w:val="24"/>
                <w:szCs w:val="24"/>
                <w:highlight w:val="none"/>
              </w:rPr>
            </w:pPr>
          </w:p>
        </w:tc>
        <w:tc>
          <w:tcPr>
            <w:tcW w:w="1012" w:type="dxa"/>
            <w:tcBorders>
              <w:top w:val="single" w:color="auto" w:sz="4" w:space="0"/>
              <w:left w:val="single" w:color="auto" w:sz="4" w:space="0"/>
              <w:bottom w:val="single" w:color="auto" w:sz="4" w:space="0"/>
              <w:right w:val="single" w:color="auto" w:sz="4" w:space="0"/>
            </w:tcBorders>
            <w:noWrap w:val="0"/>
            <w:vAlign w:val="center"/>
          </w:tcPr>
          <w:p w14:paraId="00C65F8F">
            <w:pPr>
              <w:spacing w:line="360" w:lineRule="auto"/>
              <w:jc w:val="center"/>
              <w:rPr>
                <w:rFonts w:hint="eastAsia" w:ascii="宋体" w:hAnsi="宋体" w:cs="宋体"/>
                <w:color w:val="000000"/>
                <w:sz w:val="24"/>
                <w:szCs w:val="24"/>
                <w:highlight w:val="none"/>
              </w:rPr>
            </w:pPr>
          </w:p>
        </w:tc>
      </w:tr>
      <w:tr w14:paraId="6A257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798" w:type="dxa"/>
            <w:tcBorders>
              <w:top w:val="single" w:color="auto" w:sz="4" w:space="0"/>
              <w:left w:val="single" w:color="auto" w:sz="4" w:space="0"/>
              <w:bottom w:val="single" w:color="auto" w:sz="4" w:space="0"/>
              <w:right w:val="single" w:color="auto" w:sz="4" w:space="0"/>
            </w:tcBorders>
            <w:noWrap w:val="0"/>
            <w:vAlign w:val="center"/>
          </w:tcPr>
          <w:p w14:paraId="1C7E13AB">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5</w:t>
            </w:r>
          </w:p>
        </w:tc>
        <w:tc>
          <w:tcPr>
            <w:tcW w:w="967" w:type="dxa"/>
            <w:tcBorders>
              <w:top w:val="single" w:color="auto" w:sz="4" w:space="0"/>
              <w:left w:val="single" w:color="auto" w:sz="4" w:space="0"/>
              <w:bottom w:val="single" w:color="auto" w:sz="4" w:space="0"/>
              <w:right w:val="single" w:color="auto" w:sz="4" w:space="0"/>
            </w:tcBorders>
            <w:noWrap w:val="0"/>
            <w:vAlign w:val="center"/>
          </w:tcPr>
          <w:p w14:paraId="106FDF2E">
            <w:pPr>
              <w:spacing w:line="360" w:lineRule="auto"/>
              <w:jc w:val="center"/>
              <w:rPr>
                <w:rFonts w:hint="eastAsia" w:ascii="宋体" w:hAnsi="宋体" w:cs="宋体"/>
                <w:color w:val="000000"/>
                <w:sz w:val="24"/>
                <w:szCs w:val="24"/>
                <w:highlight w:val="none"/>
              </w:rPr>
            </w:pPr>
          </w:p>
        </w:tc>
        <w:tc>
          <w:tcPr>
            <w:tcW w:w="1073" w:type="dxa"/>
            <w:tcBorders>
              <w:top w:val="single" w:color="auto" w:sz="4" w:space="0"/>
              <w:left w:val="single" w:color="auto" w:sz="4" w:space="0"/>
              <w:bottom w:val="single" w:color="auto" w:sz="4" w:space="0"/>
              <w:right w:val="single" w:color="auto" w:sz="4" w:space="0"/>
            </w:tcBorders>
            <w:noWrap w:val="0"/>
            <w:vAlign w:val="center"/>
          </w:tcPr>
          <w:p w14:paraId="119EF68E">
            <w:pPr>
              <w:spacing w:line="360" w:lineRule="auto"/>
              <w:jc w:val="center"/>
              <w:rPr>
                <w:rFonts w:hint="eastAsia" w:ascii="宋体" w:hAnsi="宋体" w:cs="宋体"/>
                <w:color w:val="000000"/>
                <w:sz w:val="24"/>
                <w:szCs w:val="24"/>
                <w:highlight w:val="none"/>
              </w:rPr>
            </w:pPr>
          </w:p>
        </w:tc>
        <w:tc>
          <w:tcPr>
            <w:tcW w:w="1289" w:type="dxa"/>
            <w:tcBorders>
              <w:top w:val="single" w:color="auto" w:sz="4" w:space="0"/>
              <w:left w:val="single" w:color="auto" w:sz="4" w:space="0"/>
              <w:bottom w:val="single" w:color="auto" w:sz="4" w:space="0"/>
              <w:right w:val="single" w:color="auto" w:sz="4" w:space="0"/>
            </w:tcBorders>
            <w:noWrap w:val="0"/>
            <w:vAlign w:val="center"/>
          </w:tcPr>
          <w:p w14:paraId="5A859AD9">
            <w:pPr>
              <w:spacing w:line="360" w:lineRule="auto"/>
              <w:jc w:val="center"/>
              <w:rPr>
                <w:rFonts w:hint="eastAsia" w:ascii="宋体" w:hAnsi="宋体" w:cs="宋体"/>
                <w:color w:val="000000"/>
                <w:sz w:val="24"/>
                <w:szCs w:val="24"/>
                <w:highlight w:val="none"/>
              </w:rPr>
            </w:pPr>
          </w:p>
        </w:tc>
        <w:tc>
          <w:tcPr>
            <w:tcW w:w="1492" w:type="dxa"/>
            <w:tcBorders>
              <w:top w:val="single" w:color="auto" w:sz="4" w:space="0"/>
              <w:left w:val="single" w:color="auto" w:sz="4" w:space="0"/>
              <w:bottom w:val="single" w:color="auto" w:sz="4" w:space="0"/>
              <w:right w:val="single" w:color="auto" w:sz="4" w:space="0"/>
            </w:tcBorders>
            <w:noWrap w:val="0"/>
            <w:vAlign w:val="center"/>
          </w:tcPr>
          <w:p w14:paraId="67CA2426">
            <w:pPr>
              <w:spacing w:line="360" w:lineRule="auto"/>
              <w:jc w:val="center"/>
              <w:rPr>
                <w:rFonts w:hint="eastAsia" w:ascii="宋体" w:hAnsi="宋体" w:cs="宋体"/>
                <w:color w:val="000000"/>
                <w:sz w:val="24"/>
                <w:szCs w:val="24"/>
                <w:highlight w:val="none"/>
              </w:rPr>
            </w:pPr>
          </w:p>
        </w:tc>
        <w:tc>
          <w:tcPr>
            <w:tcW w:w="1606" w:type="dxa"/>
            <w:tcBorders>
              <w:top w:val="single" w:color="auto" w:sz="4" w:space="0"/>
              <w:left w:val="single" w:color="auto" w:sz="4" w:space="0"/>
              <w:bottom w:val="single" w:color="auto" w:sz="4" w:space="0"/>
              <w:right w:val="single" w:color="auto" w:sz="4" w:space="0"/>
            </w:tcBorders>
            <w:noWrap w:val="0"/>
            <w:vAlign w:val="center"/>
          </w:tcPr>
          <w:p w14:paraId="053D6F21">
            <w:pPr>
              <w:spacing w:line="360" w:lineRule="auto"/>
              <w:jc w:val="center"/>
              <w:rPr>
                <w:rFonts w:hint="eastAsia" w:ascii="宋体" w:hAnsi="宋体" w:cs="宋体"/>
                <w:color w:val="000000"/>
                <w:sz w:val="24"/>
                <w:szCs w:val="24"/>
                <w:highlight w:val="none"/>
              </w:rPr>
            </w:pPr>
          </w:p>
        </w:tc>
        <w:tc>
          <w:tcPr>
            <w:tcW w:w="1012" w:type="dxa"/>
            <w:tcBorders>
              <w:top w:val="single" w:color="auto" w:sz="4" w:space="0"/>
              <w:left w:val="single" w:color="auto" w:sz="4" w:space="0"/>
              <w:bottom w:val="single" w:color="auto" w:sz="4" w:space="0"/>
              <w:right w:val="single" w:color="auto" w:sz="4" w:space="0"/>
            </w:tcBorders>
            <w:noWrap w:val="0"/>
            <w:vAlign w:val="center"/>
          </w:tcPr>
          <w:p w14:paraId="4120377E">
            <w:pPr>
              <w:spacing w:line="360" w:lineRule="auto"/>
              <w:jc w:val="center"/>
              <w:rPr>
                <w:rFonts w:hint="eastAsia" w:ascii="宋体" w:hAnsi="宋体" w:cs="宋体"/>
                <w:color w:val="000000"/>
                <w:sz w:val="24"/>
                <w:szCs w:val="24"/>
                <w:highlight w:val="none"/>
              </w:rPr>
            </w:pPr>
          </w:p>
        </w:tc>
      </w:tr>
      <w:tr w14:paraId="23867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98" w:type="dxa"/>
            <w:tcBorders>
              <w:top w:val="single" w:color="auto" w:sz="4" w:space="0"/>
              <w:left w:val="single" w:color="auto" w:sz="4" w:space="0"/>
              <w:bottom w:val="single" w:color="auto" w:sz="4" w:space="0"/>
              <w:right w:val="single" w:color="auto" w:sz="4" w:space="0"/>
            </w:tcBorders>
            <w:noWrap w:val="0"/>
            <w:vAlign w:val="center"/>
          </w:tcPr>
          <w:p w14:paraId="522F2978">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6</w:t>
            </w:r>
          </w:p>
        </w:tc>
        <w:tc>
          <w:tcPr>
            <w:tcW w:w="967" w:type="dxa"/>
            <w:tcBorders>
              <w:top w:val="single" w:color="auto" w:sz="4" w:space="0"/>
              <w:left w:val="single" w:color="auto" w:sz="4" w:space="0"/>
              <w:bottom w:val="single" w:color="auto" w:sz="4" w:space="0"/>
              <w:right w:val="single" w:color="auto" w:sz="4" w:space="0"/>
            </w:tcBorders>
            <w:noWrap w:val="0"/>
            <w:vAlign w:val="center"/>
          </w:tcPr>
          <w:p w14:paraId="6C2FE066">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w:t>
            </w:r>
          </w:p>
        </w:tc>
        <w:tc>
          <w:tcPr>
            <w:tcW w:w="1073" w:type="dxa"/>
            <w:tcBorders>
              <w:top w:val="single" w:color="auto" w:sz="4" w:space="0"/>
              <w:left w:val="single" w:color="auto" w:sz="4" w:space="0"/>
              <w:bottom w:val="single" w:color="auto" w:sz="4" w:space="0"/>
              <w:right w:val="single" w:color="auto" w:sz="4" w:space="0"/>
            </w:tcBorders>
            <w:noWrap w:val="0"/>
            <w:vAlign w:val="center"/>
          </w:tcPr>
          <w:p w14:paraId="4B7BA97F">
            <w:pPr>
              <w:spacing w:line="360" w:lineRule="auto"/>
              <w:jc w:val="center"/>
              <w:rPr>
                <w:rFonts w:hint="eastAsia" w:ascii="宋体" w:hAnsi="宋体" w:cs="宋体"/>
                <w:color w:val="000000"/>
                <w:sz w:val="24"/>
                <w:szCs w:val="24"/>
                <w:highlight w:val="none"/>
              </w:rPr>
            </w:pPr>
          </w:p>
        </w:tc>
        <w:tc>
          <w:tcPr>
            <w:tcW w:w="1289" w:type="dxa"/>
            <w:tcBorders>
              <w:top w:val="single" w:color="auto" w:sz="4" w:space="0"/>
              <w:left w:val="single" w:color="auto" w:sz="4" w:space="0"/>
              <w:bottom w:val="single" w:color="auto" w:sz="4" w:space="0"/>
              <w:right w:val="single" w:color="auto" w:sz="4" w:space="0"/>
            </w:tcBorders>
            <w:noWrap w:val="0"/>
            <w:vAlign w:val="center"/>
          </w:tcPr>
          <w:p w14:paraId="79178B10">
            <w:pPr>
              <w:spacing w:line="360" w:lineRule="auto"/>
              <w:jc w:val="center"/>
              <w:rPr>
                <w:rFonts w:hint="eastAsia" w:ascii="宋体" w:hAnsi="宋体" w:cs="宋体"/>
                <w:color w:val="000000"/>
                <w:sz w:val="24"/>
                <w:szCs w:val="24"/>
                <w:highlight w:val="none"/>
              </w:rPr>
            </w:pPr>
          </w:p>
        </w:tc>
        <w:tc>
          <w:tcPr>
            <w:tcW w:w="1492" w:type="dxa"/>
            <w:tcBorders>
              <w:top w:val="single" w:color="auto" w:sz="4" w:space="0"/>
              <w:left w:val="single" w:color="auto" w:sz="4" w:space="0"/>
              <w:bottom w:val="single" w:color="auto" w:sz="4" w:space="0"/>
              <w:right w:val="single" w:color="auto" w:sz="4" w:space="0"/>
            </w:tcBorders>
            <w:noWrap w:val="0"/>
            <w:vAlign w:val="center"/>
          </w:tcPr>
          <w:p w14:paraId="6A537E77">
            <w:pPr>
              <w:spacing w:line="360" w:lineRule="auto"/>
              <w:jc w:val="center"/>
              <w:rPr>
                <w:rFonts w:hint="eastAsia" w:ascii="宋体" w:hAnsi="宋体" w:cs="宋体"/>
                <w:color w:val="000000"/>
                <w:sz w:val="24"/>
                <w:szCs w:val="24"/>
                <w:highlight w:val="none"/>
              </w:rPr>
            </w:pPr>
          </w:p>
        </w:tc>
        <w:tc>
          <w:tcPr>
            <w:tcW w:w="1606" w:type="dxa"/>
            <w:tcBorders>
              <w:top w:val="single" w:color="auto" w:sz="4" w:space="0"/>
              <w:left w:val="single" w:color="auto" w:sz="4" w:space="0"/>
              <w:bottom w:val="single" w:color="auto" w:sz="4" w:space="0"/>
              <w:right w:val="single" w:color="auto" w:sz="4" w:space="0"/>
            </w:tcBorders>
            <w:noWrap w:val="0"/>
            <w:vAlign w:val="center"/>
          </w:tcPr>
          <w:p w14:paraId="31889D40">
            <w:pPr>
              <w:spacing w:line="360" w:lineRule="auto"/>
              <w:jc w:val="center"/>
              <w:rPr>
                <w:rFonts w:hint="eastAsia" w:ascii="宋体" w:hAnsi="宋体" w:cs="宋体"/>
                <w:color w:val="000000"/>
                <w:sz w:val="24"/>
                <w:szCs w:val="24"/>
                <w:highlight w:val="none"/>
              </w:rPr>
            </w:pPr>
          </w:p>
        </w:tc>
        <w:tc>
          <w:tcPr>
            <w:tcW w:w="1012" w:type="dxa"/>
            <w:tcBorders>
              <w:top w:val="single" w:color="auto" w:sz="4" w:space="0"/>
              <w:left w:val="single" w:color="auto" w:sz="4" w:space="0"/>
              <w:bottom w:val="single" w:color="auto" w:sz="4" w:space="0"/>
              <w:right w:val="single" w:color="auto" w:sz="4" w:space="0"/>
            </w:tcBorders>
            <w:noWrap w:val="0"/>
            <w:vAlign w:val="center"/>
          </w:tcPr>
          <w:p w14:paraId="534B4A11">
            <w:pPr>
              <w:spacing w:line="360" w:lineRule="auto"/>
              <w:jc w:val="center"/>
              <w:rPr>
                <w:rFonts w:hint="eastAsia" w:ascii="宋体" w:hAnsi="宋体" w:cs="宋体"/>
                <w:color w:val="000000"/>
                <w:sz w:val="24"/>
                <w:szCs w:val="24"/>
                <w:highlight w:val="none"/>
              </w:rPr>
            </w:pPr>
          </w:p>
        </w:tc>
      </w:tr>
    </w:tbl>
    <w:p w14:paraId="4C5AC79F">
      <w:pPr>
        <w:ind w:firstLine="460"/>
        <w:jc w:val="left"/>
        <w:rPr>
          <w:rFonts w:ascii="宋体" w:hAnsi="宋体" w:cs="宋体"/>
          <w:b/>
          <w:bCs/>
          <w:color w:val="000000"/>
          <w:sz w:val="24"/>
          <w:szCs w:val="24"/>
          <w:highlight w:val="none"/>
        </w:rPr>
        <w:sectPr>
          <w:headerReference r:id="rId19" w:type="default"/>
          <w:footerReference r:id="rId20"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cs="宋体"/>
          <w:b/>
          <w:bCs/>
          <w:color w:val="000000"/>
          <w:sz w:val="24"/>
          <w:szCs w:val="24"/>
          <w:highlight w:val="none"/>
        </w:rPr>
        <w:t>注：后附相关证明材料，具体要求以第四章 评审办法内容为准。</w:t>
      </w:r>
    </w:p>
    <w:p w14:paraId="59226A00">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附件8.2业绩表</w:t>
      </w:r>
    </w:p>
    <w:p w14:paraId="27D6ADFB">
      <w:pPr>
        <w:rPr>
          <w:rFonts w:hint="eastAsia" w:ascii="宋体" w:hAnsi="宋体" w:cs="宋体"/>
          <w:b/>
          <w:bCs/>
          <w:color w:val="000000"/>
          <w:sz w:val="24"/>
          <w:szCs w:val="24"/>
          <w:highlight w:val="none"/>
        </w:rPr>
      </w:pPr>
    </w:p>
    <w:p w14:paraId="1BAF9A22">
      <w:pPr>
        <w:pStyle w:val="14"/>
        <w:jc w:val="center"/>
        <w:rPr>
          <w:rFonts w:hint="eastAsia" w:ascii="宋体" w:hAnsi="宋体"/>
          <w:b/>
          <w:bCs/>
          <w:color w:val="000000"/>
          <w:sz w:val="28"/>
          <w:szCs w:val="28"/>
          <w:highlight w:val="none"/>
        </w:rPr>
      </w:pPr>
      <w:r>
        <w:rPr>
          <w:rFonts w:hint="eastAsia" w:ascii="宋体" w:hAnsi="宋体"/>
          <w:b/>
          <w:bCs/>
          <w:color w:val="000000"/>
          <w:sz w:val="28"/>
          <w:szCs w:val="28"/>
          <w:highlight w:val="none"/>
        </w:rPr>
        <w:t>业绩表</w:t>
      </w:r>
    </w:p>
    <w:p w14:paraId="089C6598">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项目名称：</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w:t>
      </w:r>
    </w:p>
    <w:p w14:paraId="12C110D1">
      <w:pPr>
        <w:spacing w:line="360" w:lineRule="auto"/>
        <w:rPr>
          <w:rFonts w:hint="eastAsia" w:ascii="宋体" w:hAnsi="宋体"/>
          <w:bCs/>
          <w:color w:val="000000"/>
          <w:sz w:val="24"/>
          <w:szCs w:val="24"/>
          <w:highlight w:val="none"/>
          <w:u w:val="single"/>
        </w:rPr>
      </w:pPr>
      <w:r>
        <w:rPr>
          <w:rFonts w:hint="eastAsia" w:ascii="宋体" w:hAnsi="宋体"/>
          <w:bCs/>
          <w:color w:val="000000"/>
          <w:sz w:val="24"/>
          <w:szCs w:val="24"/>
          <w:highlight w:val="none"/>
        </w:rPr>
        <w:t>项目编号：</w:t>
      </w:r>
      <w:r>
        <w:rPr>
          <w:rFonts w:hint="eastAsia" w:ascii="宋体" w:hAnsi="宋体"/>
          <w:bCs/>
          <w:color w:val="000000"/>
          <w:sz w:val="24"/>
          <w:szCs w:val="24"/>
          <w:highlight w:val="none"/>
          <w:u w:val="single"/>
        </w:rPr>
        <w:t xml:space="preserve">                      </w:t>
      </w:r>
    </w:p>
    <w:tbl>
      <w:tblPr>
        <w:tblStyle w:val="39"/>
        <w:tblW w:w="8376" w:type="dxa"/>
        <w:jc w:val="center"/>
        <w:tblLayout w:type="fixed"/>
        <w:tblCellMar>
          <w:top w:w="0" w:type="dxa"/>
          <w:left w:w="0" w:type="dxa"/>
          <w:bottom w:w="0" w:type="dxa"/>
          <w:right w:w="0" w:type="dxa"/>
        </w:tblCellMar>
      </w:tblPr>
      <w:tblGrid>
        <w:gridCol w:w="651"/>
        <w:gridCol w:w="1813"/>
        <w:gridCol w:w="1110"/>
        <w:gridCol w:w="1127"/>
        <w:gridCol w:w="1306"/>
        <w:gridCol w:w="1354"/>
        <w:gridCol w:w="1015"/>
      </w:tblGrid>
      <w:tr w14:paraId="221FE182">
        <w:tblPrEx>
          <w:tblCellMar>
            <w:top w:w="0" w:type="dxa"/>
            <w:left w:w="0" w:type="dxa"/>
            <w:bottom w:w="0" w:type="dxa"/>
            <w:right w:w="0" w:type="dxa"/>
          </w:tblCellMar>
        </w:tblPrEx>
        <w:trPr>
          <w:trHeight w:val="777" w:hRule="atLeast"/>
          <w:jc w:val="center"/>
        </w:trPr>
        <w:tc>
          <w:tcPr>
            <w:tcW w:w="651"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7C418BD9">
            <w:pPr>
              <w:adjustRightInd w:val="0"/>
              <w:snapToGrid w:val="0"/>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序号</w:t>
            </w:r>
          </w:p>
        </w:tc>
        <w:tc>
          <w:tcPr>
            <w:tcW w:w="1813"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4437A6EE">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合同签订时间</w:t>
            </w:r>
          </w:p>
        </w:tc>
        <w:tc>
          <w:tcPr>
            <w:tcW w:w="1110"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172FCB49">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买方名称</w:t>
            </w:r>
          </w:p>
        </w:tc>
        <w:tc>
          <w:tcPr>
            <w:tcW w:w="1127"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22ABADAB">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项目名称</w:t>
            </w:r>
          </w:p>
        </w:tc>
        <w:tc>
          <w:tcPr>
            <w:tcW w:w="1306"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6F27B9B9">
            <w:pPr>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主要标的</w:t>
            </w:r>
          </w:p>
        </w:tc>
        <w:tc>
          <w:tcPr>
            <w:tcW w:w="1354"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306BFE2B">
            <w:pPr>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合同金额</w:t>
            </w:r>
          </w:p>
        </w:tc>
        <w:tc>
          <w:tcPr>
            <w:tcW w:w="1015"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068FA5A1">
            <w:pPr>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备注</w:t>
            </w:r>
          </w:p>
        </w:tc>
      </w:tr>
      <w:tr w14:paraId="7FBAEC14">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4B507D48">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7C4F8A27">
            <w:pPr>
              <w:spacing w:before="156" w:after="156"/>
              <w:jc w:val="center"/>
              <w:rPr>
                <w:rFonts w:hint="eastAsia" w:ascii="宋体" w:hAnsi="宋体" w:cs="宋体"/>
                <w:color w:val="000000"/>
                <w:sz w:val="24"/>
                <w:szCs w:val="24"/>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D4009B2">
            <w:pPr>
              <w:spacing w:before="156" w:after="156"/>
              <w:jc w:val="center"/>
              <w:rPr>
                <w:rFonts w:hint="eastAsia" w:ascii="宋体" w:hAnsi="宋体" w:cs="宋体"/>
                <w:color w:val="000000"/>
                <w:sz w:val="24"/>
                <w:szCs w:val="24"/>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4CE6D85">
            <w:pPr>
              <w:spacing w:before="156" w:after="156"/>
              <w:jc w:val="center"/>
              <w:rPr>
                <w:rFonts w:hint="eastAsia" w:ascii="宋体" w:hAnsi="宋体" w:cs="宋体"/>
                <w:color w:val="000000"/>
                <w:sz w:val="24"/>
                <w:szCs w:val="24"/>
                <w:highlight w:val="none"/>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94EE357">
            <w:pPr>
              <w:spacing w:before="156" w:after="156"/>
              <w:jc w:val="center"/>
              <w:rPr>
                <w:rFonts w:hint="eastAsia" w:ascii="宋体" w:hAnsi="宋体" w:cs="宋体"/>
                <w:color w:val="000000"/>
                <w:sz w:val="24"/>
                <w:szCs w:val="24"/>
                <w:highlight w:val="none"/>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753945A">
            <w:pPr>
              <w:spacing w:before="156" w:after="156"/>
              <w:jc w:val="center"/>
              <w:rPr>
                <w:rFonts w:hint="eastAsia" w:ascii="宋体" w:hAnsi="宋体" w:cs="宋体"/>
                <w:color w:val="000000"/>
                <w:sz w:val="24"/>
                <w:szCs w:val="24"/>
                <w:highlight w:val="none"/>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D25B068">
            <w:pPr>
              <w:spacing w:before="156" w:after="156"/>
              <w:jc w:val="center"/>
              <w:rPr>
                <w:rFonts w:hint="eastAsia" w:ascii="宋体" w:hAnsi="宋体" w:cs="宋体"/>
                <w:color w:val="000000"/>
                <w:sz w:val="24"/>
                <w:szCs w:val="24"/>
                <w:highlight w:val="none"/>
              </w:rPr>
            </w:pPr>
          </w:p>
        </w:tc>
      </w:tr>
      <w:tr w14:paraId="1CC1C138">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706F49D">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2</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172F84CA">
            <w:pPr>
              <w:spacing w:before="156" w:after="156"/>
              <w:jc w:val="center"/>
              <w:rPr>
                <w:rFonts w:hint="eastAsia" w:ascii="宋体" w:hAnsi="宋体" w:cs="宋体"/>
                <w:color w:val="000000"/>
                <w:sz w:val="24"/>
                <w:szCs w:val="24"/>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38E3B86">
            <w:pPr>
              <w:spacing w:before="156" w:after="156"/>
              <w:jc w:val="center"/>
              <w:rPr>
                <w:rFonts w:hint="eastAsia" w:ascii="宋体" w:hAnsi="宋体" w:cs="宋体"/>
                <w:color w:val="000000"/>
                <w:sz w:val="24"/>
                <w:szCs w:val="24"/>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C15D8E5">
            <w:pPr>
              <w:spacing w:before="156" w:after="156"/>
              <w:jc w:val="center"/>
              <w:rPr>
                <w:rFonts w:hint="eastAsia" w:ascii="宋体" w:hAnsi="宋体" w:cs="宋体"/>
                <w:color w:val="000000"/>
                <w:sz w:val="24"/>
                <w:szCs w:val="24"/>
                <w:highlight w:val="none"/>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C3839E6">
            <w:pPr>
              <w:spacing w:before="156" w:after="156"/>
              <w:jc w:val="center"/>
              <w:rPr>
                <w:rFonts w:hint="eastAsia" w:ascii="宋体" w:hAnsi="宋体" w:cs="宋体"/>
                <w:color w:val="000000"/>
                <w:sz w:val="24"/>
                <w:szCs w:val="24"/>
                <w:highlight w:val="none"/>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836389F">
            <w:pPr>
              <w:spacing w:before="156" w:after="156"/>
              <w:jc w:val="center"/>
              <w:rPr>
                <w:rFonts w:hint="eastAsia" w:ascii="宋体" w:hAnsi="宋体" w:cs="宋体"/>
                <w:color w:val="000000"/>
                <w:sz w:val="24"/>
                <w:szCs w:val="24"/>
                <w:highlight w:val="none"/>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16BFC67">
            <w:pPr>
              <w:spacing w:before="156" w:after="156"/>
              <w:jc w:val="center"/>
              <w:rPr>
                <w:rFonts w:hint="eastAsia" w:ascii="宋体" w:hAnsi="宋体" w:cs="宋体"/>
                <w:color w:val="000000"/>
                <w:sz w:val="24"/>
                <w:szCs w:val="24"/>
                <w:highlight w:val="none"/>
              </w:rPr>
            </w:pPr>
          </w:p>
        </w:tc>
      </w:tr>
      <w:tr w14:paraId="470212B9">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1C53897">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3</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1487AEE8">
            <w:pPr>
              <w:spacing w:before="156" w:after="156"/>
              <w:jc w:val="center"/>
              <w:rPr>
                <w:rFonts w:hint="eastAsia" w:ascii="宋体" w:hAnsi="宋体" w:cs="宋体"/>
                <w:color w:val="000000"/>
                <w:sz w:val="24"/>
                <w:szCs w:val="24"/>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3E5D60D">
            <w:pPr>
              <w:spacing w:before="156" w:after="156"/>
              <w:jc w:val="center"/>
              <w:rPr>
                <w:rFonts w:hint="eastAsia" w:ascii="宋体" w:hAnsi="宋体" w:cs="宋体"/>
                <w:color w:val="000000"/>
                <w:sz w:val="24"/>
                <w:szCs w:val="24"/>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60B628A">
            <w:pPr>
              <w:spacing w:before="156" w:after="156"/>
              <w:jc w:val="center"/>
              <w:rPr>
                <w:rFonts w:hint="eastAsia" w:ascii="宋体" w:hAnsi="宋体" w:cs="宋体"/>
                <w:color w:val="000000"/>
                <w:sz w:val="24"/>
                <w:szCs w:val="24"/>
                <w:highlight w:val="none"/>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72B552F">
            <w:pPr>
              <w:spacing w:before="156" w:after="156"/>
              <w:jc w:val="center"/>
              <w:rPr>
                <w:rFonts w:hint="eastAsia" w:ascii="宋体" w:hAnsi="宋体" w:cs="宋体"/>
                <w:color w:val="000000"/>
                <w:sz w:val="24"/>
                <w:szCs w:val="24"/>
                <w:highlight w:val="none"/>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87E9813">
            <w:pPr>
              <w:spacing w:before="156" w:after="156"/>
              <w:jc w:val="center"/>
              <w:rPr>
                <w:rFonts w:hint="eastAsia" w:ascii="宋体" w:hAnsi="宋体" w:cs="宋体"/>
                <w:color w:val="000000"/>
                <w:sz w:val="24"/>
                <w:szCs w:val="24"/>
                <w:highlight w:val="none"/>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A8F96BB">
            <w:pPr>
              <w:spacing w:before="156" w:after="156"/>
              <w:jc w:val="center"/>
              <w:rPr>
                <w:rFonts w:hint="eastAsia" w:ascii="宋体" w:hAnsi="宋体" w:cs="宋体"/>
                <w:color w:val="000000"/>
                <w:sz w:val="24"/>
                <w:szCs w:val="24"/>
                <w:highlight w:val="none"/>
              </w:rPr>
            </w:pPr>
          </w:p>
        </w:tc>
      </w:tr>
      <w:tr w14:paraId="60B554DA">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3659972D">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4</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42A9919E">
            <w:pPr>
              <w:spacing w:before="156" w:after="156"/>
              <w:jc w:val="center"/>
              <w:rPr>
                <w:rFonts w:hint="eastAsia" w:ascii="宋体" w:hAnsi="宋体" w:cs="宋体"/>
                <w:color w:val="000000"/>
                <w:sz w:val="24"/>
                <w:szCs w:val="24"/>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3DE7870">
            <w:pPr>
              <w:spacing w:before="156" w:after="156"/>
              <w:jc w:val="center"/>
              <w:rPr>
                <w:rFonts w:hint="eastAsia" w:ascii="宋体" w:hAnsi="宋体" w:cs="宋体"/>
                <w:color w:val="000000"/>
                <w:sz w:val="24"/>
                <w:szCs w:val="24"/>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FA763D1">
            <w:pPr>
              <w:spacing w:before="156" w:after="156"/>
              <w:jc w:val="center"/>
              <w:rPr>
                <w:rFonts w:hint="eastAsia" w:ascii="宋体" w:hAnsi="宋体" w:cs="宋体"/>
                <w:color w:val="000000"/>
                <w:sz w:val="24"/>
                <w:szCs w:val="24"/>
                <w:highlight w:val="none"/>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6AB6A4C">
            <w:pPr>
              <w:spacing w:before="156" w:after="156"/>
              <w:jc w:val="center"/>
              <w:rPr>
                <w:rFonts w:hint="eastAsia" w:ascii="宋体" w:hAnsi="宋体" w:cs="宋体"/>
                <w:color w:val="000000"/>
                <w:sz w:val="24"/>
                <w:szCs w:val="24"/>
                <w:highlight w:val="none"/>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EB4E49E">
            <w:pPr>
              <w:spacing w:before="156" w:after="156"/>
              <w:jc w:val="center"/>
              <w:rPr>
                <w:rFonts w:hint="eastAsia" w:ascii="宋体" w:hAnsi="宋体" w:cs="宋体"/>
                <w:color w:val="000000"/>
                <w:sz w:val="24"/>
                <w:szCs w:val="24"/>
                <w:highlight w:val="none"/>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ADE2017">
            <w:pPr>
              <w:spacing w:before="156" w:after="156"/>
              <w:jc w:val="center"/>
              <w:rPr>
                <w:rFonts w:hint="eastAsia" w:ascii="宋体" w:hAnsi="宋体" w:cs="宋体"/>
                <w:color w:val="000000"/>
                <w:sz w:val="24"/>
                <w:szCs w:val="24"/>
                <w:highlight w:val="none"/>
              </w:rPr>
            </w:pPr>
          </w:p>
        </w:tc>
      </w:tr>
      <w:tr w14:paraId="7959386D">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C6D49A6">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5</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4B3E162">
            <w:pPr>
              <w:spacing w:before="156" w:after="156"/>
              <w:jc w:val="center"/>
              <w:rPr>
                <w:rFonts w:hint="eastAsia" w:ascii="宋体" w:hAnsi="宋体" w:cs="宋体"/>
                <w:color w:val="000000"/>
                <w:sz w:val="24"/>
                <w:szCs w:val="24"/>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6AB7C27">
            <w:pPr>
              <w:spacing w:before="156" w:after="156"/>
              <w:jc w:val="center"/>
              <w:rPr>
                <w:rFonts w:hint="eastAsia" w:ascii="宋体" w:hAnsi="宋体" w:cs="宋体"/>
                <w:color w:val="000000"/>
                <w:sz w:val="24"/>
                <w:szCs w:val="24"/>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B55179D">
            <w:pPr>
              <w:spacing w:before="156" w:after="156"/>
              <w:jc w:val="center"/>
              <w:rPr>
                <w:rFonts w:hint="eastAsia" w:ascii="宋体" w:hAnsi="宋体" w:cs="宋体"/>
                <w:color w:val="000000"/>
                <w:sz w:val="24"/>
                <w:szCs w:val="24"/>
                <w:highlight w:val="none"/>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DC9B86E">
            <w:pPr>
              <w:spacing w:before="156" w:after="156"/>
              <w:jc w:val="center"/>
              <w:rPr>
                <w:rFonts w:hint="eastAsia" w:ascii="宋体" w:hAnsi="宋体" w:cs="宋体"/>
                <w:color w:val="000000"/>
                <w:sz w:val="24"/>
                <w:szCs w:val="24"/>
                <w:highlight w:val="none"/>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F94CD32">
            <w:pPr>
              <w:spacing w:before="156" w:after="156"/>
              <w:jc w:val="center"/>
              <w:rPr>
                <w:rFonts w:hint="eastAsia" w:ascii="宋体" w:hAnsi="宋体" w:cs="宋体"/>
                <w:color w:val="000000"/>
                <w:sz w:val="24"/>
                <w:szCs w:val="24"/>
                <w:highlight w:val="none"/>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3CDA4F7">
            <w:pPr>
              <w:spacing w:before="156" w:after="156"/>
              <w:jc w:val="center"/>
              <w:rPr>
                <w:rFonts w:hint="eastAsia" w:ascii="宋体" w:hAnsi="宋体" w:cs="宋体"/>
                <w:color w:val="000000"/>
                <w:sz w:val="24"/>
                <w:szCs w:val="24"/>
                <w:highlight w:val="none"/>
              </w:rPr>
            </w:pPr>
          </w:p>
        </w:tc>
      </w:tr>
      <w:tr w14:paraId="13FAD65F">
        <w:tblPrEx>
          <w:tblCellMar>
            <w:top w:w="0" w:type="dxa"/>
            <w:left w:w="0" w:type="dxa"/>
            <w:bottom w:w="0" w:type="dxa"/>
            <w:right w:w="0" w:type="dxa"/>
          </w:tblCellMar>
        </w:tblPrEx>
        <w:trPr>
          <w:trHeight w:val="608"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1479CB68">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6</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A9A7B52">
            <w:pPr>
              <w:spacing w:before="156" w:after="156"/>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w:t>
            </w: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DA2C62B">
            <w:pPr>
              <w:spacing w:before="156" w:after="156"/>
              <w:jc w:val="center"/>
              <w:rPr>
                <w:rFonts w:hint="eastAsia" w:ascii="宋体" w:hAnsi="宋体" w:cs="宋体"/>
                <w:color w:val="000000"/>
                <w:sz w:val="24"/>
                <w:szCs w:val="24"/>
                <w:highlight w:val="none"/>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94086D5">
            <w:pPr>
              <w:spacing w:before="156" w:after="156"/>
              <w:jc w:val="center"/>
              <w:rPr>
                <w:rFonts w:hint="eastAsia" w:ascii="宋体" w:hAnsi="宋体" w:cs="宋体"/>
                <w:color w:val="000000"/>
                <w:sz w:val="24"/>
                <w:szCs w:val="24"/>
                <w:highlight w:val="none"/>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732B0A2">
            <w:pPr>
              <w:spacing w:before="156" w:after="156"/>
              <w:jc w:val="center"/>
              <w:rPr>
                <w:rFonts w:hint="eastAsia" w:ascii="宋体" w:hAnsi="宋体" w:cs="宋体"/>
                <w:color w:val="000000"/>
                <w:sz w:val="24"/>
                <w:szCs w:val="24"/>
                <w:highlight w:val="none"/>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BF5D3A6">
            <w:pPr>
              <w:spacing w:before="156" w:after="156"/>
              <w:jc w:val="center"/>
              <w:rPr>
                <w:rFonts w:hint="eastAsia" w:ascii="宋体" w:hAnsi="宋体" w:cs="宋体"/>
                <w:color w:val="000000"/>
                <w:sz w:val="24"/>
                <w:szCs w:val="24"/>
                <w:highlight w:val="none"/>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77637DA">
            <w:pPr>
              <w:spacing w:before="156" w:after="156"/>
              <w:jc w:val="center"/>
              <w:rPr>
                <w:rFonts w:hint="eastAsia" w:ascii="宋体" w:hAnsi="宋体" w:cs="宋体"/>
                <w:color w:val="000000"/>
                <w:sz w:val="24"/>
                <w:szCs w:val="24"/>
                <w:highlight w:val="none"/>
              </w:rPr>
            </w:pPr>
          </w:p>
        </w:tc>
      </w:tr>
    </w:tbl>
    <w:p w14:paraId="08E39A8F">
      <w:pPr>
        <w:rPr>
          <w:rFonts w:hint="eastAsia" w:ascii="宋体" w:hAnsi="宋体"/>
          <w:color w:val="000000"/>
          <w:sz w:val="24"/>
          <w:szCs w:val="22"/>
          <w:highlight w:val="none"/>
        </w:rPr>
      </w:pPr>
    </w:p>
    <w:p w14:paraId="373D90F7">
      <w:pPr>
        <w:spacing w:line="360" w:lineRule="auto"/>
        <w:rPr>
          <w:rFonts w:hAnsi="宋体" w:cs="宋体"/>
          <w:b/>
          <w:bCs/>
          <w:color w:val="000000"/>
          <w:sz w:val="24"/>
          <w:szCs w:val="24"/>
          <w:highlight w:val="none"/>
        </w:rPr>
      </w:pPr>
      <w:r>
        <w:rPr>
          <w:rFonts w:hint="eastAsia" w:ascii="宋体" w:hAnsi="宋体" w:cs="宋体"/>
          <w:b/>
          <w:bCs/>
          <w:color w:val="000000"/>
          <w:sz w:val="24"/>
          <w:szCs w:val="24"/>
          <w:highlight w:val="none"/>
        </w:rPr>
        <w:t>注：后附相关证明材料，具体要求以第四章 评审办法内容为准。</w:t>
      </w:r>
      <w:r>
        <w:rPr>
          <w:rFonts w:hint="eastAsia" w:ascii="宋体" w:hAnsi="宋体" w:cs="宋体"/>
          <w:b/>
          <w:bCs/>
          <w:color w:val="000000"/>
          <w:sz w:val="24"/>
          <w:szCs w:val="24"/>
          <w:highlight w:val="none"/>
        </w:rPr>
        <w:tab/>
      </w:r>
    </w:p>
    <w:p w14:paraId="0B06E4BA">
      <w:pPr>
        <w:spacing w:line="360" w:lineRule="auto"/>
        <w:ind w:firstLine="210"/>
        <w:jc w:val="center"/>
        <w:rPr>
          <w:rFonts w:hint="eastAsia"/>
          <w:color w:val="000000"/>
          <w:sz w:val="24"/>
          <w:szCs w:val="22"/>
          <w:highlight w:val="none"/>
        </w:rPr>
      </w:pPr>
    </w:p>
    <w:p w14:paraId="521FF2AC">
      <w:pPr>
        <w:spacing w:line="360" w:lineRule="auto"/>
        <w:ind w:firstLine="210"/>
        <w:jc w:val="center"/>
        <w:rPr>
          <w:rFonts w:hint="eastAsia"/>
          <w:color w:val="000000"/>
          <w:sz w:val="24"/>
          <w:szCs w:val="22"/>
          <w:highlight w:val="none"/>
        </w:rPr>
      </w:pPr>
    </w:p>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519"/>
    <w:bookmarkEnd w:id="520"/>
    <w:bookmarkEnd w:id="521"/>
    <w:bookmarkEnd w:id="522"/>
    <w:p w14:paraId="43658299">
      <w:pPr>
        <w:spacing w:line="440" w:lineRule="exact"/>
        <w:ind w:firstLine="716" w:firstLineChars="297"/>
        <w:rPr>
          <w:rFonts w:hint="eastAsia" w:ascii="宋体" w:hAnsi="宋体"/>
          <w:b/>
          <w:color w:val="000000"/>
          <w:sz w:val="24"/>
          <w:highlight w:val="none"/>
        </w:rPr>
      </w:pPr>
    </w:p>
    <w:p w14:paraId="4E9B433F">
      <w:pPr>
        <w:pStyle w:val="9"/>
        <w:ind w:firstLine="400"/>
        <w:rPr>
          <w:rFonts w:hint="eastAsia"/>
          <w:color w:val="000000"/>
          <w:highlight w:val="none"/>
        </w:rPr>
      </w:pPr>
    </w:p>
    <w:p w14:paraId="52E6643E">
      <w:pPr>
        <w:spacing w:line="360" w:lineRule="auto"/>
        <w:jc w:val="left"/>
        <w:rPr>
          <w:rFonts w:ascii="宋体" w:hAnsi="宋体"/>
          <w:b/>
          <w:color w:val="000000"/>
          <w:sz w:val="32"/>
          <w:szCs w:val="32"/>
          <w:highlight w:val="none"/>
        </w:rPr>
      </w:pPr>
    </w:p>
    <w:p w14:paraId="7382963B">
      <w:pPr>
        <w:spacing w:line="360" w:lineRule="auto"/>
        <w:jc w:val="left"/>
        <w:rPr>
          <w:rFonts w:ascii="宋体" w:hAnsi="宋体"/>
          <w:b/>
          <w:color w:val="000000"/>
          <w:sz w:val="32"/>
          <w:szCs w:val="32"/>
          <w:highlight w:val="none"/>
        </w:rPr>
      </w:pPr>
    </w:p>
    <w:p w14:paraId="45C3D3F0">
      <w:pPr>
        <w:autoSpaceDE w:val="0"/>
        <w:autoSpaceDN w:val="0"/>
        <w:adjustRightInd w:val="0"/>
        <w:snapToGrid w:val="0"/>
        <w:spacing w:line="480" w:lineRule="exact"/>
        <w:rPr>
          <w:rFonts w:ascii="宋体" w:hAnsi="宋体"/>
          <w:bCs/>
          <w:color w:val="000000"/>
          <w:sz w:val="28"/>
          <w:szCs w:val="28"/>
          <w:highlight w:val="none"/>
        </w:rPr>
      </w:pPr>
    </w:p>
    <w:p w14:paraId="52099537">
      <w:pPr>
        <w:pStyle w:val="37"/>
        <w:ind w:firstLine="280"/>
        <w:rPr>
          <w:rFonts w:ascii="宋体" w:hAnsi="宋体"/>
          <w:bCs/>
          <w:color w:val="000000"/>
          <w:sz w:val="28"/>
          <w:szCs w:val="28"/>
          <w:highlight w:val="none"/>
        </w:rPr>
      </w:pPr>
    </w:p>
    <w:p w14:paraId="263304E5">
      <w:pPr>
        <w:pStyle w:val="37"/>
        <w:ind w:firstLine="280"/>
        <w:rPr>
          <w:rFonts w:ascii="宋体" w:hAnsi="宋体"/>
          <w:bCs/>
          <w:color w:val="000000"/>
          <w:sz w:val="28"/>
          <w:szCs w:val="28"/>
          <w:highlight w:val="none"/>
        </w:rPr>
      </w:pPr>
    </w:p>
    <w:p w14:paraId="1E08A7AA">
      <w:pPr>
        <w:pStyle w:val="37"/>
        <w:ind w:firstLine="280"/>
        <w:rPr>
          <w:rFonts w:ascii="宋体" w:hAnsi="宋体"/>
          <w:bCs/>
          <w:color w:val="000000"/>
          <w:sz w:val="28"/>
          <w:szCs w:val="28"/>
          <w:highlight w:val="none"/>
        </w:rPr>
      </w:pPr>
    </w:p>
    <w:p w14:paraId="392DA121">
      <w:pPr>
        <w:jc w:val="center"/>
        <w:outlineLvl w:val="9"/>
        <w:rPr>
          <w:rFonts w:hint="eastAsia" w:ascii="宋体" w:hAnsi="宋体" w:cs="宋体"/>
          <w:color w:val="000000"/>
          <w:sz w:val="28"/>
          <w:szCs w:val="28"/>
          <w:highlight w:val="none"/>
        </w:rPr>
      </w:pPr>
      <w:bookmarkStart w:id="523" w:name="_Toc10563614"/>
      <w:bookmarkStart w:id="524" w:name="_Toc10563653"/>
      <w:r>
        <w:rPr>
          <w:rFonts w:hint="eastAsia" w:ascii="宋体" w:hAnsi="宋体" w:cs="宋体"/>
          <w:color w:val="000000"/>
          <w:sz w:val="28"/>
          <w:szCs w:val="28"/>
          <w:highlight w:val="none"/>
        </w:rPr>
        <w:br w:type="page"/>
      </w:r>
      <w:r>
        <w:rPr>
          <w:rFonts w:hint="eastAsia" w:ascii="宋体" w:hAnsi="宋体" w:cs="宋体"/>
          <w:b/>
          <w:bCs/>
          <w:color w:val="000000"/>
          <w:sz w:val="28"/>
          <w:szCs w:val="28"/>
          <w:highlight w:val="none"/>
        </w:rPr>
        <w:t>9.其他证明材料</w:t>
      </w:r>
    </w:p>
    <w:bookmarkEnd w:id="523"/>
    <w:bookmarkEnd w:id="524"/>
    <w:p w14:paraId="34926BBE">
      <w:pPr>
        <w:rPr>
          <w:rFonts w:hint="eastAsia" w:ascii="宋体" w:hAnsi="宋体"/>
          <w:b/>
          <w:bCs/>
          <w:color w:val="000000"/>
          <w:sz w:val="24"/>
          <w:highlight w:val="none"/>
        </w:rPr>
      </w:pPr>
      <w:r>
        <w:rPr>
          <w:rFonts w:hint="eastAsia" w:ascii="宋体" w:hAnsi="宋体"/>
          <w:b/>
          <w:color w:val="000000"/>
          <w:sz w:val="36"/>
          <w:szCs w:val="36"/>
          <w:highlight w:val="none"/>
        </w:rPr>
        <w:t xml:space="preserve"> </w:t>
      </w:r>
    </w:p>
    <w:p w14:paraId="66328EFE">
      <w:pPr>
        <w:spacing w:line="480" w:lineRule="exact"/>
        <w:ind w:firstLine="480" w:firstLineChars="200"/>
        <w:jc w:val="left"/>
        <w:rPr>
          <w:rFonts w:hint="eastAsia" w:ascii="宋体" w:hAnsi="宋体"/>
          <w:bCs/>
          <w:color w:val="000000"/>
          <w:sz w:val="24"/>
          <w:szCs w:val="24"/>
          <w:highlight w:val="none"/>
        </w:rPr>
      </w:pPr>
      <w:r>
        <w:rPr>
          <w:rFonts w:hint="eastAsia" w:ascii="宋体" w:hAnsi="宋体"/>
          <w:bCs/>
          <w:color w:val="000000"/>
          <w:sz w:val="24"/>
          <w:szCs w:val="24"/>
          <w:highlight w:val="none"/>
        </w:rPr>
        <w:t>（1）企业其他获奖及荣誉证书等资料；</w:t>
      </w:r>
    </w:p>
    <w:p w14:paraId="57BB8303">
      <w:pPr>
        <w:spacing w:line="480" w:lineRule="exact"/>
        <w:ind w:firstLine="480" w:firstLineChars="200"/>
        <w:jc w:val="left"/>
        <w:rPr>
          <w:rFonts w:hint="eastAsia" w:ascii="宋体" w:hAnsi="宋体"/>
          <w:bCs/>
          <w:color w:val="000000"/>
          <w:sz w:val="24"/>
          <w:szCs w:val="24"/>
          <w:highlight w:val="none"/>
        </w:rPr>
      </w:pPr>
      <w:r>
        <w:rPr>
          <w:rFonts w:hint="eastAsia" w:ascii="宋体" w:hAnsi="宋体"/>
          <w:bCs/>
          <w:color w:val="000000"/>
          <w:sz w:val="24"/>
          <w:szCs w:val="24"/>
          <w:highlight w:val="none"/>
        </w:rPr>
        <w:t>（2）供应商提供证明其企业实力的其他证明材料；</w:t>
      </w:r>
    </w:p>
    <w:p w14:paraId="7E17E4A3">
      <w:pPr>
        <w:spacing w:line="480" w:lineRule="exact"/>
        <w:ind w:firstLine="480" w:firstLineChars="200"/>
        <w:jc w:val="left"/>
        <w:rPr>
          <w:rFonts w:hint="eastAsia" w:ascii="宋体" w:hAnsi="宋体"/>
          <w:bCs/>
          <w:color w:val="000000"/>
          <w:sz w:val="24"/>
          <w:szCs w:val="24"/>
          <w:highlight w:val="none"/>
        </w:rPr>
      </w:pPr>
      <w:r>
        <w:rPr>
          <w:rFonts w:hint="eastAsia" w:ascii="宋体" w:hAnsi="宋体"/>
          <w:bCs/>
          <w:color w:val="000000"/>
          <w:sz w:val="24"/>
          <w:szCs w:val="24"/>
          <w:highlight w:val="none"/>
        </w:rPr>
        <w:t>（3）监狱企业、福利企业声明函（格式具体见附件）；</w:t>
      </w:r>
    </w:p>
    <w:p w14:paraId="6557ADF7">
      <w:pPr>
        <w:spacing w:line="480" w:lineRule="exact"/>
        <w:ind w:firstLine="480" w:firstLineChars="200"/>
        <w:jc w:val="left"/>
        <w:rPr>
          <w:rFonts w:hint="eastAsia" w:ascii="宋体" w:hAnsi="宋体"/>
          <w:bCs/>
          <w:color w:val="000000"/>
          <w:sz w:val="24"/>
          <w:szCs w:val="24"/>
          <w:highlight w:val="none"/>
        </w:rPr>
      </w:pPr>
      <w:r>
        <w:rPr>
          <w:rFonts w:hint="eastAsia" w:ascii="宋体" w:hAnsi="宋体"/>
          <w:bCs/>
          <w:color w:val="000000"/>
          <w:sz w:val="24"/>
          <w:szCs w:val="24"/>
          <w:highlight w:val="none"/>
        </w:rPr>
        <w:t>（4）拒绝政府采购领域商业贿赂承诺书；</w:t>
      </w:r>
    </w:p>
    <w:p w14:paraId="4B729E3B">
      <w:pPr>
        <w:spacing w:line="480" w:lineRule="exact"/>
        <w:ind w:firstLine="480" w:firstLineChars="200"/>
        <w:jc w:val="left"/>
        <w:rPr>
          <w:rFonts w:hint="eastAsia" w:ascii="宋体" w:hAnsi="宋体"/>
          <w:bCs/>
          <w:color w:val="000000"/>
          <w:sz w:val="24"/>
          <w:szCs w:val="24"/>
          <w:highlight w:val="none"/>
        </w:rPr>
      </w:pPr>
      <w:r>
        <w:rPr>
          <w:rFonts w:hint="eastAsia" w:ascii="宋体" w:hAnsi="宋体"/>
          <w:bCs/>
          <w:color w:val="000000"/>
          <w:sz w:val="24"/>
          <w:szCs w:val="24"/>
          <w:highlight w:val="none"/>
        </w:rPr>
        <w:t>（5）其他</w:t>
      </w:r>
    </w:p>
    <w:p w14:paraId="490E2138">
      <w:pPr>
        <w:spacing w:line="480" w:lineRule="exact"/>
        <w:ind w:firstLine="480" w:firstLineChars="200"/>
        <w:jc w:val="left"/>
        <w:rPr>
          <w:rFonts w:hint="eastAsia" w:ascii="宋体" w:hAnsi="宋体" w:cs="宋体"/>
          <w:bCs/>
          <w:color w:val="000000"/>
          <w:sz w:val="24"/>
          <w:szCs w:val="24"/>
          <w:highlight w:val="none"/>
        </w:rPr>
      </w:pPr>
    </w:p>
    <w:p w14:paraId="1E60AF0D">
      <w:pPr>
        <w:spacing w:line="480" w:lineRule="exact"/>
        <w:ind w:firstLine="482" w:firstLineChars="200"/>
        <w:jc w:val="left"/>
        <w:rPr>
          <w:rFonts w:ascii="宋体" w:hAnsi="宋体" w:cs="宋体"/>
          <w:bCs/>
          <w:color w:val="000000"/>
          <w:sz w:val="24"/>
          <w:szCs w:val="24"/>
          <w:highlight w:val="none"/>
        </w:rPr>
      </w:pPr>
      <w:r>
        <w:rPr>
          <w:rFonts w:hint="eastAsia" w:ascii="宋体" w:hAnsi="宋体" w:cs="宋体"/>
          <w:b/>
          <w:bCs/>
          <w:color w:val="000000"/>
          <w:sz w:val="24"/>
          <w:szCs w:val="24"/>
          <w:highlight w:val="none"/>
        </w:rPr>
        <w:t>注：后附相关格式，磋商人未在此条后附相关证明材料的，不属于响应文件的完整性不符合竞争性磋商文件要求的情形。</w:t>
      </w:r>
    </w:p>
    <w:p w14:paraId="35A1DF82">
      <w:pPr>
        <w:spacing w:line="480" w:lineRule="exact"/>
        <w:ind w:firstLine="480" w:firstLineChars="200"/>
        <w:jc w:val="left"/>
        <w:rPr>
          <w:rFonts w:hint="eastAsia" w:ascii="宋体" w:hAnsi="宋体" w:cs="宋体"/>
          <w:bCs/>
          <w:color w:val="000000"/>
          <w:sz w:val="24"/>
          <w:szCs w:val="24"/>
          <w:highlight w:val="none"/>
        </w:rPr>
      </w:pPr>
    </w:p>
    <w:p w14:paraId="56993EA3">
      <w:pPr>
        <w:spacing w:line="480" w:lineRule="exact"/>
        <w:jc w:val="left"/>
        <w:rPr>
          <w:rFonts w:ascii="宋体" w:hAnsi="宋体"/>
          <w:bCs/>
          <w:color w:val="000000"/>
          <w:sz w:val="24"/>
          <w:szCs w:val="24"/>
          <w:highlight w:val="none"/>
        </w:rPr>
      </w:pPr>
    </w:p>
    <w:p w14:paraId="442B5914">
      <w:pPr>
        <w:jc w:val="left"/>
        <w:rPr>
          <w:rFonts w:hint="eastAsia" w:ascii="宋体" w:hAnsi="宋体"/>
          <w:b/>
          <w:bCs/>
          <w:color w:val="000000"/>
          <w:sz w:val="28"/>
          <w:szCs w:val="28"/>
          <w:highlight w:val="none"/>
        </w:rPr>
      </w:pPr>
      <w:r>
        <w:rPr>
          <w:rFonts w:ascii="宋体" w:hAnsi="宋体"/>
          <w:bCs/>
          <w:color w:val="000000"/>
          <w:sz w:val="24"/>
          <w:szCs w:val="24"/>
          <w:highlight w:val="none"/>
        </w:rPr>
        <w:br w:type="page"/>
      </w:r>
      <w:r>
        <w:rPr>
          <w:rFonts w:hint="eastAsia" w:ascii="宋体" w:hAnsi="宋体"/>
          <w:b/>
          <w:bCs/>
          <w:color w:val="000000"/>
          <w:sz w:val="24"/>
          <w:szCs w:val="24"/>
          <w:highlight w:val="none"/>
        </w:rPr>
        <w:t>附件9.1</w:t>
      </w:r>
      <w:bookmarkStart w:id="525" w:name="_Hlk17707343"/>
      <w:r>
        <w:rPr>
          <w:rFonts w:hint="eastAsia" w:ascii="宋体" w:hAnsi="宋体"/>
          <w:b/>
          <w:bCs/>
          <w:color w:val="000000"/>
          <w:sz w:val="24"/>
          <w:szCs w:val="24"/>
          <w:highlight w:val="none"/>
          <w:lang w:val="en-US" w:eastAsia="zh-CN"/>
        </w:rPr>
        <w:t>：</w:t>
      </w:r>
      <w:r>
        <w:rPr>
          <w:rFonts w:hint="eastAsia" w:ascii="宋体" w:hAnsi="宋体"/>
          <w:b/>
          <w:bCs/>
          <w:color w:val="000000"/>
          <w:sz w:val="24"/>
          <w:szCs w:val="24"/>
          <w:highlight w:val="none"/>
        </w:rPr>
        <w:t>监狱企业声明函</w:t>
      </w:r>
      <w:bookmarkEnd w:id="525"/>
      <w:r>
        <w:rPr>
          <w:rFonts w:hint="eastAsia" w:ascii="宋体" w:hAnsi="宋体"/>
          <w:b/>
          <w:bCs/>
          <w:color w:val="000000"/>
          <w:sz w:val="24"/>
          <w:szCs w:val="24"/>
          <w:highlight w:val="none"/>
        </w:rPr>
        <w:t>（如有可提供）</w:t>
      </w:r>
    </w:p>
    <w:p w14:paraId="7D23F7A3">
      <w:pPr>
        <w:spacing w:line="360" w:lineRule="auto"/>
        <w:ind w:firstLine="557" w:firstLineChars="198"/>
        <w:jc w:val="center"/>
        <w:rPr>
          <w:rFonts w:hint="eastAsia" w:ascii="宋体" w:hAnsi="宋体"/>
          <w:b/>
          <w:bCs/>
          <w:color w:val="000000"/>
          <w:sz w:val="28"/>
          <w:szCs w:val="28"/>
          <w:highlight w:val="none"/>
        </w:rPr>
      </w:pPr>
    </w:p>
    <w:p w14:paraId="4AADA492">
      <w:pPr>
        <w:spacing w:line="360" w:lineRule="auto"/>
        <w:ind w:firstLine="557" w:firstLineChars="198"/>
        <w:jc w:val="center"/>
        <w:rPr>
          <w:rFonts w:hint="eastAsia" w:ascii="宋体" w:hAnsi="宋体"/>
          <w:bCs/>
          <w:color w:val="000000"/>
          <w:sz w:val="24"/>
          <w:highlight w:val="none"/>
        </w:rPr>
      </w:pPr>
      <w:r>
        <w:rPr>
          <w:rFonts w:hint="eastAsia" w:ascii="宋体" w:hAnsi="宋体"/>
          <w:b/>
          <w:bCs/>
          <w:color w:val="000000"/>
          <w:sz w:val="28"/>
          <w:szCs w:val="28"/>
          <w:highlight w:val="none"/>
        </w:rPr>
        <w:t>《监狱企业声明函》</w:t>
      </w:r>
    </w:p>
    <w:p w14:paraId="6D942D4B">
      <w:pPr>
        <w:spacing w:line="480" w:lineRule="auto"/>
        <w:ind w:firstLine="475" w:firstLineChars="198"/>
        <w:rPr>
          <w:rFonts w:hint="eastAsia" w:ascii="宋体" w:hAnsi="宋体"/>
          <w:bCs/>
          <w:color w:val="000000"/>
          <w:sz w:val="24"/>
          <w:highlight w:val="none"/>
        </w:rPr>
      </w:pPr>
      <w:r>
        <w:rPr>
          <w:rFonts w:hint="eastAsia" w:ascii="宋体" w:hAnsi="宋体"/>
          <w:bCs/>
          <w:color w:val="000000"/>
          <w:sz w:val="24"/>
          <w:highlight w:val="none"/>
        </w:rPr>
        <w:t>本公司郑重声明，根据</w:t>
      </w:r>
      <w:r>
        <w:rPr>
          <w:rFonts w:hint="eastAsia" w:ascii="宋体" w:hAnsi="宋体"/>
          <w:bCs/>
          <w:color w:val="000000"/>
          <w:sz w:val="24"/>
          <w:szCs w:val="24"/>
          <w:highlight w:val="none"/>
        </w:rPr>
        <w:t>《财政部司法部关于政府采购支持监狱企业发展有关问题的通知》（财库</w:t>
      </w:r>
      <w:r>
        <w:rPr>
          <w:rFonts w:hint="eastAsia" w:ascii="宋体" w:hAnsi="宋体" w:cs="宋体"/>
          <w:color w:val="000000"/>
          <w:sz w:val="24"/>
          <w:szCs w:val="24"/>
          <w:highlight w:val="none"/>
        </w:rPr>
        <w:t>〔2014〕</w:t>
      </w:r>
      <w:r>
        <w:rPr>
          <w:rFonts w:hint="eastAsia" w:ascii="宋体" w:hAnsi="宋体"/>
          <w:bCs/>
          <w:color w:val="000000"/>
          <w:sz w:val="24"/>
          <w:szCs w:val="24"/>
          <w:highlight w:val="none"/>
        </w:rPr>
        <w:t>68号）</w:t>
      </w:r>
      <w:r>
        <w:rPr>
          <w:rFonts w:hint="eastAsia" w:ascii="宋体" w:hAnsi="宋体"/>
          <w:bCs/>
          <w:color w:val="000000"/>
          <w:sz w:val="24"/>
          <w:highlight w:val="none"/>
        </w:rPr>
        <w:t>的规定，本公司为</w:t>
      </w:r>
      <w:r>
        <w:rPr>
          <w:rFonts w:hint="eastAsia" w:ascii="宋体" w:hAnsi="宋体"/>
          <w:bCs/>
          <w:color w:val="000000"/>
          <w:sz w:val="24"/>
          <w:highlight w:val="none"/>
          <w:u w:val="single"/>
        </w:rPr>
        <w:t xml:space="preserve">        </w:t>
      </w:r>
      <w:r>
        <w:rPr>
          <w:rFonts w:hint="eastAsia" w:ascii="宋体" w:hAnsi="宋体"/>
          <w:bCs/>
          <w:color w:val="000000"/>
          <w:sz w:val="24"/>
          <w:highlight w:val="none"/>
        </w:rPr>
        <w:t>（请填写：监狱）企业。</w:t>
      </w:r>
    </w:p>
    <w:p w14:paraId="4D4CABAA">
      <w:pPr>
        <w:spacing w:line="480" w:lineRule="auto"/>
        <w:ind w:firstLine="235" w:firstLineChars="98"/>
        <w:rPr>
          <w:rFonts w:hint="eastAsia" w:ascii="宋体" w:hAnsi="宋体"/>
          <w:bCs/>
          <w:color w:val="000000"/>
          <w:sz w:val="24"/>
          <w:highlight w:val="none"/>
        </w:rPr>
      </w:pPr>
      <w:r>
        <w:rPr>
          <w:rFonts w:hint="eastAsia" w:ascii="宋体" w:hAnsi="宋体"/>
          <w:bCs/>
          <w:color w:val="000000"/>
          <w:sz w:val="24"/>
          <w:highlight w:val="none"/>
        </w:rPr>
        <w:t xml:space="preserve">   本单位为符合条件的监狱企业，且本单位参加______单位的______项目采购活动提供本单位制造的货物（由本单位承担工程/提供服务）。</w:t>
      </w:r>
    </w:p>
    <w:p w14:paraId="4439277C">
      <w:pPr>
        <w:spacing w:line="48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本公司对上述声明的真实性负责，若有虚假，将依法承担相应责任。</w:t>
      </w:r>
    </w:p>
    <w:p w14:paraId="0226CF98">
      <w:pPr>
        <w:spacing w:line="360" w:lineRule="auto"/>
        <w:ind w:firstLine="480" w:firstLineChars="200"/>
        <w:rPr>
          <w:rFonts w:hint="eastAsia" w:ascii="宋体" w:hAnsi="宋体"/>
          <w:bCs/>
          <w:color w:val="000000"/>
          <w:sz w:val="24"/>
          <w:highlight w:val="none"/>
        </w:rPr>
      </w:pPr>
    </w:p>
    <w:p w14:paraId="70006CB3">
      <w:pPr>
        <w:spacing w:line="360" w:lineRule="auto"/>
        <w:ind w:firstLine="480" w:firstLineChars="200"/>
        <w:rPr>
          <w:rFonts w:hint="eastAsia" w:ascii="宋体" w:hAnsi="宋体"/>
          <w:bCs/>
          <w:color w:val="000000"/>
          <w:sz w:val="24"/>
          <w:highlight w:val="none"/>
        </w:rPr>
      </w:pPr>
    </w:p>
    <w:p w14:paraId="2487F62B">
      <w:pPr>
        <w:spacing w:line="360" w:lineRule="auto"/>
        <w:ind w:firstLine="235" w:firstLineChars="98"/>
        <w:jc w:val="right"/>
        <w:rPr>
          <w:rFonts w:hint="eastAsia" w:ascii="宋体" w:hAnsi="宋体"/>
          <w:bCs/>
          <w:color w:val="000000"/>
          <w:sz w:val="24"/>
          <w:highlight w:val="none"/>
        </w:rPr>
      </w:pPr>
      <w:r>
        <w:rPr>
          <w:rFonts w:hint="eastAsia" w:ascii="宋体" w:hAnsi="宋体"/>
          <w:bCs/>
          <w:color w:val="000000"/>
          <w:sz w:val="24"/>
          <w:highlight w:val="none"/>
        </w:rPr>
        <w:t xml:space="preserve">  供应商：</w:t>
      </w:r>
      <w:r>
        <w:rPr>
          <w:rFonts w:hint="eastAsia" w:ascii="宋体" w:hAnsi="宋体"/>
          <w:bCs/>
          <w:color w:val="000000"/>
          <w:sz w:val="24"/>
          <w:highlight w:val="none"/>
          <w:u w:val="single"/>
        </w:rPr>
        <w:t xml:space="preserve">                 </w:t>
      </w:r>
      <w:r>
        <w:rPr>
          <w:rFonts w:hint="eastAsia" w:ascii="宋体" w:hAnsi="宋体"/>
          <w:bCs/>
          <w:color w:val="000000"/>
          <w:sz w:val="24"/>
          <w:highlight w:val="none"/>
        </w:rPr>
        <w:t>（盖章）</w:t>
      </w:r>
    </w:p>
    <w:p w14:paraId="6A201D58">
      <w:pPr>
        <w:spacing w:line="360" w:lineRule="auto"/>
        <w:ind w:firstLine="235" w:firstLineChars="98"/>
        <w:jc w:val="right"/>
        <w:rPr>
          <w:rFonts w:hint="eastAsia" w:ascii="宋体" w:hAnsi="宋体"/>
          <w:bCs/>
          <w:color w:val="000000"/>
          <w:sz w:val="24"/>
          <w:highlight w:val="none"/>
        </w:rPr>
      </w:pPr>
      <w:r>
        <w:rPr>
          <w:rFonts w:hint="eastAsia" w:ascii="宋体" w:hAnsi="宋体"/>
          <w:bCs/>
          <w:color w:val="000000"/>
          <w:sz w:val="24"/>
          <w:highlight w:val="none"/>
        </w:rPr>
        <w:t xml:space="preserve"> </w:t>
      </w:r>
    </w:p>
    <w:p w14:paraId="2148DEA0">
      <w:pPr>
        <w:spacing w:line="360" w:lineRule="auto"/>
        <w:ind w:firstLine="235" w:firstLineChars="98"/>
        <w:jc w:val="right"/>
        <w:rPr>
          <w:rFonts w:hint="eastAsia" w:ascii="宋体" w:hAnsi="宋体"/>
          <w:bCs/>
          <w:color w:val="000000"/>
          <w:sz w:val="24"/>
          <w:highlight w:val="none"/>
        </w:rPr>
      </w:pPr>
      <w:r>
        <w:rPr>
          <w:rFonts w:hint="eastAsia" w:ascii="宋体" w:hAnsi="宋体"/>
          <w:bCs/>
          <w:color w:val="000000"/>
          <w:sz w:val="24"/>
          <w:highlight w:val="none"/>
        </w:rPr>
        <w:t xml:space="preserve">  法定代表人或其法人授权委托人：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（签字或盖章）</w:t>
      </w:r>
    </w:p>
    <w:p w14:paraId="16B66EB6">
      <w:pPr>
        <w:spacing w:line="360" w:lineRule="auto"/>
        <w:ind w:firstLine="235" w:firstLineChars="98"/>
        <w:jc w:val="right"/>
        <w:rPr>
          <w:rFonts w:hint="eastAsia" w:ascii="宋体" w:hAnsi="宋体"/>
          <w:bCs/>
          <w:color w:val="000000"/>
          <w:sz w:val="24"/>
          <w:highlight w:val="none"/>
        </w:rPr>
      </w:pPr>
    </w:p>
    <w:p w14:paraId="30378E61">
      <w:pPr>
        <w:spacing w:line="360" w:lineRule="auto"/>
        <w:ind w:firstLine="235" w:firstLineChars="98"/>
        <w:jc w:val="right"/>
        <w:rPr>
          <w:rFonts w:hint="eastAsia" w:ascii="宋体" w:hAnsi="宋体"/>
          <w:bCs/>
          <w:color w:val="000000"/>
          <w:sz w:val="24"/>
          <w:highlight w:val="none"/>
        </w:rPr>
      </w:pPr>
      <w:r>
        <w:rPr>
          <w:rFonts w:hint="eastAsia" w:ascii="宋体" w:hAnsi="宋体"/>
          <w:bCs/>
          <w:color w:val="000000"/>
          <w:sz w:val="24"/>
          <w:highlight w:val="none"/>
        </w:rPr>
        <w:t xml:space="preserve">  日期：</w:t>
      </w:r>
      <w:r>
        <w:rPr>
          <w:rFonts w:hint="eastAsia" w:ascii="宋体" w:hAnsi="宋体"/>
          <w:bCs/>
          <w:color w:val="000000"/>
          <w:sz w:val="24"/>
          <w:highlight w:val="none"/>
          <w:u w:val="single"/>
        </w:rPr>
        <w:t xml:space="preserve">      </w:t>
      </w:r>
      <w:r>
        <w:rPr>
          <w:rFonts w:hint="eastAsia" w:ascii="宋体" w:hAnsi="宋体"/>
          <w:bCs/>
          <w:color w:val="000000"/>
          <w:sz w:val="24"/>
          <w:highlight w:val="none"/>
        </w:rPr>
        <w:t>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日</w:t>
      </w:r>
    </w:p>
    <w:p w14:paraId="745B5622">
      <w:pPr>
        <w:spacing w:line="360" w:lineRule="auto"/>
        <w:rPr>
          <w:rFonts w:ascii="宋体" w:hAnsi="宋体"/>
          <w:b/>
          <w:color w:val="000000"/>
          <w:sz w:val="24"/>
          <w:highlight w:val="none"/>
        </w:rPr>
      </w:pPr>
    </w:p>
    <w:p w14:paraId="09812153">
      <w:pPr>
        <w:spacing w:line="360" w:lineRule="auto"/>
        <w:rPr>
          <w:rFonts w:ascii="宋体" w:hAnsi="宋体"/>
          <w:b/>
          <w:color w:val="000000"/>
          <w:sz w:val="24"/>
          <w:highlight w:val="none"/>
        </w:rPr>
      </w:pPr>
    </w:p>
    <w:p w14:paraId="54E14991">
      <w:pPr>
        <w:spacing w:line="360" w:lineRule="auto"/>
        <w:rPr>
          <w:rFonts w:ascii="宋体" w:hAnsi="宋体"/>
          <w:b/>
          <w:color w:val="000000"/>
          <w:sz w:val="24"/>
          <w:highlight w:val="none"/>
        </w:rPr>
      </w:pPr>
    </w:p>
    <w:p w14:paraId="231B982B">
      <w:pPr>
        <w:spacing w:line="360" w:lineRule="auto"/>
        <w:rPr>
          <w:rFonts w:hint="eastAsia" w:ascii="宋体" w:hAnsi="宋体"/>
          <w:b/>
          <w:color w:val="000000"/>
          <w:sz w:val="24"/>
          <w:highlight w:val="none"/>
        </w:rPr>
      </w:pPr>
    </w:p>
    <w:p w14:paraId="16DA4441">
      <w:pPr>
        <w:spacing w:line="440" w:lineRule="exact"/>
        <w:ind w:firstLine="482"/>
        <w:rPr>
          <w:rFonts w:hint="eastAsia" w:ascii="宋体" w:hAnsi="宋体"/>
          <w:b/>
          <w:color w:val="000000"/>
          <w:sz w:val="24"/>
          <w:highlight w:val="none"/>
        </w:rPr>
      </w:pPr>
      <w:r>
        <w:rPr>
          <w:rFonts w:hint="eastAsia" w:ascii="宋体" w:hAnsi="宋体"/>
          <w:b/>
          <w:color w:val="000000"/>
          <w:sz w:val="24"/>
          <w:highlight w:val="none"/>
        </w:rPr>
        <w:t>注：</w:t>
      </w:r>
    </w:p>
    <w:p w14:paraId="5F61511A">
      <w:pPr>
        <w:spacing w:line="440" w:lineRule="exact"/>
        <w:ind w:firstLine="482"/>
        <w:rPr>
          <w:rFonts w:hint="eastAsia" w:ascii="宋体" w:hAnsi="宋体"/>
          <w:b/>
          <w:color w:val="000000"/>
          <w:sz w:val="24"/>
          <w:highlight w:val="none"/>
        </w:rPr>
      </w:pPr>
      <w:r>
        <w:rPr>
          <w:rFonts w:hint="eastAsia" w:ascii="宋体" w:hAnsi="宋体"/>
          <w:b/>
          <w:color w:val="000000"/>
          <w:sz w:val="24"/>
          <w:highlight w:val="none"/>
        </w:rPr>
        <w:t>1.非监狱企业无需在响应文件中提供。如为监狱企业应在响应文件的封面右上角明确注明相关信息以便方便认可。</w:t>
      </w:r>
    </w:p>
    <w:p w14:paraId="0707F903">
      <w:pPr>
        <w:spacing w:line="440" w:lineRule="exact"/>
        <w:ind w:firstLine="482"/>
        <w:rPr>
          <w:rFonts w:hint="eastAsia" w:ascii="宋体" w:hAnsi="宋体"/>
          <w:b/>
          <w:color w:val="000000"/>
          <w:sz w:val="24"/>
          <w:highlight w:val="none"/>
        </w:rPr>
      </w:pPr>
      <w:r>
        <w:rPr>
          <w:rFonts w:hint="eastAsia" w:ascii="宋体" w:hAnsi="宋体"/>
          <w:b/>
          <w:color w:val="000000"/>
          <w:sz w:val="24"/>
          <w:highlight w:val="none"/>
        </w:rPr>
        <w:t>2.供应商提供《监狱企业声明函》的需保证其真实性，如经查实存在虚假证明的情况，由供应商承担相应责任。</w:t>
      </w:r>
    </w:p>
    <w:p w14:paraId="42CFBB90">
      <w:pPr>
        <w:jc w:val="left"/>
        <w:rPr>
          <w:rFonts w:ascii="宋体" w:hAnsi="宋体"/>
          <w:b/>
          <w:bCs/>
          <w:color w:val="000000"/>
          <w:sz w:val="32"/>
          <w:szCs w:val="32"/>
          <w:highlight w:val="none"/>
        </w:rPr>
      </w:pPr>
    </w:p>
    <w:p w14:paraId="1328E359">
      <w:pPr>
        <w:jc w:val="left"/>
        <w:rPr>
          <w:rFonts w:hint="eastAsia" w:ascii="宋体" w:hAnsi="宋体"/>
          <w:b/>
          <w:bCs/>
          <w:color w:val="000000"/>
          <w:sz w:val="28"/>
          <w:szCs w:val="28"/>
          <w:highlight w:val="none"/>
        </w:rPr>
      </w:pPr>
    </w:p>
    <w:p w14:paraId="36EEB0B7">
      <w:pPr>
        <w:jc w:val="left"/>
        <w:rPr>
          <w:rFonts w:hint="eastAsia" w:ascii="宋体" w:hAnsi="宋体"/>
          <w:b/>
          <w:bCs/>
          <w:color w:val="000000"/>
          <w:sz w:val="24"/>
          <w:szCs w:val="24"/>
          <w:highlight w:val="none"/>
        </w:rPr>
      </w:pPr>
      <w:r>
        <w:rPr>
          <w:rFonts w:hint="eastAsia" w:ascii="宋体" w:hAnsi="宋体"/>
          <w:b/>
          <w:bCs/>
          <w:color w:val="000000"/>
          <w:sz w:val="24"/>
          <w:szCs w:val="24"/>
          <w:highlight w:val="none"/>
        </w:rPr>
        <w:t>附件9.</w:t>
      </w:r>
      <w:r>
        <w:rPr>
          <w:rFonts w:hint="eastAsia" w:ascii="宋体" w:hAnsi="宋体"/>
          <w:b/>
          <w:bCs/>
          <w:color w:val="000000"/>
          <w:sz w:val="24"/>
          <w:szCs w:val="24"/>
          <w:highlight w:val="none"/>
          <w:lang w:val="en-US" w:eastAsia="zh-CN"/>
        </w:rPr>
        <w:t>2：</w:t>
      </w:r>
      <w:r>
        <w:rPr>
          <w:rFonts w:hint="eastAsia" w:ascii="宋体" w:hAnsi="宋体"/>
          <w:b/>
          <w:bCs/>
          <w:color w:val="000000"/>
          <w:sz w:val="24"/>
          <w:szCs w:val="24"/>
          <w:highlight w:val="none"/>
        </w:rPr>
        <w:t>残疾人福利性单位声明函（如有可提供）</w:t>
      </w:r>
    </w:p>
    <w:p w14:paraId="12C0EB4E">
      <w:pPr>
        <w:jc w:val="center"/>
        <w:rPr>
          <w:rFonts w:hint="eastAsia" w:ascii="宋体" w:hAnsi="宋体"/>
          <w:b/>
          <w:bCs/>
          <w:color w:val="000000"/>
          <w:sz w:val="36"/>
          <w:szCs w:val="44"/>
          <w:highlight w:val="none"/>
        </w:rPr>
      </w:pPr>
    </w:p>
    <w:p w14:paraId="46654865">
      <w:pPr>
        <w:jc w:val="center"/>
        <w:rPr>
          <w:rFonts w:hint="eastAsia" w:ascii="宋体" w:hAnsi="宋体"/>
          <w:b/>
          <w:bCs/>
          <w:color w:val="000000"/>
          <w:sz w:val="36"/>
          <w:szCs w:val="44"/>
          <w:highlight w:val="none"/>
        </w:rPr>
      </w:pPr>
      <w:r>
        <w:rPr>
          <w:rFonts w:hint="eastAsia" w:ascii="宋体" w:hAnsi="宋体"/>
          <w:b/>
          <w:bCs/>
          <w:color w:val="000000"/>
          <w:sz w:val="28"/>
          <w:szCs w:val="28"/>
          <w:highlight w:val="none"/>
        </w:rPr>
        <w:t>残疾人福利性单位声明函</w:t>
      </w:r>
    </w:p>
    <w:p w14:paraId="4149971E">
      <w:pPr>
        <w:spacing w:line="48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14:paraId="59C15A9F">
      <w:pPr>
        <w:spacing w:line="480" w:lineRule="auto"/>
        <w:ind w:firstLine="475" w:firstLineChars="198"/>
        <w:rPr>
          <w:rFonts w:hint="eastAsia" w:ascii="宋体" w:hAnsi="宋体"/>
          <w:bCs/>
          <w:color w:val="000000"/>
          <w:sz w:val="24"/>
          <w:highlight w:val="none"/>
        </w:rPr>
      </w:pPr>
      <w:r>
        <w:rPr>
          <w:rFonts w:hint="eastAsia" w:ascii="宋体" w:hAnsi="宋体"/>
          <w:bCs/>
          <w:color w:val="000000"/>
          <w:sz w:val="24"/>
          <w:highlight w:val="none"/>
        </w:rPr>
        <w:t>本单位对上述声明的真实性负责。如有虚假，将依法承担相应责任。</w:t>
      </w:r>
    </w:p>
    <w:p w14:paraId="211371D6">
      <w:pPr>
        <w:spacing w:line="588" w:lineRule="exact"/>
        <w:ind w:firstLine="624" w:firstLineChars="200"/>
        <w:rPr>
          <w:rFonts w:ascii="宋体" w:hAnsi="宋体"/>
          <w:bCs/>
          <w:color w:val="000000"/>
          <w:spacing w:val="6"/>
          <w:sz w:val="30"/>
          <w:szCs w:val="30"/>
          <w:highlight w:val="none"/>
        </w:rPr>
      </w:pPr>
    </w:p>
    <w:p w14:paraId="5EC8E1F6">
      <w:pPr>
        <w:spacing w:line="588" w:lineRule="exact"/>
        <w:ind w:firstLine="626" w:firstLineChars="200"/>
        <w:rPr>
          <w:rFonts w:ascii="宋体" w:hAnsi="宋体"/>
          <w:b/>
          <w:bCs/>
          <w:color w:val="000000"/>
          <w:spacing w:val="6"/>
          <w:sz w:val="30"/>
          <w:szCs w:val="30"/>
          <w:highlight w:val="none"/>
        </w:rPr>
      </w:pPr>
    </w:p>
    <w:p w14:paraId="0AF7680A">
      <w:pPr>
        <w:spacing w:line="360" w:lineRule="auto"/>
        <w:ind w:firstLine="235" w:firstLineChars="98"/>
        <w:jc w:val="right"/>
        <w:rPr>
          <w:rFonts w:hint="eastAsia" w:ascii="宋体" w:hAnsi="宋体"/>
          <w:bCs/>
          <w:color w:val="000000"/>
          <w:sz w:val="24"/>
          <w:highlight w:val="none"/>
        </w:rPr>
      </w:pPr>
      <w:r>
        <w:rPr>
          <w:rFonts w:hint="eastAsia" w:ascii="宋体" w:hAnsi="宋体"/>
          <w:bCs/>
          <w:color w:val="000000"/>
          <w:sz w:val="24"/>
          <w:highlight w:val="none"/>
        </w:rPr>
        <w:t xml:space="preserve">  供应商：</w:t>
      </w:r>
      <w:r>
        <w:rPr>
          <w:rFonts w:hint="eastAsia" w:ascii="宋体" w:hAnsi="宋体"/>
          <w:bCs/>
          <w:color w:val="000000"/>
          <w:sz w:val="24"/>
          <w:highlight w:val="none"/>
          <w:u w:val="single"/>
        </w:rPr>
        <w:t xml:space="preserve">                 </w:t>
      </w:r>
      <w:r>
        <w:rPr>
          <w:rFonts w:hint="eastAsia" w:ascii="宋体" w:hAnsi="宋体"/>
          <w:bCs/>
          <w:color w:val="000000"/>
          <w:sz w:val="24"/>
          <w:highlight w:val="none"/>
        </w:rPr>
        <w:t>（盖章）</w:t>
      </w:r>
    </w:p>
    <w:p w14:paraId="6B53EA88">
      <w:pPr>
        <w:spacing w:line="360" w:lineRule="auto"/>
        <w:ind w:firstLine="235" w:firstLineChars="98"/>
        <w:jc w:val="right"/>
        <w:rPr>
          <w:rFonts w:hint="eastAsia" w:ascii="宋体" w:hAnsi="宋体"/>
          <w:bCs/>
          <w:color w:val="000000"/>
          <w:sz w:val="24"/>
          <w:highlight w:val="none"/>
        </w:rPr>
      </w:pPr>
      <w:r>
        <w:rPr>
          <w:rFonts w:hint="eastAsia" w:ascii="宋体" w:hAnsi="宋体"/>
          <w:bCs/>
          <w:color w:val="000000"/>
          <w:sz w:val="24"/>
          <w:highlight w:val="none"/>
        </w:rPr>
        <w:t xml:space="preserve"> </w:t>
      </w:r>
    </w:p>
    <w:p w14:paraId="0261F9D8">
      <w:pPr>
        <w:spacing w:line="360" w:lineRule="auto"/>
        <w:ind w:firstLine="235" w:firstLineChars="98"/>
        <w:jc w:val="right"/>
        <w:rPr>
          <w:rFonts w:hint="eastAsia" w:ascii="宋体" w:hAnsi="宋体"/>
          <w:bCs/>
          <w:color w:val="000000"/>
          <w:sz w:val="24"/>
          <w:highlight w:val="none"/>
        </w:rPr>
      </w:pPr>
      <w:r>
        <w:rPr>
          <w:rFonts w:hint="eastAsia" w:ascii="宋体" w:hAnsi="宋体"/>
          <w:bCs/>
          <w:color w:val="000000"/>
          <w:sz w:val="24"/>
          <w:highlight w:val="none"/>
        </w:rPr>
        <w:t xml:space="preserve">  法定代表人或其法人授权委托人：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（签字或盖章）</w:t>
      </w:r>
    </w:p>
    <w:p w14:paraId="29311CCC">
      <w:pPr>
        <w:spacing w:line="360" w:lineRule="auto"/>
        <w:ind w:firstLine="235" w:firstLineChars="98"/>
        <w:jc w:val="right"/>
        <w:rPr>
          <w:rFonts w:hint="eastAsia" w:ascii="宋体" w:hAnsi="宋体"/>
          <w:bCs/>
          <w:color w:val="000000"/>
          <w:sz w:val="24"/>
          <w:highlight w:val="none"/>
        </w:rPr>
      </w:pPr>
    </w:p>
    <w:p w14:paraId="6621EE0C">
      <w:pPr>
        <w:spacing w:line="480" w:lineRule="auto"/>
        <w:ind w:firstLine="235" w:firstLineChars="98"/>
        <w:jc w:val="right"/>
        <w:rPr>
          <w:rFonts w:hint="eastAsia" w:ascii="宋体" w:hAnsi="宋体"/>
          <w:bCs/>
          <w:color w:val="000000"/>
          <w:sz w:val="24"/>
          <w:highlight w:val="none"/>
        </w:rPr>
      </w:pPr>
      <w:r>
        <w:rPr>
          <w:rFonts w:hint="eastAsia" w:ascii="宋体" w:hAnsi="宋体"/>
          <w:bCs/>
          <w:color w:val="000000"/>
          <w:sz w:val="24"/>
          <w:highlight w:val="none"/>
        </w:rPr>
        <w:t xml:space="preserve">  日期：</w:t>
      </w:r>
      <w:r>
        <w:rPr>
          <w:rFonts w:hint="eastAsia" w:ascii="宋体" w:hAnsi="宋体"/>
          <w:bCs/>
          <w:color w:val="000000"/>
          <w:sz w:val="24"/>
          <w:highlight w:val="none"/>
          <w:u w:val="single"/>
        </w:rPr>
        <w:t xml:space="preserve">      </w:t>
      </w:r>
      <w:r>
        <w:rPr>
          <w:rFonts w:hint="eastAsia" w:ascii="宋体" w:hAnsi="宋体"/>
          <w:bCs/>
          <w:color w:val="000000"/>
          <w:sz w:val="24"/>
          <w:highlight w:val="none"/>
        </w:rPr>
        <w:t>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日</w:t>
      </w:r>
    </w:p>
    <w:p w14:paraId="2C6177E6">
      <w:pPr>
        <w:spacing w:line="480" w:lineRule="auto"/>
        <w:rPr>
          <w:rFonts w:hint="eastAsia" w:ascii="宋体" w:hAnsi="宋体"/>
          <w:color w:val="000000"/>
          <w:sz w:val="24"/>
          <w:highlight w:val="none"/>
        </w:rPr>
      </w:pPr>
    </w:p>
    <w:p w14:paraId="65B61C7D">
      <w:pPr>
        <w:spacing w:line="480" w:lineRule="auto"/>
        <w:rPr>
          <w:rFonts w:hint="eastAsia" w:ascii="宋体" w:hAnsi="宋体"/>
          <w:b/>
          <w:color w:val="000000"/>
          <w:sz w:val="24"/>
          <w:highlight w:val="none"/>
        </w:rPr>
      </w:pPr>
    </w:p>
    <w:p w14:paraId="46016D36">
      <w:pPr>
        <w:spacing w:line="440" w:lineRule="exact"/>
        <w:ind w:firstLine="482"/>
        <w:rPr>
          <w:rFonts w:hint="eastAsia" w:ascii="宋体" w:hAnsi="宋体"/>
          <w:b/>
          <w:color w:val="000000"/>
          <w:sz w:val="24"/>
          <w:highlight w:val="none"/>
        </w:rPr>
      </w:pPr>
      <w:r>
        <w:rPr>
          <w:rFonts w:hint="eastAsia" w:ascii="宋体" w:hAnsi="宋体"/>
          <w:b/>
          <w:color w:val="000000"/>
          <w:sz w:val="24"/>
          <w:highlight w:val="none"/>
        </w:rPr>
        <w:t>注：</w:t>
      </w:r>
    </w:p>
    <w:p w14:paraId="26A75310">
      <w:pPr>
        <w:spacing w:line="440" w:lineRule="exact"/>
        <w:ind w:firstLine="482"/>
        <w:rPr>
          <w:rFonts w:hint="eastAsia" w:ascii="宋体" w:hAnsi="宋体"/>
          <w:b/>
          <w:color w:val="000000"/>
          <w:sz w:val="24"/>
          <w:highlight w:val="none"/>
        </w:rPr>
      </w:pPr>
      <w:r>
        <w:rPr>
          <w:rFonts w:hint="eastAsia" w:ascii="宋体" w:hAnsi="宋体"/>
          <w:b/>
          <w:color w:val="000000"/>
          <w:sz w:val="24"/>
          <w:highlight w:val="none"/>
        </w:rPr>
        <w:t>1.非残疾人福利性单位无需在响应文件中提供。如为残疾人福利性单位应在响应文件的封面右上角明确注明相关信息以便方便认可。</w:t>
      </w:r>
    </w:p>
    <w:p w14:paraId="1BE80815">
      <w:pPr>
        <w:spacing w:line="440" w:lineRule="exact"/>
        <w:ind w:firstLine="482"/>
        <w:rPr>
          <w:rFonts w:hint="eastAsia" w:ascii="宋体" w:hAnsi="宋体"/>
          <w:b/>
          <w:color w:val="000000"/>
          <w:sz w:val="24"/>
          <w:highlight w:val="none"/>
        </w:rPr>
      </w:pPr>
      <w:r>
        <w:rPr>
          <w:rFonts w:hint="eastAsia" w:ascii="宋体" w:hAnsi="宋体"/>
          <w:b/>
          <w:color w:val="000000"/>
          <w:sz w:val="24"/>
          <w:highlight w:val="none"/>
        </w:rPr>
        <w:t>2.供应商企业所提供的《残疾人福利性单位声明函》，由其自行承担相应的法律责任。</w:t>
      </w:r>
    </w:p>
    <w:p w14:paraId="52B00E2A">
      <w:pPr>
        <w:jc w:val="left"/>
        <w:rPr>
          <w:rFonts w:hint="eastAsia" w:ascii="宋体" w:hAnsi="宋体"/>
          <w:b/>
          <w:bCs/>
          <w:color w:val="000000"/>
          <w:sz w:val="28"/>
          <w:szCs w:val="28"/>
          <w:highlight w:val="none"/>
        </w:rPr>
      </w:pPr>
    </w:p>
    <w:p w14:paraId="69F11641">
      <w:pPr>
        <w:pStyle w:val="14"/>
        <w:rPr>
          <w:rFonts w:hint="eastAsia"/>
          <w:color w:val="000000"/>
          <w:highlight w:val="none"/>
        </w:rPr>
      </w:pPr>
    </w:p>
    <w:p w14:paraId="1B8BE157">
      <w:pPr>
        <w:jc w:val="left"/>
        <w:rPr>
          <w:rFonts w:hint="eastAsia" w:ascii="宋体" w:hAnsi="宋体"/>
          <w:b/>
          <w:bCs/>
          <w:color w:val="000000"/>
          <w:sz w:val="24"/>
          <w:szCs w:val="24"/>
          <w:highlight w:val="none"/>
        </w:rPr>
      </w:pPr>
    </w:p>
    <w:p w14:paraId="75C65474">
      <w:pPr>
        <w:jc w:val="left"/>
        <w:rPr>
          <w:rFonts w:hint="eastAsia" w:ascii="宋体" w:hAnsi="宋体"/>
          <w:b/>
          <w:bCs/>
          <w:color w:val="000000"/>
          <w:sz w:val="24"/>
          <w:szCs w:val="24"/>
          <w:highlight w:val="none"/>
        </w:rPr>
      </w:pPr>
      <w:r>
        <w:rPr>
          <w:rFonts w:hint="eastAsia" w:ascii="宋体" w:hAnsi="宋体"/>
          <w:b/>
          <w:bCs/>
          <w:color w:val="000000"/>
          <w:sz w:val="24"/>
          <w:szCs w:val="24"/>
          <w:highlight w:val="none"/>
        </w:rPr>
        <w:t>附件9.</w:t>
      </w:r>
      <w:r>
        <w:rPr>
          <w:rFonts w:hint="eastAsia" w:ascii="宋体" w:hAnsi="宋体"/>
          <w:b/>
          <w:bCs/>
          <w:color w:val="000000"/>
          <w:sz w:val="24"/>
          <w:szCs w:val="24"/>
          <w:highlight w:val="none"/>
          <w:lang w:val="en-US" w:eastAsia="zh-CN"/>
        </w:rPr>
        <w:t>3：</w:t>
      </w:r>
      <w:r>
        <w:rPr>
          <w:rFonts w:hint="eastAsia" w:ascii="宋体" w:hAnsi="宋体"/>
          <w:b/>
          <w:bCs/>
          <w:color w:val="000000"/>
          <w:sz w:val="24"/>
          <w:szCs w:val="24"/>
          <w:highlight w:val="none"/>
        </w:rPr>
        <w:t>福利性单位声明函（如有可提供）</w:t>
      </w:r>
    </w:p>
    <w:p w14:paraId="6FD35D99">
      <w:pPr>
        <w:jc w:val="center"/>
        <w:rPr>
          <w:rFonts w:hint="eastAsia" w:ascii="宋体" w:hAnsi="宋体"/>
          <w:b/>
          <w:bCs/>
          <w:color w:val="000000"/>
          <w:sz w:val="44"/>
          <w:szCs w:val="44"/>
          <w:highlight w:val="none"/>
        </w:rPr>
      </w:pPr>
    </w:p>
    <w:p w14:paraId="675B002C">
      <w:pPr>
        <w:jc w:val="center"/>
        <w:rPr>
          <w:rFonts w:hint="eastAsia" w:ascii="宋体" w:hAnsi="宋体"/>
          <w:b/>
          <w:bCs/>
          <w:color w:val="000000"/>
          <w:sz w:val="28"/>
          <w:szCs w:val="28"/>
          <w:highlight w:val="none"/>
        </w:rPr>
      </w:pPr>
      <w:r>
        <w:rPr>
          <w:rFonts w:hint="eastAsia" w:ascii="宋体" w:hAnsi="宋体"/>
          <w:b/>
          <w:bCs/>
          <w:color w:val="000000"/>
          <w:sz w:val="28"/>
          <w:szCs w:val="28"/>
          <w:highlight w:val="none"/>
        </w:rPr>
        <w:t>福利性单位声明函</w:t>
      </w:r>
    </w:p>
    <w:p w14:paraId="387CAD56">
      <w:pPr>
        <w:spacing w:line="480" w:lineRule="auto"/>
        <w:ind w:firstLine="480" w:firstLineChars="200"/>
        <w:rPr>
          <w:rFonts w:hint="eastAsia" w:ascii="宋体" w:hAnsi="宋体"/>
          <w:bCs/>
          <w:color w:val="000000"/>
          <w:sz w:val="24"/>
          <w:highlight w:val="none"/>
        </w:rPr>
      </w:pPr>
      <w:r>
        <w:rPr>
          <w:rFonts w:hint="eastAsia" w:ascii="宋体" w:hAnsi="宋体"/>
          <w:bCs/>
          <w:color w:val="000000"/>
          <w:sz w:val="24"/>
          <w:highlight w:val="none"/>
        </w:rPr>
        <w:t>本单位郑重声明，根据陕西省《关于政府采购优先购买福利性企业产品和服务的意见》规定，本单位为符合条件的福利性单位，且本单位参加______单位的______项目采购活动提供本单位制造的货物，或者提供其他福利性单位制造的货物（不包括使用非福利性单位注册商标的货物）。</w:t>
      </w:r>
    </w:p>
    <w:p w14:paraId="4BE5C972">
      <w:pPr>
        <w:spacing w:line="480" w:lineRule="auto"/>
        <w:ind w:firstLine="475" w:firstLineChars="198"/>
        <w:rPr>
          <w:rFonts w:hint="eastAsia" w:ascii="宋体" w:hAnsi="宋体"/>
          <w:bCs/>
          <w:color w:val="000000"/>
          <w:sz w:val="24"/>
          <w:highlight w:val="none"/>
        </w:rPr>
      </w:pPr>
      <w:r>
        <w:rPr>
          <w:rFonts w:hint="eastAsia" w:ascii="宋体" w:hAnsi="宋体"/>
          <w:bCs/>
          <w:color w:val="000000"/>
          <w:sz w:val="24"/>
          <w:highlight w:val="none"/>
        </w:rPr>
        <w:t>本单位对上述声明的真实性负责。如有虚假，将依法承担相应责任。</w:t>
      </w:r>
    </w:p>
    <w:p w14:paraId="41FD9AA6">
      <w:pPr>
        <w:spacing w:line="588" w:lineRule="exact"/>
        <w:rPr>
          <w:rFonts w:hint="eastAsia" w:ascii="宋体" w:hAnsi="宋体"/>
          <w:b/>
          <w:bCs/>
          <w:color w:val="000000"/>
          <w:spacing w:val="6"/>
          <w:sz w:val="30"/>
          <w:szCs w:val="30"/>
          <w:highlight w:val="none"/>
        </w:rPr>
      </w:pPr>
    </w:p>
    <w:p w14:paraId="37FBA3B1">
      <w:pPr>
        <w:spacing w:line="360" w:lineRule="auto"/>
        <w:ind w:firstLine="235" w:firstLineChars="98"/>
        <w:jc w:val="right"/>
        <w:rPr>
          <w:rFonts w:hint="eastAsia" w:ascii="宋体" w:hAnsi="宋体"/>
          <w:bCs/>
          <w:color w:val="000000"/>
          <w:sz w:val="24"/>
          <w:highlight w:val="none"/>
        </w:rPr>
      </w:pPr>
      <w:r>
        <w:rPr>
          <w:rFonts w:hint="eastAsia" w:ascii="宋体" w:hAnsi="宋体"/>
          <w:bCs/>
          <w:color w:val="000000"/>
          <w:sz w:val="24"/>
          <w:highlight w:val="none"/>
        </w:rPr>
        <w:t xml:space="preserve">  供应商：</w:t>
      </w:r>
      <w:r>
        <w:rPr>
          <w:rFonts w:hint="eastAsia" w:ascii="宋体" w:hAnsi="宋体"/>
          <w:bCs/>
          <w:color w:val="000000"/>
          <w:sz w:val="24"/>
          <w:highlight w:val="none"/>
          <w:u w:val="single"/>
        </w:rPr>
        <w:t xml:space="preserve">                 </w:t>
      </w:r>
      <w:r>
        <w:rPr>
          <w:rFonts w:hint="eastAsia" w:ascii="宋体" w:hAnsi="宋体"/>
          <w:bCs/>
          <w:color w:val="000000"/>
          <w:sz w:val="24"/>
          <w:highlight w:val="none"/>
        </w:rPr>
        <w:t>（盖章）</w:t>
      </w:r>
    </w:p>
    <w:p w14:paraId="293056C7">
      <w:pPr>
        <w:spacing w:line="360" w:lineRule="auto"/>
        <w:ind w:firstLine="235" w:firstLineChars="98"/>
        <w:jc w:val="right"/>
        <w:rPr>
          <w:rFonts w:hint="eastAsia" w:ascii="宋体" w:hAnsi="宋体"/>
          <w:bCs/>
          <w:color w:val="000000"/>
          <w:sz w:val="24"/>
          <w:highlight w:val="none"/>
        </w:rPr>
      </w:pPr>
      <w:r>
        <w:rPr>
          <w:rFonts w:hint="eastAsia" w:ascii="宋体" w:hAnsi="宋体"/>
          <w:bCs/>
          <w:color w:val="000000"/>
          <w:sz w:val="24"/>
          <w:highlight w:val="none"/>
        </w:rPr>
        <w:t xml:space="preserve"> </w:t>
      </w:r>
    </w:p>
    <w:p w14:paraId="03A8C9C3">
      <w:pPr>
        <w:spacing w:line="360" w:lineRule="auto"/>
        <w:ind w:firstLine="235" w:firstLineChars="98"/>
        <w:jc w:val="right"/>
        <w:rPr>
          <w:rFonts w:hint="eastAsia" w:ascii="宋体" w:hAnsi="宋体"/>
          <w:bCs/>
          <w:color w:val="000000"/>
          <w:sz w:val="24"/>
          <w:highlight w:val="none"/>
        </w:rPr>
      </w:pPr>
      <w:r>
        <w:rPr>
          <w:rFonts w:hint="eastAsia" w:ascii="宋体" w:hAnsi="宋体"/>
          <w:bCs/>
          <w:color w:val="000000"/>
          <w:sz w:val="24"/>
          <w:highlight w:val="none"/>
        </w:rPr>
        <w:t xml:space="preserve">  法定代表人或其法人授权委托人：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（签字或盖章）</w:t>
      </w:r>
    </w:p>
    <w:p w14:paraId="4ADCCE47">
      <w:pPr>
        <w:spacing w:line="360" w:lineRule="auto"/>
        <w:ind w:firstLine="235" w:firstLineChars="98"/>
        <w:jc w:val="right"/>
        <w:rPr>
          <w:rFonts w:hint="eastAsia" w:ascii="宋体" w:hAnsi="宋体"/>
          <w:bCs/>
          <w:color w:val="000000"/>
          <w:sz w:val="24"/>
          <w:highlight w:val="none"/>
        </w:rPr>
      </w:pPr>
    </w:p>
    <w:p w14:paraId="7B2C771D">
      <w:pPr>
        <w:spacing w:line="480" w:lineRule="auto"/>
        <w:ind w:firstLine="235" w:firstLineChars="98"/>
        <w:jc w:val="right"/>
        <w:rPr>
          <w:rFonts w:hint="eastAsia" w:ascii="宋体" w:hAnsi="宋体"/>
          <w:bCs/>
          <w:color w:val="000000"/>
          <w:sz w:val="24"/>
          <w:highlight w:val="none"/>
        </w:rPr>
      </w:pPr>
      <w:r>
        <w:rPr>
          <w:rFonts w:hint="eastAsia" w:ascii="宋体" w:hAnsi="宋体"/>
          <w:bCs/>
          <w:color w:val="000000"/>
          <w:sz w:val="24"/>
          <w:highlight w:val="none"/>
        </w:rPr>
        <w:t xml:space="preserve">  日期：</w:t>
      </w:r>
      <w:r>
        <w:rPr>
          <w:rFonts w:hint="eastAsia" w:ascii="宋体" w:hAnsi="宋体"/>
          <w:bCs/>
          <w:color w:val="000000"/>
          <w:sz w:val="24"/>
          <w:highlight w:val="none"/>
          <w:u w:val="single"/>
        </w:rPr>
        <w:t xml:space="preserve">      </w:t>
      </w:r>
      <w:r>
        <w:rPr>
          <w:rFonts w:hint="eastAsia" w:ascii="宋体" w:hAnsi="宋体"/>
          <w:bCs/>
          <w:color w:val="000000"/>
          <w:sz w:val="24"/>
          <w:highlight w:val="none"/>
        </w:rPr>
        <w:t>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日</w:t>
      </w:r>
    </w:p>
    <w:p w14:paraId="65FAD072">
      <w:pPr>
        <w:spacing w:line="440" w:lineRule="exact"/>
        <w:ind w:firstLine="482"/>
        <w:rPr>
          <w:rFonts w:hint="eastAsia" w:ascii="宋体" w:hAnsi="宋体"/>
          <w:b/>
          <w:color w:val="000000"/>
          <w:sz w:val="24"/>
          <w:highlight w:val="none"/>
        </w:rPr>
      </w:pPr>
      <w:r>
        <w:rPr>
          <w:rFonts w:hint="eastAsia" w:ascii="宋体" w:hAnsi="宋体"/>
          <w:b/>
          <w:color w:val="000000"/>
          <w:sz w:val="24"/>
          <w:highlight w:val="none"/>
        </w:rPr>
        <w:t>注：</w:t>
      </w:r>
    </w:p>
    <w:p w14:paraId="76FB01F7">
      <w:pPr>
        <w:spacing w:line="440" w:lineRule="exact"/>
        <w:ind w:firstLine="482"/>
        <w:rPr>
          <w:rFonts w:hint="eastAsia" w:ascii="宋体" w:hAnsi="宋体"/>
          <w:b/>
          <w:color w:val="000000"/>
          <w:sz w:val="24"/>
          <w:highlight w:val="none"/>
        </w:rPr>
      </w:pPr>
      <w:r>
        <w:rPr>
          <w:rFonts w:hint="eastAsia" w:ascii="宋体" w:hAnsi="宋体"/>
          <w:b/>
          <w:color w:val="000000"/>
          <w:sz w:val="24"/>
          <w:highlight w:val="none"/>
        </w:rPr>
        <w:t>1.非福利性单位无需在响应文件中提供。如为福利性单位应在响应文件的封面右上角明确注明相关信息以便方便认可。</w:t>
      </w:r>
    </w:p>
    <w:p w14:paraId="54792478">
      <w:pPr>
        <w:spacing w:line="440" w:lineRule="exact"/>
        <w:ind w:firstLine="482"/>
        <w:rPr>
          <w:rFonts w:hint="eastAsia" w:ascii="宋体" w:hAnsi="宋体"/>
          <w:b/>
          <w:color w:val="000000"/>
          <w:sz w:val="24"/>
          <w:highlight w:val="none"/>
        </w:rPr>
      </w:pPr>
      <w:r>
        <w:rPr>
          <w:rFonts w:hint="eastAsia" w:ascii="宋体" w:hAnsi="宋体"/>
          <w:b/>
          <w:color w:val="000000"/>
          <w:sz w:val="24"/>
          <w:highlight w:val="none"/>
        </w:rPr>
        <w:t>2.供应商企业所提供的《福利性单位声明函》，由其自行承担相应的法律责任。</w:t>
      </w:r>
    </w:p>
    <w:p w14:paraId="0893A254">
      <w:pPr>
        <w:jc w:val="left"/>
        <w:rPr>
          <w:rFonts w:hint="eastAsia" w:ascii="宋体" w:hAnsi="宋体"/>
          <w:b/>
          <w:bCs/>
          <w:color w:val="000000"/>
          <w:sz w:val="28"/>
          <w:szCs w:val="28"/>
          <w:highlight w:val="none"/>
        </w:rPr>
      </w:pPr>
    </w:p>
    <w:p w14:paraId="31AE77DF">
      <w:pPr>
        <w:jc w:val="left"/>
        <w:rPr>
          <w:rFonts w:hint="eastAsia" w:ascii="宋体" w:hAnsi="宋体"/>
          <w:b/>
          <w:bCs/>
          <w:color w:val="000000"/>
          <w:sz w:val="28"/>
          <w:szCs w:val="28"/>
          <w:highlight w:val="none"/>
        </w:rPr>
      </w:pPr>
    </w:p>
    <w:p w14:paraId="5F255F92">
      <w:pPr>
        <w:jc w:val="left"/>
        <w:rPr>
          <w:rFonts w:hint="eastAsia" w:ascii="宋体" w:hAnsi="宋体"/>
          <w:b/>
          <w:bCs/>
          <w:color w:val="000000"/>
          <w:sz w:val="28"/>
          <w:szCs w:val="28"/>
          <w:highlight w:val="none"/>
        </w:rPr>
      </w:pPr>
    </w:p>
    <w:p w14:paraId="4E47D978">
      <w:pPr>
        <w:jc w:val="left"/>
        <w:rPr>
          <w:rFonts w:hint="eastAsia" w:ascii="宋体" w:hAnsi="宋体"/>
          <w:b/>
          <w:bCs/>
          <w:color w:val="000000"/>
          <w:sz w:val="28"/>
          <w:szCs w:val="28"/>
          <w:highlight w:val="none"/>
        </w:rPr>
      </w:pPr>
    </w:p>
    <w:p w14:paraId="028229C3">
      <w:pPr>
        <w:jc w:val="left"/>
        <w:rPr>
          <w:rFonts w:hint="eastAsia" w:ascii="宋体" w:hAnsi="宋体"/>
          <w:b/>
          <w:bCs/>
          <w:color w:val="000000"/>
          <w:sz w:val="28"/>
          <w:szCs w:val="28"/>
          <w:highlight w:val="none"/>
        </w:rPr>
      </w:pPr>
    </w:p>
    <w:p w14:paraId="067BEA8D">
      <w:pPr>
        <w:jc w:val="left"/>
        <w:rPr>
          <w:rFonts w:hint="eastAsia" w:ascii="宋体" w:hAnsi="宋体"/>
          <w:b/>
          <w:bCs/>
          <w:color w:val="000000"/>
          <w:sz w:val="28"/>
          <w:szCs w:val="28"/>
          <w:highlight w:val="none"/>
        </w:rPr>
      </w:pPr>
    </w:p>
    <w:p w14:paraId="48EDBF61">
      <w:pPr>
        <w:jc w:val="left"/>
        <w:rPr>
          <w:rFonts w:hint="eastAsia" w:ascii="宋体" w:hAnsi="宋体"/>
          <w:b/>
          <w:bCs/>
          <w:color w:val="000000"/>
          <w:sz w:val="24"/>
          <w:szCs w:val="32"/>
          <w:highlight w:val="none"/>
        </w:rPr>
      </w:pPr>
      <w:r>
        <w:rPr>
          <w:rFonts w:hint="eastAsia" w:ascii="宋体" w:hAnsi="宋体"/>
          <w:b/>
          <w:bCs/>
          <w:color w:val="000000"/>
          <w:sz w:val="24"/>
          <w:szCs w:val="32"/>
          <w:highlight w:val="none"/>
        </w:rPr>
        <w:t>附件9.</w:t>
      </w:r>
      <w:r>
        <w:rPr>
          <w:rFonts w:hint="eastAsia" w:ascii="宋体" w:hAnsi="宋体"/>
          <w:b/>
          <w:bCs/>
          <w:color w:val="000000"/>
          <w:sz w:val="24"/>
          <w:szCs w:val="32"/>
          <w:highlight w:val="none"/>
          <w:lang w:val="en-US" w:eastAsia="zh-CN"/>
        </w:rPr>
        <w:t>4：</w:t>
      </w:r>
      <w:r>
        <w:rPr>
          <w:rFonts w:hint="eastAsia" w:ascii="宋体" w:hAnsi="宋体"/>
          <w:b/>
          <w:bCs/>
          <w:color w:val="000000"/>
          <w:sz w:val="24"/>
          <w:szCs w:val="32"/>
          <w:highlight w:val="none"/>
        </w:rPr>
        <w:t xml:space="preserve">拒绝政府采购领域商业贿赂承诺书 </w:t>
      </w:r>
    </w:p>
    <w:p w14:paraId="3D20B608">
      <w:pPr>
        <w:snapToGrid w:val="0"/>
        <w:spacing w:line="560" w:lineRule="exact"/>
        <w:ind w:firstLine="480" w:firstLineChars="200"/>
        <w:rPr>
          <w:rFonts w:hint="eastAsia" w:ascii="宋体" w:hAnsi="宋体"/>
          <w:bCs/>
          <w:color w:val="000000"/>
          <w:sz w:val="24"/>
          <w:szCs w:val="24"/>
          <w:highlight w:val="none"/>
        </w:rPr>
      </w:pPr>
      <w:r>
        <w:rPr>
          <w:rFonts w:hint="eastAsia" w:ascii="宋体" w:hAnsi="宋体"/>
          <w:bCs/>
          <w:color w:val="000000"/>
          <w:sz w:val="24"/>
          <w:szCs w:val="24"/>
          <w:highlight w:val="none"/>
        </w:rPr>
        <w:t>为响应党中央、国务院关于治理采购领域商业贿赂行为的号召，我公司再次承诺：</w:t>
      </w:r>
    </w:p>
    <w:p w14:paraId="743D9077">
      <w:pPr>
        <w:snapToGrid w:val="0"/>
        <w:spacing w:line="560" w:lineRule="exact"/>
        <w:ind w:firstLine="480" w:firstLineChars="200"/>
        <w:rPr>
          <w:rFonts w:hint="eastAsia" w:ascii="宋体" w:hAnsi="宋体"/>
          <w:bCs/>
          <w:color w:val="000000"/>
          <w:sz w:val="24"/>
          <w:szCs w:val="24"/>
          <w:highlight w:val="none"/>
        </w:rPr>
      </w:pPr>
      <w:r>
        <w:rPr>
          <w:rFonts w:hint="eastAsia" w:ascii="宋体" w:hAnsi="宋体"/>
          <w:bCs/>
          <w:color w:val="000000"/>
          <w:sz w:val="24"/>
          <w:szCs w:val="24"/>
          <w:highlight w:val="none"/>
        </w:rPr>
        <w:t>1.在参与采购活动中遵纪守法、诚信经营、公平竞标。</w:t>
      </w:r>
    </w:p>
    <w:p w14:paraId="211E3B9B">
      <w:pPr>
        <w:snapToGrid w:val="0"/>
        <w:spacing w:line="560" w:lineRule="exact"/>
        <w:ind w:firstLine="480" w:firstLineChars="200"/>
        <w:rPr>
          <w:rFonts w:hint="eastAsia" w:ascii="宋体" w:hAnsi="宋体"/>
          <w:bCs/>
          <w:color w:val="000000"/>
          <w:sz w:val="24"/>
          <w:szCs w:val="24"/>
          <w:highlight w:val="none"/>
        </w:rPr>
      </w:pPr>
      <w:r>
        <w:rPr>
          <w:rFonts w:hint="eastAsia" w:ascii="宋体" w:hAnsi="宋体"/>
          <w:bCs/>
          <w:color w:val="000000"/>
          <w:sz w:val="24"/>
          <w:szCs w:val="24"/>
          <w:highlight w:val="none"/>
        </w:rPr>
        <w:t>2.不向采购人、采购代理机构和采购评审专家进行任何形式的商业贿赂以谋取中标交易机会。</w:t>
      </w:r>
    </w:p>
    <w:p w14:paraId="588B80EF">
      <w:pPr>
        <w:snapToGrid w:val="0"/>
        <w:spacing w:line="560" w:lineRule="exact"/>
        <w:ind w:firstLine="480" w:firstLineChars="200"/>
        <w:rPr>
          <w:rFonts w:hint="eastAsia" w:ascii="宋体" w:hAnsi="宋体"/>
          <w:bCs/>
          <w:color w:val="000000"/>
          <w:sz w:val="24"/>
          <w:szCs w:val="24"/>
          <w:highlight w:val="none"/>
        </w:rPr>
      </w:pPr>
      <w:r>
        <w:rPr>
          <w:rFonts w:hint="eastAsia" w:ascii="宋体" w:hAnsi="宋体"/>
          <w:bCs/>
          <w:color w:val="000000"/>
          <w:sz w:val="24"/>
          <w:szCs w:val="24"/>
          <w:highlight w:val="none"/>
        </w:rPr>
        <w:t>3.不向采购代理机构和采购人提供虚假资质文件或采用虚假应标方式参与采购市场竞争并谋取中标。</w:t>
      </w:r>
    </w:p>
    <w:p w14:paraId="06E31744">
      <w:pPr>
        <w:snapToGrid w:val="0"/>
        <w:spacing w:line="560" w:lineRule="exact"/>
        <w:ind w:firstLine="480" w:firstLineChars="200"/>
        <w:rPr>
          <w:rFonts w:hint="eastAsia" w:ascii="宋体" w:hAnsi="宋体"/>
          <w:bCs/>
          <w:color w:val="000000"/>
          <w:sz w:val="24"/>
          <w:szCs w:val="24"/>
          <w:highlight w:val="none"/>
        </w:rPr>
      </w:pPr>
      <w:r>
        <w:rPr>
          <w:rFonts w:hint="eastAsia" w:ascii="宋体" w:hAnsi="宋体"/>
          <w:bCs/>
          <w:color w:val="000000"/>
          <w:sz w:val="24"/>
          <w:szCs w:val="24"/>
          <w:highlight w:val="none"/>
        </w:rPr>
        <w:t>4.不采取“围标、陪标”等商业欺诈手段获取采购订单。</w:t>
      </w:r>
    </w:p>
    <w:p w14:paraId="1BD59405">
      <w:pPr>
        <w:snapToGrid w:val="0"/>
        <w:spacing w:line="560" w:lineRule="exact"/>
        <w:ind w:firstLine="480" w:firstLineChars="200"/>
        <w:rPr>
          <w:rFonts w:hint="eastAsia" w:ascii="宋体" w:hAnsi="宋体"/>
          <w:bCs/>
          <w:color w:val="000000"/>
          <w:sz w:val="24"/>
          <w:szCs w:val="24"/>
          <w:highlight w:val="none"/>
        </w:rPr>
      </w:pPr>
      <w:r>
        <w:rPr>
          <w:rFonts w:hint="eastAsia" w:ascii="宋体" w:hAnsi="宋体"/>
          <w:bCs/>
          <w:color w:val="000000"/>
          <w:sz w:val="24"/>
          <w:szCs w:val="24"/>
          <w:highlight w:val="none"/>
        </w:rPr>
        <w:t>5.不采取不正当手段诋毁、排挤其他供应商。</w:t>
      </w:r>
    </w:p>
    <w:p w14:paraId="4AC7753F">
      <w:pPr>
        <w:snapToGrid w:val="0"/>
        <w:spacing w:line="560" w:lineRule="exact"/>
        <w:ind w:firstLine="480" w:firstLineChars="200"/>
        <w:rPr>
          <w:rFonts w:hint="eastAsia" w:ascii="宋体" w:hAnsi="宋体"/>
          <w:bCs/>
          <w:color w:val="000000"/>
          <w:sz w:val="24"/>
          <w:szCs w:val="24"/>
          <w:highlight w:val="none"/>
        </w:rPr>
      </w:pPr>
      <w:r>
        <w:rPr>
          <w:rFonts w:hint="eastAsia" w:ascii="宋体" w:hAnsi="宋体"/>
          <w:bCs/>
          <w:color w:val="000000"/>
          <w:sz w:val="24"/>
          <w:szCs w:val="24"/>
          <w:highlight w:val="none"/>
        </w:rPr>
        <w:t>6.不在提供商品和服务时“偷梁换柱、以次充好”损害采购人的合法权益。</w:t>
      </w:r>
    </w:p>
    <w:p w14:paraId="60DEE17E">
      <w:pPr>
        <w:snapToGrid w:val="0"/>
        <w:spacing w:line="560" w:lineRule="exact"/>
        <w:ind w:firstLine="480" w:firstLineChars="200"/>
        <w:rPr>
          <w:rFonts w:hint="eastAsia" w:ascii="宋体" w:hAnsi="宋体"/>
          <w:bCs/>
          <w:color w:val="000000"/>
          <w:sz w:val="24"/>
          <w:szCs w:val="24"/>
          <w:highlight w:val="none"/>
        </w:rPr>
      </w:pPr>
      <w:r>
        <w:rPr>
          <w:rFonts w:hint="eastAsia" w:ascii="宋体" w:hAnsi="宋体"/>
          <w:bCs/>
          <w:color w:val="000000"/>
          <w:sz w:val="24"/>
          <w:szCs w:val="24"/>
          <w:highlight w:val="none"/>
        </w:rPr>
        <w:t>7.不与采购人、采购代理机构、采购评审专家或其他供应商恶意串通，进行质疑和投诉，维护采购市场秩序。</w:t>
      </w:r>
    </w:p>
    <w:p w14:paraId="7FE59A08">
      <w:pPr>
        <w:snapToGrid w:val="0"/>
        <w:spacing w:line="560" w:lineRule="exact"/>
        <w:ind w:firstLine="480" w:firstLineChars="200"/>
        <w:rPr>
          <w:rFonts w:hint="eastAsia" w:ascii="宋体" w:hAnsi="宋体"/>
          <w:bCs/>
          <w:color w:val="000000"/>
          <w:sz w:val="24"/>
          <w:szCs w:val="24"/>
          <w:highlight w:val="none"/>
        </w:rPr>
      </w:pPr>
      <w:r>
        <w:rPr>
          <w:rFonts w:hint="eastAsia" w:ascii="宋体" w:hAnsi="宋体"/>
          <w:bCs/>
          <w:color w:val="000000"/>
          <w:sz w:val="24"/>
          <w:szCs w:val="24"/>
          <w:highlight w:val="none"/>
        </w:rPr>
        <w:t>8.尊重和接受采购监督管理部门的监督和采购代理机构的采购要求，承担因违约行为给采购人造成的损失。</w:t>
      </w:r>
    </w:p>
    <w:p w14:paraId="29214081">
      <w:pPr>
        <w:snapToGrid w:val="0"/>
        <w:spacing w:line="560" w:lineRule="exact"/>
        <w:ind w:firstLine="480" w:firstLineChars="200"/>
        <w:rPr>
          <w:rFonts w:hint="eastAsia" w:ascii="宋体" w:hAnsi="宋体"/>
          <w:bCs/>
          <w:color w:val="000000"/>
          <w:sz w:val="24"/>
          <w:szCs w:val="24"/>
          <w:highlight w:val="none"/>
        </w:rPr>
      </w:pPr>
      <w:r>
        <w:rPr>
          <w:rFonts w:hint="eastAsia" w:ascii="宋体" w:hAnsi="宋体"/>
          <w:bCs/>
          <w:color w:val="000000"/>
          <w:sz w:val="24"/>
          <w:szCs w:val="24"/>
          <w:highlight w:val="none"/>
        </w:rPr>
        <w:t>9.不发生其他有悖于政府采购公开、公平、公正和诚信原则的行为。</w:t>
      </w:r>
    </w:p>
    <w:p w14:paraId="3690B7E9">
      <w:pPr>
        <w:snapToGrid w:val="0"/>
        <w:spacing w:line="480" w:lineRule="auto"/>
        <w:ind w:left="482"/>
        <w:rPr>
          <w:rFonts w:hint="eastAsia" w:ascii="宋体" w:hAnsi="宋体"/>
          <w:bCs/>
          <w:color w:val="000000"/>
          <w:sz w:val="24"/>
          <w:szCs w:val="24"/>
          <w:highlight w:val="none"/>
        </w:rPr>
      </w:pPr>
    </w:p>
    <w:p w14:paraId="01A6A11A">
      <w:pPr>
        <w:snapToGrid w:val="0"/>
        <w:spacing w:line="480" w:lineRule="auto"/>
        <w:ind w:left="482"/>
        <w:rPr>
          <w:rFonts w:hint="eastAsia" w:ascii="宋体" w:hAnsi="宋体"/>
          <w:bCs/>
          <w:color w:val="000000"/>
          <w:sz w:val="24"/>
          <w:szCs w:val="24"/>
          <w:highlight w:val="none"/>
        </w:rPr>
      </w:pPr>
      <w:r>
        <w:rPr>
          <w:rFonts w:hint="eastAsia" w:ascii="宋体" w:hAnsi="宋体"/>
          <w:bCs/>
          <w:color w:val="000000"/>
          <w:sz w:val="24"/>
          <w:szCs w:val="24"/>
          <w:highlight w:val="none"/>
        </w:rPr>
        <w:t>承诺单位：（盖章）                  全权代表：（签字）</w:t>
      </w:r>
    </w:p>
    <w:p w14:paraId="15376370">
      <w:pPr>
        <w:snapToGrid w:val="0"/>
        <w:spacing w:line="480" w:lineRule="auto"/>
        <w:ind w:left="482"/>
        <w:rPr>
          <w:rFonts w:hint="eastAsia" w:ascii="宋体" w:hAnsi="宋体"/>
          <w:bCs/>
          <w:color w:val="000000"/>
          <w:sz w:val="24"/>
          <w:szCs w:val="24"/>
          <w:highlight w:val="none"/>
        </w:rPr>
      </w:pPr>
      <w:r>
        <w:rPr>
          <w:rFonts w:hint="eastAsia" w:ascii="宋体" w:hAnsi="宋体"/>
          <w:bCs/>
          <w:color w:val="000000"/>
          <w:sz w:val="24"/>
          <w:szCs w:val="24"/>
          <w:highlight w:val="none"/>
        </w:rPr>
        <w:t>地址：                              邮编：</w:t>
      </w:r>
    </w:p>
    <w:p w14:paraId="3701A6B4">
      <w:pPr>
        <w:snapToGrid w:val="0"/>
        <w:spacing w:line="480" w:lineRule="auto"/>
        <w:ind w:left="482"/>
        <w:rPr>
          <w:rFonts w:hint="eastAsia" w:ascii="宋体" w:hAnsi="宋体"/>
          <w:bCs/>
          <w:color w:val="000000"/>
          <w:sz w:val="24"/>
          <w:szCs w:val="24"/>
          <w:highlight w:val="none"/>
        </w:rPr>
      </w:pPr>
      <w:r>
        <w:rPr>
          <w:rFonts w:hint="eastAsia" w:ascii="宋体" w:hAnsi="宋体"/>
          <w:bCs/>
          <w:color w:val="000000"/>
          <w:sz w:val="24"/>
          <w:szCs w:val="24"/>
          <w:highlight w:val="none"/>
        </w:rPr>
        <w:t xml:space="preserve">电话：                              电话： </w:t>
      </w:r>
    </w:p>
    <w:p w14:paraId="21576129">
      <w:pPr>
        <w:snapToGrid w:val="0"/>
        <w:spacing w:line="480" w:lineRule="auto"/>
        <w:ind w:left="483" w:leftChars="230" w:firstLine="5160" w:firstLineChars="2150"/>
        <w:rPr>
          <w:rFonts w:hint="eastAsia" w:ascii="宋体" w:hAnsi="宋体"/>
          <w:bCs/>
          <w:color w:val="000000"/>
          <w:sz w:val="24"/>
          <w:szCs w:val="24"/>
          <w:highlight w:val="none"/>
        </w:rPr>
      </w:pPr>
    </w:p>
    <w:p w14:paraId="50F85144">
      <w:pPr>
        <w:snapToGrid w:val="0"/>
        <w:spacing w:line="480" w:lineRule="auto"/>
        <w:jc w:val="right"/>
        <w:rPr>
          <w:rFonts w:hint="eastAsia"/>
          <w:color w:val="000000"/>
          <w:highlight w:val="none"/>
        </w:rPr>
      </w:pPr>
      <w:r>
        <w:rPr>
          <w:rFonts w:hint="eastAsia" w:ascii="宋体" w:hAnsi="宋体"/>
          <w:bCs/>
          <w:color w:val="000000"/>
          <w:sz w:val="24"/>
          <w:szCs w:val="24"/>
          <w:highlight w:val="none"/>
        </w:rPr>
        <w:t>年    月    日</w:t>
      </w:r>
    </w:p>
    <w:sectPr>
      <w:headerReference r:id="rId21" w:type="default"/>
      <w:footerReference r:id="rId22" w:type="default"/>
      <w:footerReference r:id="rId23" w:type="even"/>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28DB53E-93D7-4343-A6F3-9E75AEB628F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embedRegular r:id="rId2" w:fontKey="{1335F4BA-691E-435C-9818-3D54AA41ED7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6A051">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8B0AD">
    <w:pPr>
      <w:pStyle w:val="25"/>
      <w:rPr>
        <w:rFonts w:hint="eastAsia"/>
      </w:rPr>
    </w:pPr>
    <w:r>
      <w:rPr>
        <w:rFonts w:hint="eastAsia"/>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5FCDD">
    <w:pPr>
      <w:pStyle w:val="25"/>
    </w:pPr>
    <w:r>
      <mc:AlternateContent>
        <mc:Choice Requires="wps">
          <w:drawing>
            <wp:anchor distT="0" distB="0" distL="114300" distR="114300" simplePos="0" relativeHeight="251660288" behindDoc="0" locked="0" layoutInCell="1" allowOverlap="1">
              <wp:simplePos x="0" y="0"/>
              <wp:positionH relativeFrom="margin">
                <wp:posOffset>2408555</wp:posOffset>
              </wp:positionH>
              <wp:positionV relativeFrom="paragraph">
                <wp:posOffset>-13970</wp:posOffset>
              </wp:positionV>
              <wp:extent cx="511810" cy="166370"/>
              <wp:effectExtent l="0" t="0" r="0" b="0"/>
              <wp:wrapNone/>
              <wp:docPr id="4" name="文本框 62"/>
              <wp:cNvGraphicFramePr/>
              <a:graphic xmlns:a="http://schemas.openxmlformats.org/drawingml/2006/main">
                <a:graphicData uri="http://schemas.microsoft.com/office/word/2010/wordprocessingShape">
                  <wps:wsp>
                    <wps:cNvSpPr txBox="1"/>
                    <wps:spPr>
                      <a:xfrm>
                        <a:off x="0" y="0"/>
                        <a:ext cx="511810" cy="166370"/>
                      </a:xfrm>
                      <a:prstGeom prst="rect">
                        <a:avLst/>
                      </a:prstGeom>
                      <a:noFill/>
                      <a:ln>
                        <a:noFill/>
                      </a:ln>
                    </wps:spPr>
                    <wps:txbx>
                      <w:txbxContent>
                        <w:p w14:paraId="6A5F9E19">
                          <w:pPr>
                            <w:pStyle w:val="25"/>
                            <w:rPr>
                              <w:rFonts w:hint="eastAsia"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rPr>
                            <w:t xml:space="preserve"> 页</w:t>
                          </w:r>
                        </w:p>
                      </w:txbxContent>
                    </wps:txbx>
                    <wps:bodyPr wrap="square" lIns="0" tIns="0" rIns="0" bIns="0" upright="0">
                      <a:noAutofit/>
                    </wps:bodyPr>
                  </wps:wsp>
                </a:graphicData>
              </a:graphic>
            </wp:anchor>
          </w:drawing>
        </mc:Choice>
        <mc:Fallback>
          <w:pict>
            <v:shape id="文本框 62" o:spid="_x0000_s1026" o:spt="202" type="#_x0000_t202" style="position:absolute;left:0pt;margin-left:189.65pt;margin-top:-1.1pt;height:13.1pt;width:40.3pt;mso-position-horizontal-relative:margin;z-index:251660288;mso-width-relative:page;mso-height-relative:page;" filled="f" stroked="f" coordsize="21600,21600" o:gfxdata="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m1cS+2QAAAAkBAAAPAAAAAAAAAAEAIAAAACIA&#10;AABkcnMvZG93bnJldi54bWxQSwECFAAUAAAACACHTuJA/m7kYs8BAACaAwAADgAAAAAAAAABACAA&#10;AAAoAQAAZHJzL2Uyb0RvYy54bWxQSwUGAAAAAAYABgBZAQAAaQUAAAAA&#10;">
              <v:fill on="f" focussize="0,0"/>
              <v:stroke on="f"/>
              <v:imagedata o:title=""/>
              <o:lock v:ext="edit" aspectratio="f"/>
              <v:textbox inset="0mm,0mm,0mm,0mm">
                <w:txbxContent>
                  <w:p w14:paraId="6A5F9E19">
                    <w:pPr>
                      <w:pStyle w:val="25"/>
                      <w:rPr>
                        <w:rFonts w:hint="eastAsia"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89381">
    <w:pPr>
      <w:pStyle w:val="2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21D789A">
                          <w:pPr>
                            <w:pStyle w:val="25"/>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0">
                      <a:spAutoFit/>
                    </wps:bodyPr>
                  </wps:wsp>
                </a:graphicData>
              </a:graphic>
            </wp:anchor>
          </w:drawing>
        </mc:Choice>
        <mc:Fallback>
          <w:pict>
            <v:shape id="文本框 6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t2Yj9soBAACaAwAADgAAAAAAAAABACAAAAAeAQAAZHJzL2Uyb0Rv&#10;Yy54bWxQSwUGAAAAAAYABgBZAQAAWgUAAAAA&#10;">
              <v:fill on="f" focussize="0,0"/>
              <v:stroke on="f"/>
              <v:imagedata o:title=""/>
              <o:lock v:ext="edit" aspectratio="f"/>
              <v:textbox inset="0mm,0mm,0mm,0mm" style="mso-fit-shape-to-text:t;">
                <w:txbxContent>
                  <w:p w14:paraId="621D789A">
                    <w:pPr>
                      <w:pStyle w:val="2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FAD43">
    <w:pPr>
      <w:pStyle w:val="25"/>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D9CAE5">
                          <w:pPr>
                            <w:pStyle w:val="25"/>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5D9CAE5">
                    <w:pPr>
                      <w:pStyle w:val="2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C0565">
    <w:pPr>
      <w:pStyle w:val="25"/>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C98FC8">
                          <w:pPr>
                            <w:pStyle w:val="25"/>
                          </w:pPr>
                          <w:r>
                            <w:t xml:space="preserve">第 </w:t>
                          </w:r>
                          <w:r>
                            <w:fldChar w:fldCharType="begin"/>
                          </w:r>
                          <w:r>
                            <w:instrText xml:space="preserve"> PAGE  \* MERGEFORMAT </w:instrText>
                          </w:r>
                          <w:r>
                            <w:fldChar w:fldCharType="separate"/>
                          </w:r>
                          <w:r>
                            <w:t>48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51C98FC8">
                    <w:pPr>
                      <w:pStyle w:val="25"/>
                    </w:pPr>
                    <w:r>
                      <w:t xml:space="preserve">第 </w:t>
                    </w:r>
                    <w:r>
                      <w:fldChar w:fldCharType="begin"/>
                    </w:r>
                    <w:r>
                      <w:instrText xml:space="preserve"> PAGE  \* MERGEFORMAT </w:instrText>
                    </w:r>
                    <w:r>
                      <w:fldChar w:fldCharType="separate"/>
                    </w:r>
                    <w:r>
                      <w:t>48</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F051A">
    <w:pPr>
      <w:pStyle w:val="25"/>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FBA3EA">
                          <w:pPr>
                            <w:pStyle w:val="25"/>
                          </w:pPr>
                          <w:r>
                            <w:t xml:space="preserve">第 </w:t>
                          </w:r>
                          <w:r>
                            <w:fldChar w:fldCharType="begin"/>
                          </w:r>
                          <w:r>
                            <w:instrText xml:space="preserve"> PAGE  \* MERGEFORMAT </w:instrText>
                          </w:r>
                          <w:r>
                            <w:fldChar w:fldCharType="separate"/>
                          </w:r>
                          <w:r>
                            <w:t>49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24FBA3EA">
                    <w:pPr>
                      <w:pStyle w:val="25"/>
                    </w:pPr>
                    <w:r>
                      <w:t xml:space="preserve">第 </w:t>
                    </w:r>
                    <w:r>
                      <w:fldChar w:fldCharType="begin"/>
                    </w:r>
                    <w:r>
                      <w:instrText xml:space="preserve"> PAGE  \* MERGEFORMAT </w:instrText>
                    </w:r>
                    <w:r>
                      <w:fldChar w:fldCharType="separate"/>
                    </w:r>
                    <w:r>
                      <w:t>49</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E7800">
    <w:pPr>
      <w:pStyle w:val="25"/>
      <w:rPr>
        <w:rStyle w:val="43"/>
        <w:rFonts w:hint="eastAsia"/>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979D973">
                          <w:pPr>
                            <w:pStyle w:val="25"/>
                          </w:pPr>
                          <w:r>
                            <w:t xml:space="preserve">第 </w:t>
                          </w:r>
                          <w:r>
                            <w:fldChar w:fldCharType="begin"/>
                          </w:r>
                          <w:r>
                            <w:instrText xml:space="preserve"> PAGE  \* MERGEFORMAT </w:instrText>
                          </w:r>
                          <w:r>
                            <w:fldChar w:fldCharType="separate"/>
                          </w:r>
                          <w:r>
                            <w:t>55</w:t>
                          </w:r>
                          <w:r>
                            <w:fldChar w:fldCharType="end"/>
                          </w:r>
                          <w:r>
                            <w:t xml:space="preserve"> 页</w:t>
                          </w:r>
                        </w:p>
                      </w:txbxContent>
                    </wps:txbx>
                    <wps:bodyPr wrap="none" lIns="0" tIns="0" rIns="0" bIns="0" upright="0">
                      <a:spAutoFit/>
                    </wps:bodyPr>
                  </wps:wsp>
                </a:graphicData>
              </a:graphic>
            </wp:anchor>
          </w:drawing>
        </mc:Choice>
        <mc:Fallback>
          <w:pict>
            <v:shape id="文本框 6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Zi4P+yQEAAJoDAAAOAAAAAAAAAAEAIAAAAB4BAABkcnMvZTJvRG9j&#10;LnhtbFBLBQYAAAAABgAGAFkBAABZBQAAAAA=&#10;">
              <v:fill on="f" focussize="0,0"/>
              <v:stroke on="f"/>
              <v:imagedata o:title=""/>
              <o:lock v:ext="edit" aspectratio="f"/>
              <v:textbox inset="0mm,0mm,0mm,0mm" style="mso-fit-shape-to-text:t;">
                <w:txbxContent>
                  <w:p w14:paraId="3979D973">
                    <w:pPr>
                      <w:pStyle w:val="25"/>
                    </w:pPr>
                    <w:r>
                      <w:t xml:space="preserve">第 </w:t>
                    </w:r>
                    <w:r>
                      <w:fldChar w:fldCharType="begin"/>
                    </w:r>
                    <w:r>
                      <w:instrText xml:space="preserve"> PAGE  \* MERGEFORMAT </w:instrText>
                    </w:r>
                    <w:r>
                      <w:fldChar w:fldCharType="separate"/>
                    </w:r>
                    <w:r>
                      <w:t>55</w:t>
                    </w:r>
                    <w:r>
                      <w:fldChar w:fldCharType="end"/>
                    </w:r>
                    <w:r>
                      <w:t xml:space="preserve"> 页</w:t>
                    </w:r>
                  </w:p>
                </w:txbxContent>
              </v:textbox>
            </v:shape>
          </w:pict>
        </mc:Fallback>
      </mc:AlternateContent>
    </w:r>
  </w:p>
  <w:p w14:paraId="02C696DF">
    <w:pPr>
      <w:pStyle w:val="2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8AAF5">
    <w:pPr>
      <w:pStyle w:val="25"/>
      <w:rPr>
        <w:rStyle w:val="43"/>
        <w:rFonts w:hint="eastAsia"/>
      </w:rP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B89F0A">
                          <w:pPr>
                            <w:pStyle w:val="25"/>
                          </w:pPr>
                          <w:r>
                            <w:t xml:space="preserve">第 </w:t>
                          </w:r>
                          <w:r>
                            <w:fldChar w:fldCharType="begin"/>
                          </w:r>
                          <w:r>
                            <w:instrText xml:space="preserve"> PAGE  \* MERGEFORMAT </w:instrText>
                          </w:r>
                          <w:r>
                            <w:fldChar w:fldCharType="separate"/>
                          </w:r>
                          <w:r>
                            <w:t>55</w:t>
                          </w:r>
                          <w:r>
                            <w:fldChar w:fldCharType="end"/>
                          </w:r>
                          <w:r>
                            <w:t xml:space="preserve"> 页</w:t>
                          </w:r>
                        </w:p>
                      </w:txbxContent>
                    </wps:txbx>
                    <wps:bodyPr wrap="none" lIns="0" tIns="0" rIns="0" bIns="0" upright="0">
                      <a:spAutoFit/>
                    </wps:bodyPr>
                  </wps:wsp>
                </a:graphicData>
              </a:graphic>
            </wp:anchor>
          </w:drawing>
        </mc:Choice>
        <mc:Fallback>
          <w:pict>
            <v:shape id="文本框 6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Fr2BMkBAACa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lq&#10;lfXpA9SY9hgwMQ33fsCtmf2Azkx7UNHmLxIiGEd1z1d15ZCIyI/Wy/W6wpDA2HxBfPb0PERIb6W3&#10;JBsNjTi+oio/vYc0ps4puZrzD9qYMkLj/nIgZvaw3PvYY7bSsB8mQnvfnpFPj5NvqMNFp8S8cyhs&#10;XpLZiLOxn41jiPrQlS3K9SDcHRM2UXrLFUbYqTCOrLCb1ivvxJ/3kvX0S2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IWvYEyQEAAJoDAAAOAAAAAAAAAAEAIAAAAB4BAABkcnMvZTJvRG9j&#10;LnhtbFBLBQYAAAAABgAGAFkBAABZBQAAAAA=&#10;">
              <v:fill on="f" focussize="0,0"/>
              <v:stroke on="f"/>
              <v:imagedata o:title=""/>
              <o:lock v:ext="edit" aspectratio="f"/>
              <v:textbox inset="0mm,0mm,0mm,0mm" style="mso-fit-shape-to-text:t;">
                <w:txbxContent>
                  <w:p w14:paraId="0CB89F0A">
                    <w:pPr>
                      <w:pStyle w:val="25"/>
                    </w:pPr>
                    <w:r>
                      <w:t xml:space="preserve">第 </w:t>
                    </w:r>
                    <w:r>
                      <w:fldChar w:fldCharType="begin"/>
                    </w:r>
                    <w:r>
                      <w:instrText xml:space="preserve"> PAGE  \* MERGEFORMAT </w:instrText>
                    </w:r>
                    <w:r>
                      <w:fldChar w:fldCharType="separate"/>
                    </w:r>
                    <w:r>
                      <w:t>55</w:t>
                    </w:r>
                    <w:r>
                      <w:fldChar w:fldCharType="end"/>
                    </w:r>
                    <w:r>
                      <w:t xml:space="preserve"> 页</w:t>
                    </w:r>
                  </w:p>
                </w:txbxContent>
              </v:textbox>
            </v:shape>
          </w:pict>
        </mc:Fallback>
      </mc:AlternateContent>
    </w:r>
  </w:p>
  <w:p w14:paraId="6DD2915B">
    <w:pPr>
      <w:pStyle w:val="25"/>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B7D2A">
    <w:pPr>
      <w:pStyle w:val="25"/>
      <w:rPr>
        <w:rStyle w:val="43"/>
        <w:rFonts w:hint="eastAsia"/>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A37D910">
                          <w:pPr>
                            <w:pStyle w:val="25"/>
                          </w:pPr>
                          <w:r>
                            <w:t xml:space="preserve">第 </w:t>
                          </w:r>
                          <w:r>
                            <w:fldChar w:fldCharType="begin"/>
                          </w:r>
                          <w:r>
                            <w:instrText xml:space="preserve"> PAGE  \* MERGEFORMAT </w:instrText>
                          </w:r>
                          <w:r>
                            <w:fldChar w:fldCharType="separate"/>
                          </w:r>
                          <w:r>
                            <w:t>52</w:t>
                          </w:r>
                          <w:r>
                            <w:fldChar w:fldCharType="end"/>
                          </w:r>
                          <w:r>
                            <w:t xml:space="preserve"> 页</w:t>
                          </w:r>
                        </w:p>
                      </w:txbxContent>
                    </wps:txbx>
                    <wps:bodyPr wrap="none" lIns="0" tIns="0" rIns="0" bIns="0" upright="0">
                      <a:spAutoFit/>
                    </wps:bodyPr>
                  </wps:wsp>
                </a:graphicData>
              </a:graphic>
            </wp:anchor>
          </w:drawing>
        </mc:Choice>
        <mc:Fallback>
          <w:pict>
            <v:shape id="文本框 6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o/bG+MoBAACaAwAADgAAAAAAAAABACAAAAAeAQAAZHJzL2Uyb0Rv&#10;Yy54bWxQSwUGAAAAAAYABgBZAQAAWgUAAAAA&#10;">
              <v:fill on="f" focussize="0,0"/>
              <v:stroke on="f"/>
              <v:imagedata o:title=""/>
              <o:lock v:ext="edit" aspectratio="f"/>
              <v:textbox inset="0mm,0mm,0mm,0mm" style="mso-fit-shape-to-text:t;">
                <w:txbxContent>
                  <w:p w14:paraId="3A37D910">
                    <w:pPr>
                      <w:pStyle w:val="25"/>
                    </w:pPr>
                    <w:r>
                      <w:t xml:space="preserve">第 </w:t>
                    </w:r>
                    <w:r>
                      <w:fldChar w:fldCharType="begin"/>
                    </w:r>
                    <w:r>
                      <w:instrText xml:space="preserve"> PAGE  \* MERGEFORMAT </w:instrText>
                    </w:r>
                    <w:r>
                      <w:fldChar w:fldCharType="separate"/>
                    </w:r>
                    <w:r>
                      <w:t>52</w:t>
                    </w:r>
                    <w:r>
                      <w:fldChar w:fldCharType="end"/>
                    </w:r>
                    <w:r>
                      <w:t xml:space="preserve"> 页</w:t>
                    </w:r>
                  </w:p>
                </w:txbxContent>
              </v:textbox>
            </v:shape>
          </w:pict>
        </mc:Fallback>
      </mc:AlternateContent>
    </w:r>
  </w:p>
  <w:p w14:paraId="04831869">
    <w:pPr>
      <w:pStyle w:val="25"/>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F6D51">
    <w:pPr>
      <w:pStyle w:val="25"/>
      <w:rPr>
        <w:rStyle w:val="43"/>
        <w:rFonts w:hint="eastAsia"/>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D81CB8D">
                          <w:pPr>
                            <w:pStyle w:val="25"/>
                          </w:pPr>
                          <w:r>
                            <w:t xml:space="preserve">第 </w:t>
                          </w:r>
                          <w:r>
                            <w:fldChar w:fldCharType="begin"/>
                          </w:r>
                          <w:r>
                            <w:instrText xml:space="preserve"> PAGE  \* MERGEFORMAT </w:instrText>
                          </w:r>
                          <w:r>
                            <w:fldChar w:fldCharType="separate"/>
                          </w:r>
                          <w:r>
                            <w:t>58</w:t>
                          </w:r>
                          <w:r>
                            <w:fldChar w:fldCharType="end"/>
                          </w:r>
                          <w:r>
                            <w:t xml:space="preserve"> 页</w:t>
                          </w:r>
                        </w:p>
                      </w:txbxContent>
                    </wps:txbx>
                    <wps:bodyPr wrap="none" lIns="0" tIns="0" rIns="0" bIns="0" upright="0">
                      <a:spAutoFit/>
                    </wps:bodyPr>
                  </wps:wsp>
                </a:graphicData>
              </a:graphic>
            </wp:anchor>
          </w:drawing>
        </mc:Choice>
        <mc:Fallback>
          <w:pict>
            <v:shape id="文本框 6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AjYSdyQEAAJsDAAAOAAAAAAAAAAEAIAAAAB4BAABkcnMvZTJvRG9j&#10;LnhtbFBLBQYAAAAABgAGAFkBAABZBQAAAAA=&#10;">
              <v:fill on="f" focussize="0,0"/>
              <v:stroke on="f"/>
              <v:imagedata o:title=""/>
              <o:lock v:ext="edit" aspectratio="f"/>
              <v:textbox inset="0mm,0mm,0mm,0mm" style="mso-fit-shape-to-text:t;">
                <w:txbxContent>
                  <w:p w14:paraId="1D81CB8D">
                    <w:pPr>
                      <w:pStyle w:val="25"/>
                    </w:pPr>
                    <w:r>
                      <w:t xml:space="preserve">第 </w:t>
                    </w:r>
                    <w:r>
                      <w:fldChar w:fldCharType="begin"/>
                    </w:r>
                    <w:r>
                      <w:instrText xml:space="preserve"> PAGE  \* MERGEFORMAT </w:instrText>
                    </w:r>
                    <w:r>
                      <w:fldChar w:fldCharType="separate"/>
                    </w:r>
                    <w:r>
                      <w:t>58</w:t>
                    </w:r>
                    <w:r>
                      <w:fldChar w:fldCharType="end"/>
                    </w:r>
                    <w:r>
                      <w:t xml:space="preserve"> 页</w:t>
                    </w:r>
                  </w:p>
                </w:txbxContent>
              </v:textbox>
            </v:shape>
          </w:pict>
        </mc:Fallback>
      </mc:AlternateContent>
    </w:r>
  </w:p>
  <w:p w14:paraId="5F928549">
    <w:pPr>
      <w:pStyle w:val="25"/>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4BE66">
    <w:pPr>
      <w:pStyle w:val="25"/>
      <w:framePr w:wrap="around" w:vAnchor="text" w:hAnchor="margin" w:xAlign="center" w:y="1"/>
      <w:rPr>
        <w:rStyle w:val="43"/>
      </w:rPr>
    </w:pPr>
    <w:r>
      <w:fldChar w:fldCharType="begin"/>
    </w:r>
    <w:r>
      <w:rPr>
        <w:rStyle w:val="43"/>
      </w:rPr>
      <w:instrText xml:space="preserve">PAGE  </w:instrText>
    </w:r>
    <w:r>
      <w:fldChar w:fldCharType="end"/>
    </w:r>
  </w:p>
  <w:p w14:paraId="07716322">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5C9CC">
    <w:pPr>
      <w:pStyle w:val="26"/>
      <w:pBdr>
        <w:bottom w:val="none" w:color="auto" w:sz="0" w:space="1"/>
      </w:pBdr>
    </w:pPr>
    <w: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3463290" cy="3406140"/>
          <wp:effectExtent l="0" t="0" r="0" b="0"/>
          <wp:wrapNone/>
          <wp:docPr id="2" name="WordPictureWatermark178307"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178307" descr="透明logo"/>
                  <pic:cNvPicPr>
                    <a:picLocks noChangeAspect="1"/>
                  </pic:cNvPicPr>
                </pic:nvPicPr>
                <pic:blipFill>
                  <a:blip r:embed="rId1">
                    <a:lum bright="69998" contrast="-70001"/>
                  </a:blip>
                  <a:stretch>
                    <a:fillRect/>
                  </a:stretch>
                </pic:blipFill>
                <pic:spPr>
                  <a:xfrm>
                    <a:off x="0" y="0"/>
                    <a:ext cx="3463290" cy="3406140"/>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12A81">
    <w:pPr>
      <w:pStyle w:val="26"/>
      <w:pBdr>
        <w:bottom w:val="none" w:color="auto" w:sz="0" w:space="1"/>
      </w:pBdr>
      <w:jc w:val="both"/>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571BC">
    <w:pPr>
      <w:pStyle w:val="26"/>
      <w:pBdr>
        <w:bottom w:val="none" w:color="auto" w:sz="0" w:space="0"/>
      </w:pBdr>
      <w:jc w:val="both"/>
      <w:rPr>
        <w:rFonts w:ascii="黑体" w:eastAsia="黑体"/>
        <w:sz w:val="21"/>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48AE9">
    <w:pPr>
      <w:pStyle w:val="26"/>
      <w:pBdr>
        <w:bottom w:val="none" w:color="auto" w:sz="0" w:space="0"/>
      </w:pBdr>
      <w:jc w:val="both"/>
      <w:rPr>
        <w:rFonts w:ascii="黑体" w:eastAsia="黑体"/>
        <w:sz w:val="21"/>
        <w:szCs w:val="2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86B80">
    <w:pPr>
      <w:pStyle w:val="26"/>
      <w:pBdr>
        <w:bottom w:val="none" w:color="auto" w:sz="0" w:space="1"/>
      </w:pBdr>
      <w:jc w:val="both"/>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D9ECD">
    <w:pPr>
      <w:pStyle w:val="26"/>
      <w:pBdr>
        <w:bottom w:val="none" w:color="auto" w:sz="0" w:space="1"/>
      </w:pBdr>
      <w:jc w:val="right"/>
      <w:rPr>
        <w:rFonts w:hint="eastAsia"/>
      </w:rPr>
    </w:pPr>
    <w:r>
      <w:rPr>
        <w:rFonts w:hint="eastAsia"/>
      </w:rPr>
      <w:t xml:space="preserve"> </w:t>
    </w:r>
  </w:p>
  <w:p w14:paraId="4482D2BB">
    <w:pPr>
      <w:pStyle w:val="26"/>
      <w:pBdr>
        <w:bottom w:val="none" w:color="auto" w:sz="0" w:space="0"/>
      </w:pBdr>
      <w:jc w:val="right"/>
      <w:rPr>
        <w:rFonts w:hint="eastAsia"/>
      </w:rPr>
    </w:pPr>
    <w:r>
      <w:rPr>
        <w:rFonts w:hint="eastAsia"/>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7B439">
    <w:pPr>
      <w:pStyle w:val="26"/>
      <w:pBdr>
        <w:bottom w:val="none" w:color="auto" w:sz="0" w:space="1"/>
      </w:pBdr>
      <w:jc w:val="right"/>
      <w:rPr>
        <w:rFonts w:hint="eastAsia"/>
      </w:rPr>
    </w:pPr>
    <w:r>
      <w:rPr>
        <w:rFonts w:hint="eastAsia"/>
      </w:rPr>
      <w:t xml:space="preserve"> </w:t>
    </w:r>
  </w:p>
  <w:p w14:paraId="22410FD0">
    <w:pPr>
      <w:pStyle w:val="26"/>
      <w:pBdr>
        <w:bottom w:val="none" w:color="auto" w:sz="0" w:space="0"/>
      </w:pBdr>
      <w:jc w:val="right"/>
      <w:rPr>
        <w:rFonts w:hint="eastAsia"/>
      </w:rPr>
    </w:pPr>
    <w:r>
      <w:rPr>
        <w:rFonts w:hint="eastAsia"/>
      </w:rPr>
      <w:t xml:space="preserve">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3834C0">
    <w:pPr>
      <w:pStyle w:val="26"/>
      <w:pBdr>
        <w:bottom w:val="none" w:color="auto" w:sz="0" w:space="1"/>
      </w:pBdr>
      <w:jc w:val="right"/>
      <w:rPr>
        <w:rFonts w:hint="eastAsia"/>
      </w:rPr>
    </w:pPr>
    <w:r>
      <w:rPr>
        <w:rFonts w:hint="eastAsia"/>
      </w:rPr>
      <w:t xml:space="preserve"> </w:t>
    </w:r>
  </w:p>
  <w:p w14:paraId="41AC5FB8">
    <w:pPr>
      <w:pStyle w:val="26"/>
      <w:pBdr>
        <w:bottom w:val="none" w:color="auto" w:sz="0" w:space="0"/>
      </w:pBdr>
      <w:jc w:val="right"/>
      <w:rPr>
        <w:rFonts w:hint="eastAsia"/>
      </w:rPr>
    </w:pPr>
    <w:r>
      <w:rPr>
        <w:rFonts w:hint="eastAsia"/>
      </w:rPr>
      <w:t xml:space="preserve">                                          </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9AC6B">
    <w:pPr>
      <w:pStyle w:val="26"/>
      <w:pBdr>
        <w:bottom w:val="none" w:color="auto" w:sz="0" w:space="1"/>
      </w:pBdr>
      <w:jc w:val="right"/>
      <w:rPr>
        <w:rFonts w:hint="eastAsia"/>
      </w:rPr>
    </w:pPr>
    <w:r>
      <w:rPr>
        <w:rFonts w:hint="eastAsia"/>
      </w:rPr>
      <w:t xml:space="preserve"> </w:t>
    </w:r>
  </w:p>
  <w:p w14:paraId="4CCB8DED">
    <w:pPr>
      <w:pStyle w:val="26"/>
      <w:pBdr>
        <w:bottom w:val="none" w:color="auto" w:sz="0" w:space="0"/>
      </w:pBdr>
      <w:jc w:val="right"/>
      <w:rPr>
        <w:rFonts w:hint="eastAsia"/>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bullet"/>
      <w:pStyle w:val="78"/>
      <w:lvlText w:val=""/>
      <w:lvlJc w:val="left"/>
      <w:pPr>
        <w:tabs>
          <w:tab w:val="left" w:pos="988"/>
        </w:tabs>
        <w:ind w:left="988" w:hanging="420"/>
      </w:pPr>
      <w:rPr>
        <w:rFonts w:hint="default" w:ascii="Wingdings" w:hAnsi="Wingdings"/>
      </w:rPr>
    </w:lvl>
    <w:lvl w:ilvl="1" w:tentative="0">
      <w:start w:val="1"/>
      <w:numFmt w:val="bullet"/>
      <w:lvlText w:val=""/>
      <w:lvlJc w:val="left"/>
      <w:pPr>
        <w:tabs>
          <w:tab w:val="left" w:pos="1408"/>
        </w:tabs>
        <w:ind w:left="1408" w:hanging="420"/>
      </w:pPr>
      <w:rPr>
        <w:rFonts w:hint="default" w:ascii="Wingdings" w:hAnsi="Wingdings"/>
      </w:rPr>
    </w:lvl>
    <w:lvl w:ilvl="2" w:tentative="0">
      <w:start w:val="1"/>
      <w:numFmt w:val="bullet"/>
      <w:lvlText w:val=""/>
      <w:lvlJc w:val="left"/>
      <w:pPr>
        <w:tabs>
          <w:tab w:val="left" w:pos="1828"/>
        </w:tabs>
        <w:ind w:left="1828" w:hanging="420"/>
      </w:pPr>
      <w:rPr>
        <w:rFonts w:hint="default" w:ascii="Wingdings" w:hAnsi="Wingdings"/>
      </w:rPr>
    </w:lvl>
    <w:lvl w:ilvl="3" w:tentative="0">
      <w:start w:val="1"/>
      <w:numFmt w:val="bullet"/>
      <w:lvlText w:val=""/>
      <w:lvlJc w:val="left"/>
      <w:pPr>
        <w:tabs>
          <w:tab w:val="left" w:pos="2248"/>
        </w:tabs>
        <w:ind w:left="2248" w:hanging="420"/>
      </w:pPr>
      <w:rPr>
        <w:rFonts w:hint="default" w:ascii="Wingdings" w:hAnsi="Wingdings"/>
      </w:rPr>
    </w:lvl>
    <w:lvl w:ilvl="4" w:tentative="0">
      <w:start w:val="1"/>
      <w:numFmt w:val="bullet"/>
      <w:lvlText w:val=""/>
      <w:lvlJc w:val="left"/>
      <w:pPr>
        <w:tabs>
          <w:tab w:val="left" w:pos="2668"/>
        </w:tabs>
        <w:ind w:left="2668" w:hanging="420"/>
      </w:pPr>
      <w:rPr>
        <w:rFonts w:hint="default" w:ascii="Wingdings" w:hAnsi="Wingdings"/>
      </w:rPr>
    </w:lvl>
    <w:lvl w:ilvl="5" w:tentative="0">
      <w:start w:val="1"/>
      <w:numFmt w:val="bullet"/>
      <w:lvlText w:val=""/>
      <w:lvlJc w:val="left"/>
      <w:pPr>
        <w:tabs>
          <w:tab w:val="left" w:pos="3088"/>
        </w:tabs>
        <w:ind w:left="3088" w:hanging="420"/>
      </w:pPr>
      <w:rPr>
        <w:rFonts w:hint="default" w:ascii="Wingdings" w:hAnsi="Wingdings"/>
      </w:rPr>
    </w:lvl>
    <w:lvl w:ilvl="6" w:tentative="0">
      <w:start w:val="1"/>
      <w:numFmt w:val="bullet"/>
      <w:lvlText w:val=""/>
      <w:lvlJc w:val="left"/>
      <w:pPr>
        <w:tabs>
          <w:tab w:val="left" w:pos="3508"/>
        </w:tabs>
        <w:ind w:left="3508" w:hanging="420"/>
      </w:pPr>
      <w:rPr>
        <w:rFonts w:hint="default" w:ascii="Wingdings" w:hAnsi="Wingdings"/>
      </w:rPr>
    </w:lvl>
    <w:lvl w:ilvl="7" w:tentative="0">
      <w:start w:val="1"/>
      <w:numFmt w:val="bullet"/>
      <w:lvlText w:val=""/>
      <w:lvlJc w:val="left"/>
      <w:pPr>
        <w:tabs>
          <w:tab w:val="left" w:pos="3928"/>
        </w:tabs>
        <w:ind w:left="3928" w:hanging="420"/>
      </w:pPr>
      <w:rPr>
        <w:rFonts w:hint="default" w:ascii="Wingdings" w:hAnsi="Wingdings"/>
      </w:rPr>
    </w:lvl>
    <w:lvl w:ilvl="8" w:tentative="0">
      <w:start w:val="1"/>
      <w:numFmt w:val="bullet"/>
      <w:lvlText w:val=""/>
      <w:lvlJc w:val="left"/>
      <w:pPr>
        <w:tabs>
          <w:tab w:val="left" w:pos="4348"/>
        </w:tabs>
        <w:ind w:left="4348" w:hanging="420"/>
      </w:pPr>
      <w:rPr>
        <w:rFonts w:hint="default" w:ascii="Wingdings" w:hAnsi="Wingdings"/>
      </w:rPr>
    </w:lvl>
  </w:abstractNum>
  <w:abstractNum w:abstractNumId="1">
    <w:nsid w:val="00000034"/>
    <w:multiLevelType w:val="multilevel"/>
    <w:tmpl w:val="00000034"/>
    <w:lvl w:ilvl="0" w:tentative="0">
      <w:start w:val="1"/>
      <w:numFmt w:val="decimal"/>
      <w:lvlText w:val="%1．"/>
      <w:lvlJc w:val="left"/>
      <w:pPr>
        <w:tabs>
          <w:tab w:val="left" w:pos="390"/>
        </w:tabs>
        <w:ind w:left="390" w:hanging="390"/>
      </w:pPr>
      <w:rPr>
        <w:rFonts w:hint="eastAsia" w:ascii="Times New Roman" w:hAnsi="Times New Roman"/>
        <w:sz w:val="24"/>
      </w:rPr>
    </w:lvl>
    <w:lvl w:ilvl="1" w:tentative="0">
      <w:start w:val="1"/>
      <w:numFmt w:val="decimal"/>
      <w:lvlText w:val="%2）"/>
      <w:lvlJc w:val="left"/>
      <w:pPr>
        <w:tabs>
          <w:tab w:val="left" w:pos="420"/>
        </w:tabs>
        <w:ind w:left="420" w:hanging="420"/>
      </w:pPr>
      <w:rPr>
        <w:rFonts w:ascii="Times New Roman" w:hAnsi="Times New Roman" w:eastAsia="Times New Roman" w:cs="Times New Roman"/>
      </w:rPr>
    </w:lvl>
    <w:lvl w:ilvl="2" w:tentative="0">
      <w:start w:val="1"/>
      <w:numFmt w:val="lowerRoman"/>
      <w:pStyle w:val="10"/>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2C2C4B8D"/>
    <w:multiLevelType w:val="singleLevel"/>
    <w:tmpl w:val="2C2C4B8D"/>
    <w:lvl w:ilvl="0" w:tentative="0">
      <w:start w:val="1"/>
      <w:numFmt w:val="japaneseCounting"/>
      <w:lvlText w:val="第%1条"/>
      <w:lvlJc w:val="left"/>
      <w:pPr>
        <w:tabs>
          <w:tab w:val="left" w:pos="1521"/>
        </w:tabs>
        <w:ind w:left="1521" w:hanging="1095"/>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2"/>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wMTE4M2FjNDE1Y2RkNTc5Yjc2YzUzODJjMzUxMWYifQ=="/>
  </w:docVars>
  <w:rsids>
    <w:rsidRoot w:val="00FB25EC"/>
    <w:rsid w:val="0000130B"/>
    <w:rsid w:val="0000198B"/>
    <w:rsid w:val="00003708"/>
    <w:rsid w:val="00003ED1"/>
    <w:rsid w:val="0000441E"/>
    <w:rsid w:val="00004514"/>
    <w:rsid w:val="0000467C"/>
    <w:rsid w:val="00004B36"/>
    <w:rsid w:val="00005A5B"/>
    <w:rsid w:val="00007DA5"/>
    <w:rsid w:val="0001100F"/>
    <w:rsid w:val="00011849"/>
    <w:rsid w:val="000129C3"/>
    <w:rsid w:val="00014AA2"/>
    <w:rsid w:val="000153A7"/>
    <w:rsid w:val="00015423"/>
    <w:rsid w:val="00016074"/>
    <w:rsid w:val="00016747"/>
    <w:rsid w:val="00016780"/>
    <w:rsid w:val="0001730A"/>
    <w:rsid w:val="0002220F"/>
    <w:rsid w:val="00022FC2"/>
    <w:rsid w:val="00023C31"/>
    <w:rsid w:val="00023C67"/>
    <w:rsid w:val="0002628F"/>
    <w:rsid w:val="00026A83"/>
    <w:rsid w:val="00026B18"/>
    <w:rsid w:val="00027245"/>
    <w:rsid w:val="00027BF6"/>
    <w:rsid w:val="00027DC9"/>
    <w:rsid w:val="000321B6"/>
    <w:rsid w:val="00034064"/>
    <w:rsid w:val="00037E68"/>
    <w:rsid w:val="00040005"/>
    <w:rsid w:val="00041008"/>
    <w:rsid w:val="000418CD"/>
    <w:rsid w:val="000423AB"/>
    <w:rsid w:val="0004262D"/>
    <w:rsid w:val="00042AB8"/>
    <w:rsid w:val="00043C34"/>
    <w:rsid w:val="00043DCB"/>
    <w:rsid w:val="000442B2"/>
    <w:rsid w:val="000451EB"/>
    <w:rsid w:val="000455D5"/>
    <w:rsid w:val="000458B0"/>
    <w:rsid w:val="000468C6"/>
    <w:rsid w:val="000470BE"/>
    <w:rsid w:val="00047EB8"/>
    <w:rsid w:val="00051277"/>
    <w:rsid w:val="00051F1D"/>
    <w:rsid w:val="00052D57"/>
    <w:rsid w:val="000536B4"/>
    <w:rsid w:val="00053ECE"/>
    <w:rsid w:val="00054063"/>
    <w:rsid w:val="00054D22"/>
    <w:rsid w:val="00054E6A"/>
    <w:rsid w:val="0005502A"/>
    <w:rsid w:val="00055252"/>
    <w:rsid w:val="0005565B"/>
    <w:rsid w:val="00056B70"/>
    <w:rsid w:val="0005730F"/>
    <w:rsid w:val="00060486"/>
    <w:rsid w:val="000607CC"/>
    <w:rsid w:val="00060FB1"/>
    <w:rsid w:val="00061B95"/>
    <w:rsid w:val="0006212D"/>
    <w:rsid w:val="000638A1"/>
    <w:rsid w:val="00063B47"/>
    <w:rsid w:val="00064A58"/>
    <w:rsid w:val="00064B51"/>
    <w:rsid w:val="0006557E"/>
    <w:rsid w:val="00065781"/>
    <w:rsid w:val="00067555"/>
    <w:rsid w:val="00067849"/>
    <w:rsid w:val="00067A80"/>
    <w:rsid w:val="00067F43"/>
    <w:rsid w:val="00071152"/>
    <w:rsid w:val="00071CF6"/>
    <w:rsid w:val="0007245B"/>
    <w:rsid w:val="00072851"/>
    <w:rsid w:val="0007404B"/>
    <w:rsid w:val="0007422F"/>
    <w:rsid w:val="00074721"/>
    <w:rsid w:val="00074846"/>
    <w:rsid w:val="000757A9"/>
    <w:rsid w:val="00075878"/>
    <w:rsid w:val="00080978"/>
    <w:rsid w:val="00081947"/>
    <w:rsid w:val="0008287A"/>
    <w:rsid w:val="00083D6D"/>
    <w:rsid w:val="0008551A"/>
    <w:rsid w:val="00085C2E"/>
    <w:rsid w:val="00086F3B"/>
    <w:rsid w:val="00087B32"/>
    <w:rsid w:val="00087B4D"/>
    <w:rsid w:val="00087BEB"/>
    <w:rsid w:val="000913F1"/>
    <w:rsid w:val="000918D0"/>
    <w:rsid w:val="00092719"/>
    <w:rsid w:val="000932A5"/>
    <w:rsid w:val="0009344A"/>
    <w:rsid w:val="00095542"/>
    <w:rsid w:val="00095665"/>
    <w:rsid w:val="00097A8A"/>
    <w:rsid w:val="000A06C7"/>
    <w:rsid w:val="000A2D66"/>
    <w:rsid w:val="000A5701"/>
    <w:rsid w:val="000A65C1"/>
    <w:rsid w:val="000A6A34"/>
    <w:rsid w:val="000A6CDF"/>
    <w:rsid w:val="000A73D3"/>
    <w:rsid w:val="000B0971"/>
    <w:rsid w:val="000B131F"/>
    <w:rsid w:val="000B1D75"/>
    <w:rsid w:val="000B1E4C"/>
    <w:rsid w:val="000B2B57"/>
    <w:rsid w:val="000B370F"/>
    <w:rsid w:val="000B43C5"/>
    <w:rsid w:val="000B4788"/>
    <w:rsid w:val="000B4D0D"/>
    <w:rsid w:val="000B506C"/>
    <w:rsid w:val="000B6AAD"/>
    <w:rsid w:val="000B77EA"/>
    <w:rsid w:val="000C035E"/>
    <w:rsid w:val="000C1006"/>
    <w:rsid w:val="000C1157"/>
    <w:rsid w:val="000C19DD"/>
    <w:rsid w:val="000C1C60"/>
    <w:rsid w:val="000C1D92"/>
    <w:rsid w:val="000C21B0"/>
    <w:rsid w:val="000C30B7"/>
    <w:rsid w:val="000C709E"/>
    <w:rsid w:val="000D1D7C"/>
    <w:rsid w:val="000D43CF"/>
    <w:rsid w:val="000D4713"/>
    <w:rsid w:val="000D4DF5"/>
    <w:rsid w:val="000D63A7"/>
    <w:rsid w:val="000D66EC"/>
    <w:rsid w:val="000D6E2E"/>
    <w:rsid w:val="000D6E38"/>
    <w:rsid w:val="000E01E2"/>
    <w:rsid w:val="000E054D"/>
    <w:rsid w:val="000E21CB"/>
    <w:rsid w:val="000E31DA"/>
    <w:rsid w:val="000E4596"/>
    <w:rsid w:val="000E5B97"/>
    <w:rsid w:val="000E6946"/>
    <w:rsid w:val="000E7413"/>
    <w:rsid w:val="000E7915"/>
    <w:rsid w:val="000F0DDA"/>
    <w:rsid w:val="000F1652"/>
    <w:rsid w:val="000F1DD5"/>
    <w:rsid w:val="000F1FD6"/>
    <w:rsid w:val="000F3786"/>
    <w:rsid w:val="000F411A"/>
    <w:rsid w:val="000F489A"/>
    <w:rsid w:val="000F4952"/>
    <w:rsid w:val="000F4B75"/>
    <w:rsid w:val="000F57F9"/>
    <w:rsid w:val="000F5A18"/>
    <w:rsid w:val="000F5D17"/>
    <w:rsid w:val="000F6855"/>
    <w:rsid w:val="000F6E9A"/>
    <w:rsid w:val="000F6F43"/>
    <w:rsid w:val="000F7336"/>
    <w:rsid w:val="000F7B51"/>
    <w:rsid w:val="000F7CEB"/>
    <w:rsid w:val="00101AE8"/>
    <w:rsid w:val="00101AF2"/>
    <w:rsid w:val="00101D55"/>
    <w:rsid w:val="00101DA2"/>
    <w:rsid w:val="00102080"/>
    <w:rsid w:val="001025C6"/>
    <w:rsid w:val="00102615"/>
    <w:rsid w:val="00104DBB"/>
    <w:rsid w:val="00110184"/>
    <w:rsid w:val="00110AEC"/>
    <w:rsid w:val="00111C48"/>
    <w:rsid w:val="00112396"/>
    <w:rsid w:val="001124E1"/>
    <w:rsid w:val="00113923"/>
    <w:rsid w:val="00114C16"/>
    <w:rsid w:val="00115AFB"/>
    <w:rsid w:val="00115C5C"/>
    <w:rsid w:val="00116585"/>
    <w:rsid w:val="00117742"/>
    <w:rsid w:val="001179EC"/>
    <w:rsid w:val="00117EF8"/>
    <w:rsid w:val="00117FE5"/>
    <w:rsid w:val="00121711"/>
    <w:rsid w:val="001219AA"/>
    <w:rsid w:val="00121CBE"/>
    <w:rsid w:val="0012601E"/>
    <w:rsid w:val="001268B0"/>
    <w:rsid w:val="00126C2E"/>
    <w:rsid w:val="00130B03"/>
    <w:rsid w:val="001313D7"/>
    <w:rsid w:val="0013291C"/>
    <w:rsid w:val="00132983"/>
    <w:rsid w:val="00133C29"/>
    <w:rsid w:val="00134290"/>
    <w:rsid w:val="00134C00"/>
    <w:rsid w:val="00135568"/>
    <w:rsid w:val="00136826"/>
    <w:rsid w:val="00141A1E"/>
    <w:rsid w:val="0014342C"/>
    <w:rsid w:val="0014346A"/>
    <w:rsid w:val="0014368E"/>
    <w:rsid w:val="00145F12"/>
    <w:rsid w:val="001461FB"/>
    <w:rsid w:val="00147892"/>
    <w:rsid w:val="00147BA8"/>
    <w:rsid w:val="00150B16"/>
    <w:rsid w:val="001510CE"/>
    <w:rsid w:val="001512DF"/>
    <w:rsid w:val="00151982"/>
    <w:rsid w:val="0015208D"/>
    <w:rsid w:val="00152E14"/>
    <w:rsid w:val="00153148"/>
    <w:rsid w:val="0015376C"/>
    <w:rsid w:val="00153BAA"/>
    <w:rsid w:val="0015514B"/>
    <w:rsid w:val="0015560D"/>
    <w:rsid w:val="00155D82"/>
    <w:rsid w:val="001563D3"/>
    <w:rsid w:val="0015704F"/>
    <w:rsid w:val="001574B1"/>
    <w:rsid w:val="00161704"/>
    <w:rsid w:val="00161BB3"/>
    <w:rsid w:val="00162180"/>
    <w:rsid w:val="00162848"/>
    <w:rsid w:val="00162DD7"/>
    <w:rsid w:val="001630FA"/>
    <w:rsid w:val="00163103"/>
    <w:rsid w:val="00163C85"/>
    <w:rsid w:val="00164853"/>
    <w:rsid w:val="00164AF6"/>
    <w:rsid w:val="00166A16"/>
    <w:rsid w:val="00167DD3"/>
    <w:rsid w:val="0017046E"/>
    <w:rsid w:val="00170B81"/>
    <w:rsid w:val="00170CDA"/>
    <w:rsid w:val="00171421"/>
    <w:rsid w:val="00172088"/>
    <w:rsid w:val="00172374"/>
    <w:rsid w:val="001737B0"/>
    <w:rsid w:val="00174E81"/>
    <w:rsid w:val="001764F7"/>
    <w:rsid w:val="00176DD9"/>
    <w:rsid w:val="00177B65"/>
    <w:rsid w:val="00177DAE"/>
    <w:rsid w:val="00181E62"/>
    <w:rsid w:val="00183581"/>
    <w:rsid w:val="00184062"/>
    <w:rsid w:val="0018480D"/>
    <w:rsid w:val="00184BA6"/>
    <w:rsid w:val="00185FD9"/>
    <w:rsid w:val="00186444"/>
    <w:rsid w:val="00187C90"/>
    <w:rsid w:val="00190AC1"/>
    <w:rsid w:val="00193A29"/>
    <w:rsid w:val="00193B3D"/>
    <w:rsid w:val="0019442E"/>
    <w:rsid w:val="00194E3B"/>
    <w:rsid w:val="00195060"/>
    <w:rsid w:val="001959FC"/>
    <w:rsid w:val="00195D73"/>
    <w:rsid w:val="00195EBF"/>
    <w:rsid w:val="00196562"/>
    <w:rsid w:val="001A0289"/>
    <w:rsid w:val="001A0E3F"/>
    <w:rsid w:val="001A0E49"/>
    <w:rsid w:val="001A0E5E"/>
    <w:rsid w:val="001A14B5"/>
    <w:rsid w:val="001A28D3"/>
    <w:rsid w:val="001A3D25"/>
    <w:rsid w:val="001A52A9"/>
    <w:rsid w:val="001A5D6E"/>
    <w:rsid w:val="001A7B80"/>
    <w:rsid w:val="001B2458"/>
    <w:rsid w:val="001B3690"/>
    <w:rsid w:val="001B37BD"/>
    <w:rsid w:val="001B3B69"/>
    <w:rsid w:val="001B51EA"/>
    <w:rsid w:val="001B5FA5"/>
    <w:rsid w:val="001B6080"/>
    <w:rsid w:val="001B6BFE"/>
    <w:rsid w:val="001B7241"/>
    <w:rsid w:val="001B7C58"/>
    <w:rsid w:val="001C00E0"/>
    <w:rsid w:val="001C05B0"/>
    <w:rsid w:val="001C20F6"/>
    <w:rsid w:val="001C389D"/>
    <w:rsid w:val="001C42B1"/>
    <w:rsid w:val="001C42DD"/>
    <w:rsid w:val="001C46BD"/>
    <w:rsid w:val="001C49B1"/>
    <w:rsid w:val="001C57DF"/>
    <w:rsid w:val="001C5F42"/>
    <w:rsid w:val="001C64BA"/>
    <w:rsid w:val="001C6FC2"/>
    <w:rsid w:val="001C7EA3"/>
    <w:rsid w:val="001D171D"/>
    <w:rsid w:val="001D1966"/>
    <w:rsid w:val="001D1DA0"/>
    <w:rsid w:val="001D23A6"/>
    <w:rsid w:val="001D2819"/>
    <w:rsid w:val="001D4D68"/>
    <w:rsid w:val="001D5128"/>
    <w:rsid w:val="001D56E7"/>
    <w:rsid w:val="001D5EB4"/>
    <w:rsid w:val="001D667A"/>
    <w:rsid w:val="001D6818"/>
    <w:rsid w:val="001E0350"/>
    <w:rsid w:val="001E048A"/>
    <w:rsid w:val="001E47DD"/>
    <w:rsid w:val="001E519D"/>
    <w:rsid w:val="001E6791"/>
    <w:rsid w:val="001E70D6"/>
    <w:rsid w:val="001E74B1"/>
    <w:rsid w:val="001E7FDF"/>
    <w:rsid w:val="001F02DA"/>
    <w:rsid w:val="001F0533"/>
    <w:rsid w:val="001F20BD"/>
    <w:rsid w:val="001F2DF2"/>
    <w:rsid w:val="001F3A62"/>
    <w:rsid w:val="001F3E72"/>
    <w:rsid w:val="001F45F5"/>
    <w:rsid w:val="001F476E"/>
    <w:rsid w:val="001F480D"/>
    <w:rsid w:val="001F67BE"/>
    <w:rsid w:val="001F6C08"/>
    <w:rsid w:val="001F71BB"/>
    <w:rsid w:val="002001CC"/>
    <w:rsid w:val="00200D3C"/>
    <w:rsid w:val="00200E74"/>
    <w:rsid w:val="002014C1"/>
    <w:rsid w:val="0020330F"/>
    <w:rsid w:val="0020410A"/>
    <w:rsid w:val="0020413F"/>
    <w:rsid w:val="002051E7"/>
    <w:rsid w:val="00205875"/>
    <w:rsid w:val="00206868"/>
    <w:rsid w:val="00206D54"/>
    <w:rsid w:val="00206DA2"/>
    <w:rsid w:val="00207A8F"/>
    <w:rsid w:val="00207CB5"/>
    <w:rsid w:val="0021153E"/>
    <w:rsid w:val="002117D0"/>
    <w:rsid w:val="00211BCC"/>
    <w:rsid w:val="00211E16"/>
    <w:rsid w:val="002123A5"/>
    <w:rsid w:val="00212776"/>
    <w:rsid w:val="00212966"/>
    <w:rsid w:val="002129CB"/>
    <w:rsid w:val="00213623"/>
    <w:rsid w:val="00213665"/>
    <w:rsid w:val="00215310"/>
    <w:rsid w:val="00215486"/>
    <w:rsid w:val="002155A3"/>
    <w:rsid w:val="002177E0"/>
    <w:rsid w:val="00217B64"/>
    <w:rsid w:val="002214C7"/>
    <w:rsid w:val="00221DDD"/>
    <w:rsid w:val="00222A7A"/>
    <w:rsid w:val="002235CA"/>
    <w:rsid w:val="00223FDF"/>
    <w:rsid w:val="0022439F"/>
    <w:rsid w:val="00225197"/>
    <w:rsid w:val="00227834"/>
    <w:rsid w:val="00227E45"/>
    <w:rsid w:val="002305EC"/>
    <w:rsid w:val="00230608"/>
    <w:rsid w:val="00231DC8"/>
    <w:rsid w:val="0023310E"/>
    <w:rsid w:val="00234EA1"/>
    <w:rsid w:val="00235AB9"/>
    <w:rsid w:val="00235F91"/>
    <w:rsid w:val="00237126"/>
    <w:rsid w:val="00237E34"/>
    <w:rsid w:val="00240CE6"/>
    <w:rsid w:val="0024133E"/>
    <w:rsid w:val="00241CC1"/>
    <w:rsid w:val="00242177"/>
    <w:rsid w:val="00242C77"/>
    <w:rsid w:val="00243173"/>
    <w:rsid w:val="0024319D"/>
    <w:rsid w:val="00243E84"/>
    <w:rsid w:val="00244255"/>
    <w:rsid w:val="00244497"/>
    <w:rsid w:val="002454AF"/>
    <w:rsid w:val="00246EE3"/>
    <w:rsid w:val="00246F33"/>
    <w:rsid w:val="002470DB"/>
    <w:rsid w:val="002477D5"/>
    <w:rsid w:val="002478D7"/>
    <w:rsid w:val="00250937"/>
    <w:rsid w:val="0025122B"/>
    <w:rsid w:val="00251390"/>
    <w:rsid w:val="0025203B"/>
    <w:rsid w:val="00253808"/>
    <w:rsid w:val="002539BD"/>
    <w:rsid w:val="002556FF"/>
    <w:rsid w:val="00255BBF"/>
    <w:rsid w:val="002625BF"/>
    <w:rsid w:val="002627B2"/>
    <w:rsid w:val="00262E6C"/>
    <w:rsid w:val="00267406"/>
    <w:rsid w:val="00270588"/>
    <w:rsid w:val="002713A9"/>
    <w:rsid w:val="00271F17"/>
    <w:rsid w:val="002725D0"/>
    <w:rsid w:val="00272B2A"/>
    <w:rsid w:val="00272DDD"/>
    <w:rsid w:val="00272E02"/>
    <w:rsid w:val="002734AE"/>
    <w:rsid w:val="00274124"/>
    <w:rsid w:val="002761DE"/>
    <w:rsid w:val="00280454"/>
    <w:rsid w:val="0028204F"/>
    <w:rsid w:val="002849BF"/>
    <w:rsid w:val="00286CE2"/>
    <w:rsid w:val="00287F36"/>
    <w:rsid w:val="0029190E"/>
    <w:rsid w:val="00291CCC"/>
    <w:rsid w:val="00292BD1"/>
    <w:rsid w:val="002932B6"/>
    <w:rsid w:val="00293E21"/>
    <w:rsid w:val="00297303"/>
    <w:rsid w:val="002977D0"/>
    <w:rsid w:val="002A0927"/>
    <w:rsid w:val="002A0D8E"/>
    <w:rsid w:val="002A1916"/>
    <w:rsid w:val="002A2553"/>
    <w:rsid w:val="002A2E88"/>
    <w:rsid w:val="002A499D"/>
    <w:rsid w:val="002A4AB6"/>
    <w:rsid w:val="002A533D"/>
    <w:rsid w:val="002A56A6"/>
    <w:rsid w:val="002A5928"/>
    <w:rsid w:val="002A680E"/>
    <w:rsid w:val="002A7198"/>
    <w:rsid w:val="002A7DFB"/>
    <w:rsid w:val="002B1ADF"/>
    <w:rsid w:val="002B352D"/>
    <w:rsid w:val="002B37D1"/>
    <w:rsid w:val="002B3EEA"/>
    <w:rsid w:val="002B460E"/>
    <w:rsid w:val="002B5B25"/>
    <w:rsid w:val="002B5CAC"/>
    <w:rsid w:val="002B66BB"/>
    <w:rsid w:val="002B768F"/>
    <w:rsid w:val="002C0833"/>
    <w:rsid w:val="002C16DB"/>
    <w:rsid w:val="002C2A1A"/>
    <w:rsid w:val="002C3C4A"/>
    <w:rsid w:val="002C3F7B"/>
    <w:rsid w:val="002C41D6"/>
    <w:rsid w:val="002C456C"/>
    <w:rsid w:val="002C4E40"/>
    <w:rsid w:val="002C4F3E"/>
    <w:rsid w:val="002D22BD"/>
    <w:rsid w:val="002D296B"/>
    <w:rsid w:val="002D2A46"/>
    <w:rsid w:val="002D336A"/>
    <w:rsid w:val="002D3A5F"/>
    <w:rsid w:val="002D3A69"/>
    <w:rsid w:val="002D4066"/>
    <w:rsid w:val="002D4329"/>
    <w:rsid w:val="002D7282"/>
    <w:rsid w:val="002D7B33"/>
    <w:rsid w:val="002E023B"/>
    <w:rsid w:val="002E062F"/>
    <w:rsid w:val="002E1B10"/>
    <w:rsid w:val="002E1ED7"/>
    <w:rsid w:val="002E38B8"/>
    <w:rsid w:val="002E3BFA"/>
    <w:rsid w:val="002E440F"/>
    <w:rsid w:val="002E5211"/>
    <w:rsid w:val="002E55D0"/>
    <w:rsid w:val="002E5EF6"/>
    <w:rsid w:val="002E689C"/>
    <w:rsid w:val="002E68A9"/>
    <w:rsid w:val="002E7037"/>
    <w:rsid w:val="002E7075"/>
    <w:rsid w:val="002F05C8"/>
    <w:rsid w:val="002F200F"/>
    <w:rsid w:val="002F2449"/>
    <w:rsid w:val="002F28A8"/>
    <w:rsid w:val="002F6CB1"/>
    <w:rsid w:val="002F7B6A"/>
    <w:rsid w:val="003005A9"/>
    <w:rsid w:val="003005C5"/>
    <w:rsid w:val="00300BFD"/>
    <w:rsid w:val="0030149B"/>
    <w:rsid w:val="0030159A"/>
    <w:rsid w:val="00302C45"/>
    <w:rsid w:val="003030B1"/>
    <w:rsid w:val="00305F28"/>
    <w:rsid w:val="0030754A"/>
    <w:rsid w:val="003110D8"/>
    <w:rsid w:val="00314882"/>
    <w:rsid w:val="003148EC"/>
    <w:rsid w:val="00315F1B"/>
    <w:rsid w:val="003160CF"/>
    <w:rsid w:val="00316A26"/>
    <w:rsid w:val="003218CF"/>
    <w:rsid w:val="00321A18"/>
    <w:rsid w:val="00321F16"/>
    <w:rsid w:val="00323914"/>
    <w:rsid w:val="003241D8"/>
    <w:rsid w:val="00325A85"/>
    <w:rsid w:val="00326773"/>
    <w:rsid w:val="003268EA"/>
    <w:rsid w:val="003269EE"/>
    <w:rsid w:val="003270FE"/>
    <w:rsid w:val="003277CA"/>
    <w:rsid w:val="00331387"/>
    <w:rsid w:val="00331602"/>
    <w:rsid w:val="0033295F"/>
    <w:rsid w:val="00332DF3"/>
    <w:rsid w:val="003333E3"/>
    <w:rsid w:val="00333B56"/>
    <w:rsid w:val="00334947"/>
    <w:rsid w:val="0033542E"/>
    <w:rsid w:val="00335521"/>
    <w:rsid w:val="00335ADC"/>
    <w:rsid w:val="00335C94"/>
    <w:rsid w:val="00336D57"/>
    <w:rsid w:val="003405C4"/>
    <w:rsid w:val="0034090D"/>
    <w:rsid w:val="00341419"/>
    <w:rsid w:val="003435F5"/>
    <w:rsid w:val="00343700"/>
    <w:rsid w:val="003438C0"/>
    <w:rsid w:val="00344580"/>
    <w:rsid w:val="00346197"/>
    <w:rsid w:val="00350D57"/>
    <w:rsid w:val="00352773"/>
    <w:rsid w:val="00352BF0"/>
    <w:rsid w:val="00352F67"/>
    <w:rsid w:val="003532E1"/>
    <w:rsid w:val="003546ED"/>
    <w:rsid w:val="00356160"/>
    <w:rsid w:val="00356250"/>
    <w:rsid w:val="003575D8"/>
    <w:rsid w:val="00357DB2"/>
    <w:rsid w:val="00360318"/>
    <w:rsid w:val="00360470"/>
    <w:rsid w:val="00361197"/>
    <w:rsid w:val="003611D2"/>
    <w:rsid w:val="0036129B"/>
    <w:rsid w:val="00361BCF"/>
    <w:rsid w:val="003624BB"/>
    <w:rsid w:val="003625D1"/>
    <w:rsid w:val="0036400C"/>
    <w:rsid w:val="0036405E"/>
    <w:rsid w:val="00366946"/>
    <w:rsid w:val="00367B77"/>
    <w:rsid w:val="00367E14"/>
    <w:rsid w:val="00370C49"/>
    <w:rsid w:val="00372FB9"/>
    <w:rsid w:val="0037457E"/>
    <w:rsid w:val="00375308"/>
    <w:rsid w:val="003753B6"/>
    <w:rsid w:val="003758F0"/>
    <w:rsid w:val="003767A0"/>
    <w:rsid w:val="00376A3E"/>
    <w:rsid w:val="00380368"/>
    <w:rsid w:val="0038059D"/>
    <w:rsid w:val="00382D27"/>
    <w:rsid w:val="00383F52"/>
    <w:rsid w:val="00384C57"/>
    <w:rsid w:val="00384C9E"/>
    <w:rsid w:val="00384F26"/>
    <w:rsid w:val="003858BF"/>
    <w:rsid w:val="00386A4C"/>
    <w:rsid w:val="00386F86"/>
    <w:rsid w:val="003872B6"/>
    <w:rsid w:val="00387751"/>
    <w:rsid w:val="003879CD"/>
    <w:rsid w:val="00387E51"/>
    <w:rsid w:val="0039100B"/>
    <w:rsid w:val="00392534"/>
    <w:rsid w:val="00392E57"/>
    <w:rsid w:val="00393610"/>
    <w:rsid w:val="003945CC"/>
    <w:rsid w:val="0039485C"/>
    <w:rsid w:val="0039666E"/>
    <w:rsid w:val="003966DD"/>
    <w:rsid w:val="00396AA4"/>
    <w:rsid w:val="0039722B"/>
    <w:rsid w:val="00397254"/>
    <w:rsid w:val="003A107F"/>
    <w:rsid w:val="003A2177"/>
    <w:rsid w:val="003A2B40"/>
    <w:rsid w:val="003A2CCD"/>
    <w:rsid w:val="003A3EA9"/>
    <w:rsid w:val="003A4BCD"/>
    <w:rsid w:val="003A5342"/>
    <w:rsid w:val="003A58E0"/>
    <w:rsid w:val="003A5D22"/>
    <w:rsid w:val="003A72C0"/>
    <w:rsid w:val="003A7F67"/>
    <w:rsid w:val="003B0890"/>
    <w:rsid w:val="003B0D07"/>
    <w:rsid w:val="003B11EB"/>
    <w:rsid w:val="003B1872"/>
    <w:rsid w:val="003B2684"/>
    <w:rsid w:val="003B2701"/>
    <w:rsid w:val="003B4D7B"/>
    <w:rsid w:val="003B51B0"/>
    <w:rsid w:val="003B5682"/>
    <w:rsid w:val="003B5AD0"/>
    <w:rsid w:val="003B67AB"/>
    <w:rsid w:val="003B6DCB"/>
    <w:rsid w:val="003B7ECD"/>
    <w:rsid w:val="003C0972"/>
    <w:rsid w:val="003C271F"/>
    <w:rsid w:val="003C3E87"/>
    <w:rsid w:val="003C4080"/>
    <w:rsid w:val="003C417B"/>
    <w:rsid w:val="003C4876"/>
    <w:rsid w:val="003C5B32"/>
    <w:rsid w:val="003C5D07"/>
    <w:rsid w:val="003C5FEF"/>
    <w:rsid w:val="003C751D"/>
    <w:rsid w:val="003D1FAB"/>
    <w:rsid w:val="003D27BF"/>
    <w:rsid w:val="003D2D23"/>
    <w:rsid w:val="003D2E89"/>
    <w:rsid w:val="003D2E9D"/>
    <w:rsid w:val="003D374B"/>
    <w:rsid w:val="003D3A76"/>
    <w:rsid w:val="003D3A87"/>
    <w:rsid w:val="003D4AAD"/>
    <w:rsid w:val="003D5517"/>
    <w:rsid w:val="003D5728"/>
    <w:rsid w:val="003D7745"/>
    <w:rsid w:val="003D78DA"/>
    <w:rsid w:val="003E0C56"/>
    <w:rsid w:val="003E0CDF"/>
    <w:rsid w:val="003E0E16"/>
    <w:rsid w:val="003E10B6"/>
    <w:rsid w:val="003E233C"/>
    <w:rsid w:val="003E367C"/>
    <w:rsid w:val="003E4E67"/>
    <w:rsid w:val="003E6217"/>
    <w:rsid w:val="003E66E4"/>
    <w:rsid w:val="003E7462"/>
    <w:rsid w:val="003E7CB1"/>
    <w:rsid w:val="003E7EBE"/>
    <w:rsid w:val="003F0115"/>
    <w:rsid w:val="003F1094"/>
    <w:rsid w:val="003F147C"/>
    <w:rsid w:val="003F1CB3"/>
    <w:rsid w:val="003F239A"/>
    <w:rsid w:val="003F426D"/>
    <w:rsid w:val="003F5199"/>
    <w:rsid w:val="003F66E6"/>
    <w:rsid w:val="003F6FC1"/>
    <w:rsid w:val="003F7D4B"/>
    <w:rsid w:val="00401797"/>
    <w:rsid w:val="00401B72"/>
    <w:rsid w:val="00401BC9"/>
    <w:rsid w:val="00402A65"/>
    <w:rsid w:val="00404803"/>
    <w:rsid w:val="0040480A"/>
    <w:rsid w:val="0040599D"/>
    <w:rsid w:val="0040684C"/>
    <w:rsid w:val="004076B8"/>
    <w:rsid w:val="004110A8"/>
    <w:rsid w:val="00411B03"/>
    <w:rsid w:val="00411E23"/>
    <w:rsid w:val="004127CC"/>
    <w:rsid w:val="00413887"/>
    <w:rsid w:val="004143BC"/>
    <w:rsid w:val="0041502E"/>
    <w:rsid w:val="004158A1"/>
    <w:rsid w:val="00416193"/>
    <w:rsid w:val="00420FB8"/>
    <w:rsid w:val="00422EAE"/>
    <w:rsid w:val="0042320F"/>
    <w:rsid w:val="00423AC8"/>
    <w:rsid w:val="00425554"/>
    <w:rsid w:val="004278BE"/>
    <w:rsid w:val="004307BA"/>
    <w:rsid w:val="004310D7"/>
    <w:rsid w:val="00432361"/>
    <w:rsid w:val="00433075"/>
    <w:rsid w:val="00433259"/>
    <w:rsid w:val="004333CD"/>
    <w:rsid w:val="004353F8"/>
    <w:rsid w:val="004353FF"/>
    <w:rsid w:val="004357CC"/>
    <w:rsid w:val="00436FF7"/>
    <w:rsid w:val="004374DF"/>
    <w:rsid w:val="00437AB1"/>
    <w:rsid w:val="0044075E"/>
    <w:rsid w:val="0044156B"/>
    <w:rsid w:val="00444096"/>
    <w:rsid w:val="00444675"/>
    <w:rsid w:val="00445642"/>
    <w:rsid w:val="00445E78"/>
    <w:rsid w:val="00446657"/>
    <w:rsid w:val="00451388"/>
    <w:rsid w:val="00451EF6"/>
    <w:rsid w:val="00452E96"/>
    <w:rsid w:val="004547CE"/>
    <w:rsid w:val="00454E10"/>
    <w:rsid w:val="004556C2"/>
    <w:rsid w:val="004558B5"/>
    <w:rsid w:val="00455C3B"/>
    <w:rsid w:val="00456C08"/>
    <w:rsid w:val="0045790A"/>
    <w:rsid w:val="004613D7"/>
    <w:rsid w:val="0046187C"/>
    <w:rsid w:val="0046204A"/>
    <w:rsid w:val="0046205B"/>
    <w:rsid w:val="00462EC8"/>
    <w:rsid w:val="00463657"/>
    <w:rsid w:val="00465755"/>
    <w:rsid w:val="00467835"/>
    <w:rsid w:val="00467B98"/>
    <w:rsid w:val="00470155"/>
    <w:rsid w:val="00471982"/>
    <w:rsid w:val="00471DB6"/>
    <w:rsid w:val="00471F96"/>
    <w:rsid w:val="00472033"/>
    <w:rsid w:val="0047258D"/>
    <w:rsid w:val="0047382C"/>
    <w:rsid w:val="00474146"/>
    <w:rsid w:val="00474E08"/>
    <w:rsid w:val="00475D26"/>
    <w:rsid w:val="00476FB3"/>
    <w:rsid w:val="00477E7B"/>
    <w:rsid w:val="004802D8"/>
    <w:rsid w:val="00480755"/>
    <w:rsid w:val="00481F16"/>
    <w:rsid w:val="00484058"/>
    <w:rsid w:val="004841FC"/>
    <w:rsid w:val="00484341"/>
    <w:rsid w:val="00485D66"/>
    <w:rsid w:val="004869AE"/>
    <w:rsid w:val="00486A0C"/>
    <w:rsid w:val="00492941"/>
    <w:rsid w:val="00493BC4"/>
    <w:rsid w:val="00495CE9"/>
    <w:rsid w:val="00495ED2"/>
    <w:rsid w:val="00497681"/>
    <w:rsid w:val="004A0315"/>
    <w:rsid w:val="004A0998"/>
    <w:rsid w:val="004A1C21"/>
    <w:rsid w:val="004A2189"/>
    <w:rsid w:val="004A4A8E"/>
    <w:rsid w:val="004A51C4"/>
    <w:rsid w:val="004A5435"/>
    <w:rsid w:val="004A5440"/>
    <w:rsid w:val="004A6C2B"/>
    <w:rsid w:val="004A7752"/>
    <w:rsid w:val="004A7E63"/>
    <w:rsid w:val="004B01AA"/>
    <w:rsid w:val="004B0890"/>
    <w:rsid w:val="004B1A85"/>
    <w:rsid w:val="004B26EA"/>
    <w:rsid w:val="004B2AC1"/>
    <w:rsid w:val="004B34B6"/>
    <w:rsid w:val="004B3558"/>
    <w:rsid w:val="004B572D"/>
    <w:rsid w:val="004B5E5E"/>
    <w:rsid w:val="004B62BA"/>
    <w:rsid w:val="004C0808"/>
    <w:rsid w:val="004C094A"/>
    <w:rsid w:val="004C0C5F"/>
    <w:rsid w:val="004C0D10"/>
    <w:rsid w:val="004C0D52"/>
    <w:rsid w:val="004C22EE"/>
    <w:rsid w:val="004C3390"/>
    <w:rsid w:val="004C3AD5"/>
    <w:rsid w:val="004C49E4"/>
    <w:rsid w:val="004C49F5"/>
    <w:rsid w:val="004C4E0A"/>
    <w:rsid w:val="004C4E4A"/>
    <w:rsid w:val="004C5E24"/>
    <w:rsid w:val="004C621F"/>
    <w:rsid w:val="004C633F"/>
    <w:rsid w:val="004C64D4"/>
    <w:rsid w:val="004C6C26"/>
    <w:rsid w:val="004C6D7C"/>
    <w:rsid w:val="004C6FC4"/>
    <w:rsid w:val="004D104C"/>
    <w:rsid w:val="004D1CD1"/>
    <w:rsid w:val="004D2AD2"/>
    <w:rsid w:val="004D2C98"/>
    <w:rsid w:val="004D30F5"/>
    <w:rsid w:val="004D4733"/>
    <w:rsid w:val="004D54AA"/>
    <w:rsid w:val="004D5E9F"/>
    <w:rsid w:val="004D61BA"/>
    <w:rsid w:val="004D6EF0"/>
    <w:rsid w:val="004D7791"/>
    <w:rsid w:val="004E1D17"/>
    <w:rsid w:val="004E1E47"/>
    <w:rsid w:val="004E26A0"/>
    <w:rsid w:val="004E4466"/>
    <w:rsid w:val="004E4CF1"/>
    <w:rsid w:val="004E5220"/>
    <w:rsid w:val="004E5727"/>
    <w:rsid w:val="004E594D"/>
    <w:rsid w:val="004E5B81"/>
    <w:rsid w:val="004E6C19"/>
    <w:rsid w:val="004F0C9D"/>
    <w:rsid w:val="004F1E4C"/>
    <w:rsid w:val="004F1EB8"/>
    <w:rsid w:val="004F29AD"/>
    <w:rsid w:val="004F3B90"/>
    <w:rsid w:val="004F4383"/>
    <w:rsid w:val="004F4D24"/>
    <w:rsid w:val="004F64F4"/>
    <w:rsid w:val="004F73E2"/>
    <w:rsid w:val="00500C3A"/>
    <w:rsid w:val="00500D88"/>
    <w:rsid w:val="005012B4"/>
    <w:rsid w:val="00501760"/>
    <w:rsid w:val="00501FB1"/>
    <w:rsid w:val="005021EB"/>
    <w:rsid w:val="0050285E"/>
    <w:rsid w:val="005028E0"/>
    <w:rsid w:val="00503D96"/>
    <w:rsid w:val="0050424E"/>
    <w:rsid w:val="00504CD5"/>
    <w:rsid w:val="00504D6D"/>
    <w:rsid w:val="00506737"/>
    <w:rsid w:val="00506E62"/>
    <w:rsid w:val="0050722A"/>
    <w:rsid w:val="00507420"/>
    <w:rsid w:val="005074F4"/>
    <w:rsid w:val="0050765A"/>
    <w:rsid w:val="005078CE"/>
    <w:rsid w:val="00507970"/>
    <w:rsid w:val="0051127A"/>
    <w:rsid w:val="00511C7B"/>
    <w:rsid w:val="005130C1"/>
    <w:rsid w:val="0051471C"/>
    <w:rsid w:val="00514B32"/>
    <w:rsid w:val="00514E94"/>
    <w:rsid w:val="00516F2E"/>
    <w:rsid w:val="005179BC"/>
    <w:rsid w:val="00517DE9"/>
    <w:rsid w:val="0052057D"/>
    <w:rsid w:val="00520812"/>
    <w:rsid w:val="00521947"/>
    <w:rsid w:val="00522959"/>
    <w:rsid w:val="00522F92"/>
    <w:rsid w:val="00524182"/>
    <w:rsid w:val="00526256"/>
    <w:rsid w:val="005273C1"/>
    <w:rsid w:val="00527B41"/>
    <w:rsid w:val="00527B7F"/>
    <w:rsid w:val="00527E65"/>
    <w:rsid w:val="0053005D"/>
    <w:rsid w:val="0053176B"/>
    <w:rsid w:val="005319BA"/>
    <w:rsid w:val="00531E2C"/>
    <w:rsid w:val="00532E8A"/>
    <w:rsid w:val="00533631"/>
    <w:rsid w:val="00534945"/>
    <w:rsid w:val="00535A64"/>
    <w:rsid w:val="00535D1C"/>
    <w:rsid w:val="00535D5B"/>
    <w:rsid w:val="00536248"/>
    <w:rsid w:val="005371B1"/>
    <w:rsid w:val="005371B9"/>
    <w:rsid w:val="00537A0A"/>
    <w:rsid w:val="00540566"/>
    <w:rsid w:val="00540895"/>
    <w:rsid w:val="005410D8"/>
    <w:rsid w:val="005428F3"/>
    <w:rsid w:val="00542D40"/>
    <w:rsid w:val="00545500"/>
    <w:rsid w:val="005460A6"/>
    <w:rsid w:val="00546BB5"/>
    <w:rsid w:val="005471E2"/>
    <w:rsid w:val="005479EC"/>
    <w:rsid w:val="005506F7"/>
    <w:rsid w:val="00550CA9"/>
    <w:rsid w:val="005513DA"/>
    <w:rsid w:val="00553B92"/>
    <w:rsid w:val="00553C40"/>
    <w:rsid w:val="00555248"/>
    <w:rsid w:val="00555BA6"/>
    <w:rsid w:val="00555BAC"/>
    <w:rsid w:val="0055706B"/>
    <w:rsid w:val="005603C3"/>
    <w:rsid w:val="00560C74"/>
    <w:rsid w:val="00560F36"/>
    <w:rsid w:val="0056231D"/>
    <w:rsid w:val="00562BFF"/>
    <w:rsid w:val="005643C6"/>
    <w:rsid w:val="00565411"/>
    <w:rsid w:val="005660DC"/>
    <w:rsid w:val="00566DFB"/>
    <w:rsid w:val="005709AB"/>
    <w:rsid w:val="00572851"/>
    <w:rsid w:val="005735F0"/>
    <w:rsid w:val="0057581A"/>
    <w:rsid w:val="00575F22"/>
    <w:rsid w:val="00575FC2"/>
    <w:rsid w:val="005764B5"/>
    <w:rsid w:val="0057796B"/>
    <w:rsid w:val="005801A3"/>
    <w:rsid w:val="00580614"/>
    <w:rsid w:val="00581087"/>
    <w:rsid w:val="00581C22"/>
    <w:rsid w:val="00581FA9"/>
    <w:rsid w:val="005822C6"/>
    <w:rsid w:val="005827C8"/>
    <w:rsid w:val="00582A5F"/>
    <w:rsid w:val="005833D4"/>
    <w:rsid w:val="00585090"/>
    <w:rsid w:val="0058562C"/>
    <w:rsid w:val="005858D9"/>
    <w:rsid w:val="00586FE5"/>
    <w:rsid w:val="005871BA"/>
    <w:rsid w:val="005878B2"/>
    <w:rsid w:val="00590A94"/>
    <w:rsid w:val="00590B44"/>
    <w:rsid w:val="00592456"/>
    <w:rsid w:val="00592A8B"/>
    <w:rsid w:val="00593243"/>
    <w:rsid w:val="00594EEC"/>
    <w:rsid w:val="005A0976"/>
    <w:rsid w:val="005A204C"/>
    <w:rsid w:val="005A224C"/>
    <w:rsid w:val="005A25B8"/>
    <w:rsid w:val="005A2B19"/>
    <w:rsid w:val="005A2B50"/>
    <w:rsid w:val="005A2D5C"/>
    <w:rsid w:val="005A3505"/>
    <w:rsid w:val="005A4C9F"/>
    <w:rsid w:val="005A7B03"/>
    <w:rsid w:val="005B040B"/>
    <w:rsid w:val="005B195E"/>
    <w:rsid w:val="005B1C46"/>
    <w:rsid w:val="005B21A2"/>
    <w:rsid w:val="005B360D"/>
    <w:rsid w:val="005B41DE"/>
    <w:rsid w:val="005B4522"/>
    <w:rsid w:val="005B48B1"/>
    <w:rsid w:val="005B4C1B"/>
    <w:rsid w:val="005B5B60"/>
    <w:rsid w:val="005B7563"/>
    <w:rsid w:val="005B79B3"/>
    <w:rsid w:val="005C0333"/>
    <w:rsid w:val="005C088A"/>
    <w:rsid w:val="005C1BEC"/>
    <w:rsid w:val="005C3339"/>
    <w:rsid w:val="005C3393"/>
    <w:rsid w:val="005C52EB"/>
    <w:rsid w:val="005C5C33"/>
    <w:rsid w:val="005C5DD2"/>
    <w:rsid w:val="005C60C8"/>
    <w:rsid w:val="005C7169"/>
    <w:rsid w:val="005C72B5"/>
    <w:rsid w:val="005D0520"/>
    <w:rsid w:val="005D0CE9"/>
    <w:rsid w:val="005D0F71"/>
    <w:rsid w:val="005D1B51"/>
    <w:rsid w:val="005D231A"/>
    <w:rsid w:val="005D26DA"/>
    <w:rsid w:val="005D2CC2"/>
    <w:rsid w:val="005D2E5B"/>
    <w:rsid w:val="005D3F68"/>
    <w:rsid w:val="005D4167"/>
    <w:rsid w:val="005D504B"/>
    <w:rsid w:val="005D5CBA"/>
    <w:rsid w:val="005D7F96"/>
    <w:rsid w:val="005E0B73"/>
    <w:rsid w:val="005E1B0D"/>
    <w:rsid w:val="005E2B54"/>
    <w:rsid w:val="005E2F8C"/>
    <w:rsid w:val="005E3F73"/>
    <w:rsid w:val="005E4A7E"/>
    <w:rsid w:val="005E4EE7"/>
    <w:rsid w:val="005E6D2C"/>
    <w:rsid w:val="005E71FE"/>
    <w:rsid w:val="005F19AD"/>
    <w:rsid w:val="005F1B9D"/>
    <w:rsid w:val="005F285A"/>
    <w:rsid w:val="005F39F9"/>
    <w:rsid w:val="005F4D0F"/>
    <w:rsid w:val="005F528D"/>
    <w:rsid w:val="005F5760"/>
    <w:rsid w:val="005F5C4C"/>
    <w:rsid w:val="005F5E4F"/>
    <w:rsid w:val="005F607A"/>
    <w:rsid w:val="005F643E"/>
    <w:rsid w:val="005F6AF5"/>
    <w:rsid w:val="005F6E8D"/>
    <w:rsid w:val="005F71FB"/>
    <w:rsid w:val="005F73F0"/>
    <w:rsid w:val="0060209F"/>
    <w:rsid w:val="00602516"/>
    <w:rsid w:val="00602650"/>
    <w:rsid w:val="00604A58"/>
    <w:rsid w:val="00604A9C"/>
    <w:rsid w:val="00604C47"/>
    <w:rsid w:val="006057B4"/>
    <w:rsid w:val="00606AD1"/>
    <w:rsid w:val="006078A1"/>
    <w:rsid w:val="00607A6B"/>
    <w:rsid w:val="00607AC6"/>
    <w:rsid w:val="00607E8D"/>
    <w:rsid w:val="00610892"/>
    <w:rsid w:val="00610BFF"/>
    <w:rsid w:val="006111EE"/>
    <w:rsid w:val="00611215"/>
    <w:rsid w:val="00612A49"/>
    <w:rsid w:val="0061367C"/>
    <w:rsid w:val="00616FAC"/>
    <w:rsid w:val="0061790D"/>
    <w:rsid w:val="00617F5C"/>
    <w:rsid w:val="00620323"/>
    <w:rsid w:val="00621593"/>
    <w:rsid w:val="00621D2D"/>
    <w:rsid w:val="00623EB5"/>
    <w:rsid w:val="00624C30"/>
    <w:rsid w:val="00625644"/>
    <w:rsid w:val="006261F7"/>
    <w:rsid w:val="00626674"/>
    <w:rsid w:val="00626827"/>
    <w:rsid w:val="006270CF"/>
    <w:rsid w:val="006275AB"/>
    <w:rsid w:val="00627CAE"/>
    <w:rsid w:val="006301D1"/>
    <w:rsid w:val="00630323"/>
    <w:rsid w:val="00630B6C"/>
    <w:rsid w:val="006310B1"/>
    <w:rsid w:val="00631BA1"/>
    <w:rsid w:val="006322F5"/>
    <w:rsid w:val="00633643"/>
    <w:rsid w:val="00633E69"/>
    <w:rsid w:val="0063409E"/>
    <w:rsid w:val="00634B6D"/>
    <w:rsid w:val="00634C53"/>
    <w:rsid w:val="00635728"/>
    <w:rsid w:val="00635B53"/>
    <w:rsid w:val="006364CD"/>
    <w:rsid w:val="006365C2"/>
    <w:rsid w:val="0064080A"/>
    <w:rsid w:val="0064102E"/>
    <w:rsid w:val="0064181A"/>
    <w:rsid w:val="0064313A"/>
    <w:rsid w:val="00643BEB"/>
    <w:rsid w:val="00643CCA"/>
    <w:rsid w:val="006448A5"/>
    <w:rsid w:val="006450C0"/>
    <w:rsid w:val="00645807"/>
    <w:rsid w:val="006458C1"/>
    <w:rsid w:val="00646F3B"/>
    <w:rsid w:val="00647C4B"/>
    <w:rsid w:val="00647D02"/>
    <w:rsid w:val="00647F6E"/>
    <w:rsid w:val="006503B2"/>
    <w:rsid w:val="006504B3"/>
    <w:rsid w:val="00650F45"/>
    <w:rsid w:val="00652493"/>
    <w:rsid w:val="006541A4"/>
    <w:rsid w:val="00654ACA"/>
    <w:rsid w:val="00655DF5"/>
    <w:rsid w:val="00657A9F"/>
    <w:rsid w:val="00657B0B"/>
    <w:rsid w:val="00661139"/>
    <w:rsid w:val="00661857"/>
    <w:rsid w:val="0066225F"/>
    <w:rsid w:val="00666454"/>
    <w:rsid w:val="00666958"/>
    <w:rsid w:val="00670B3D"/>
    <w:rsid w:val="00670D62"/>
    <w:rsid w:val="00671018"/>
    <w:rsid w:val="006729A6"/>
    <w:rsid w:val="006729E7"/>
    <w:rsid w:val="00673CE4"/>
    <w:rsid w:val="00673FA7"/>
    <w:rsid w:val="00674D93"/>
    <w:rsid w:val="006768F3"/>
    <w:rsid w:val="00676E2B"/>
    <w:rsid w:val="00676F31"/>
    <w:rsid w:val="006806B3"/>
    <w:rsid w:val="00680A7F"/>
    <w:rsid w:val="006815B0"/>
    <w:rsid w:val="006818D8"/>
    <w:rsid w:val="006819B1"/>
    <w:rsid w:val="00681C1E"/>
    <w:rsid w:val="0068413F"/>
    <w:rsid w:val="00684188"/>
    <w:rsid w:val="00684AF8"/>
    <w:rsid w:val="00684F9F"/>
    <w:rsid w:val="00686350"/>
    <w:rsid w:val="00686A4B"/>
    <w:rsid w:val="0068704F"/>
    <w:rsid w:val="00687459"/>
    <w:rsid w:val="00687795"/>
    <w:rsid w:val="006900D6"/>
    <w:rsid w:val="006914BF"/>
    <w:rsid w:val="00691A50"/>
    <w:rsid w:val="00691DE0"/>
    <w:rsid w:val="006920CF"/>
    <w:rsid w:val="006944B4"/>
    <w:rsid w:val="006945E9"/>
    <w:rsid w:val="0069467D"/>
    <w:rsid w:val="00694861"/>
    <w:rsid w:val="006A01BB"/>
    <w:rsid w:val="006A1A97"/>
    <w:rsid w:val="006A1B1F"/>
    <w:rsid w:val="006A1FB4"/>
    <w:rsid w:val="006A3205"/>
    <w:rsid w:val="006A456C"/>
    <w:rsid w:val="006A4A6B"/>
    <w:rsid w:val="006A6309"/>
    <w:rsid w:val="006A6793"/>
    <w:rsid w:val="006A6A70"/>
    <w:rsid w:val="006A6B04"/>
    <w:rsid w:val="006A6B5E"/>
    <w:rsid w:val="006A798F"/>
    <w:rsid w:val="006A7C98"/>
    <w:rsid w:val="006B1955"/>
    <w:rsid w:val="006B20F1"/>
    <w:rsid w:val="006B328D"/>
    <w:rsid w:val="006B353E"/>
    <w:rsid w:val="006B3F11"/>
    <w:rsid w:val="006B535A"/>
    <w:rsid w:val="006B537C"/>
    <w:rsid w:val="006B548B"/>
    <w:rsid w:val="006B55DE"/>
    <w:rsid w:val="006B6B8C"/>
    <w:rsid w:val="006B73B2"/>
    <w:rsid w:val="006B7756"/>
    <w:rsid w:val="006C01E7"/>
    <w:rsid w:val="006C0A20"/>
    <w:rsid w:val="006C0CDD"/>
    <w:rsid w:val="006C1692"/>
    <w:rsid w:val="006C3955"/>
    <w:rsid w:val="006C58EA"/>
    <w:rsid w:val="006D01B4"/>
    <w:rsid w:val="006D0DA6"/>
    <w:rsid w:val="006D3292"/>
    <w:rsid w:val="006D32F7"/>
    <w:rsid w:val="006D35D7"/>
    <w:rsid w:val="006D66D0"/>
    <w:rsid w:val="006D6C9F"/>
    <w:rsid w:val="006E0BE7"/>
    <w:rsid w:val="006E1231"/>
    <w:rsid w:val="006E3223"/>
    <w:rsid w:val="006E325A"/>
    <w:rsid w:val="006E3A24"/>
    <w:rsid w:val="006E7127"/>
    <w:rsid w:val="006E794C"/>
    <w:rsid w:val="006E7F89"/>
    <w:rsid w:val="006F0BB7"/>
    <w:rsid w:val="006F1E0B"/>
    <w:rsid w:val="006F2A21"/>
    <w:rsid w:val="006F3E1E"/>
    <w:rsid w:val="006F408B"/>
    <w:rsid w:val="006F4106"/>
    <w:rsid w:val="006F453C"/>
    <w:rsid w:val="006F56F4"/>
    <w:rsid w:val="006F592A"/>
    <w:rsid w:val="006F6201"/>
    <w:rsid w:val="006F6419"/>
    <w:rsid w:val="006F7467"/>
    <w:rsid w:val="006F793B"/>
    <w:rsid w:val="007008A6"/>
    <w:rsid w:val="007011C9"/>
    <w:rsid w:val="00702A4C"/>
    <w:rsid w:val="00703F81"/>
    <w:rsid w:val="00704F22"/>
    <w:rsid w:val="00705EAE"/>
    <w:rsid w:val="0070659E"/>
    <w:rsid w:val="00707290"/>
    <w:rsid w:val="00707AF3"/>
    <w:rsid w:val="00707E27"/>
    <w:rsid w:val="00707F5C"/>
    <w:rsid w:val="00711DEE"/>
    <w:rsid w:val="007124B7"/>
    <w:rsid w:val="00712503"/>
    <w:rsid w:val="00714E37"/>
    <w:rsid w:val="007154AB"/>
    <w:rsid w:val="00716014"/>
    <w:rsid w:val="0071648A"/>
    <w:rsid w:val="00716C2F"/>
    <w:rsid w:val="00720C1B"/>
    <w:rsid w:val="007218FF"/>
    <w:rsid w:val="0072305D"/>
    <w:rsid w:val="007236A4"/>
    <w:rsid w:val="00724D51"/>
    <w:rsid w:val="00725D8E"/>
    <w:rsid w:val="00725EC2"/>
    <w:rsid w:val="00726C21"/>
    <w:rsid w:val="00726FB9"/>
    <w:rsid w:val="00730281"/>
    <w:rsid w:val="00730BF9"/>
    <w:rsid w:val="00731133"/>
    <w:rsid w:val="00731454"/>
    <w:rsid w:val="0073200F"/>
    <w:rsid w:val="007327B7"/>
    <w:rsid w:val="00732847"/>
    <w:rsid w:val="00732F21"/>
    <w:rsid w:val="00733BF3"/>
    <w:rsid w:val="00734106"/>
    <w:rsid w:val="00734716"/>
    <w:rsid w:val="0073600F"/>
    <w:rsid w:val="00736852"/>
    <w:rsid w:val="00737DC5"/>
    <w:rsid w:val="007404B3"/>
    <w:rsid w:val="007405F4"/>
    <w:rsid w:val="00741168"/>
    <w:rsid w:val="00741DE1"/>
    <w:rsid w:val="007421ED"/>
    <w:rsid w:val="00745C43"/>
    <w:rsid w:val="0074617A"/>
    <w:rsid w:val="007461AA"/>
    <w:rsid w:val="00746823"/>
    <w:rsid w:val="00746BF1"/>
    <w:rsid w:val="0075179C"/>
    <w:rsid w:val="0075191C"/>
    <w:rsid w:val="00753A92"/>
    <w:rsid w:val="00753F34"/>
    <w:rsid w:val="00754064"/>
    <w:rsid w:val="0075491D"/>
    <w:rsid w:val="00755134"/>
    <w:rsid w:val="00757419"/>
    <w:rsid w:val="00757D59"/>
    <w:rsid w:val="00757EA9"/>
    <w:rsid w:val="00757FF3"/>
    <w:rsid w:val="00760172"/>
    <w:rsid w:val="00760D67"/>
    <w:rsid w:val="007611BF"/>
    <w:rsid w:val="00764BA2"/>
    <w:rsid w:val="00766185"/>
    <w:rsid w:val="00766291"/>
    <w:rsid w:val="00766C2E"/>
    <w:rsid w:val="00766DF1"/>
    <w:rsid w:val="00766E9A"/>
    <w:rsid w:val="007704CF"/>
    <w:rsid w:val="007709D9"/>
    <w:rsid w:val="00770D2F"/>
    <w:rsid w:val="007712CA"/>
    <w:rsid w:val="00771AA9"/>
    <w:rsid w:val="00773BBA"/>
    <w:rsid w:val="00773E5B"/>
    <w:rsid w:val="00774E35"/>
    <w:rsid w:val="00775B56"/>
    <w:rsid w:val="00776CD7"/>
    <w:rsid w:val="00776CE7"/>
    <w:rsid w:val="0077708C"/>
    <w:rsid w:val="007773C5"/>
    <w:rsid w:val="00777D55"/>
    <w:rsid w:val="00780891"/>
    <w:rsid w:val="00780B85"/>
    <w:rsid w:val="007827DE"/>
    <w:rsid w:val="00782AF8"/>
    <w:rsid w:val="00784310"/>
    <w:rsid w:val="007853EF"/>
    <w:rsid w:val="0078560F"/>
    <w:rsid w:val="007859E6"/>
    <w:rsid w:val="00785A81"/>
    <w:rsid w:val="00786AF9"/>
    <w:rsid w:val="0078752F"/>
    <w:rsid w:val="00787D25"/>
    <w:rsid w:val="007906B6"/>
    <w:rsid w:val="00790926"/>
    <w:rsid w:val="00791F1F"/>
    <w:rsid w:val="007924FA"/>
    <w:rsid w:val="00793E2D"/>
    <w:rsid w:val="00795510"/>
    <w:rsid w:val="00795D32"/>
    <w:rsid w:val="00796EEB"/>
    <w:rsid w:val="0079712B"/>
    <w:rsid w:val="0079728D"/>
    <w:rsid w:val="007977E4"/>
    <w:rsid w:val="007978D2"/>
    <w:rsid w:val="00797A4B"/>
    <w:rsid w:val="007A0AFE"/>
    <w:rsid w:val="007A0C61"/>
    <w:rsid w:val="007A0C98"/>
    <w:rsid w:val="007A15FD"/>
    <w:rsid w:val="007A3551"/>
    <w:rsid w:val="007A5E34"/>
    <w:rsid w:val="007A62FF"/>
    <w:rsid w:val="007A7575"/>
    <w:rsid w:val="007A7DEC"/>
    <w:rsid w:val="007B13C6"/>
    <w:rsid w:val="007B4820"/>
    <w:rsid w:val="007B679D"/>
    <w:rsid w:val="007B681C"/>
    <w:rsid w:val="007B6BFE"/>
    <w:rsid w:val="007B7230"/>
    <w:rsid w:val="007C0698"/>
    <w:rsid w:val="007C0803"/>
    <w:rsid w:val="007C128E"/>
    <w:rsid w:val="007C2CDB"/>
    <w:rsid w:val="007C39D7"/>
    <w:rsid w:val="007C4667"/>
    <w:rsid w:val="007C494A"/>
    <w:rsid w:val="007C70DC"/>
    <w:rsid w:val="007C7EC3"/>
    <w:rsid w:val="007D13A4"/>
    <w:rsid w:val="007D1A5F"/>
    <w:rsid w:val="007D2F74"/>
    <w:rsid w:val="007D2F8C"/>
    <w:rsid w:val="007D356B"/>
    <w:rsid w:val="007D4006"/>
    <w:rsid w:val="007D4675"/>
    <w:rsid w:val="007D686C"/>
    <w:rsid w:val="007D72C3"/>
    <w:rsid w:val="007D7B63"/>
    <w:rsid w:val="007E09AD"/>
    <w:rsid w:val="007E1FEB"/>
    <w:rsid w:val="007E2C7D"/>
    <w:rsid w:val="007E59EB"/>
    <w:rsid w:val="007E6105"/>
    <w:rsid w:val="007E7449"/>
    <w:rsid w:val="007E7C38"/>
    <w:rsid w:val="007E7D8E"/>
    <w:rsid w:val="007F088A"/>
    <w:rsid w:val="007F31C5"/>
    <w:rsid w:val="007F31FD"/>
    <w:rsid w:val="007F4500"/>
    <w:rsid w:val="007F55DA"/>
    <w:rsid w:val="007F5D17"/>
    <w:rsid w:val="007F66F9"/>
    <w:rsid w:val="007F6E6B"/>
    <w:rsid w:val="008015ED"/>
    <w:rsid w:val="008040E7"/>
    <w:rsid w:val="00804B4E"/>
    <w:rsid w:val="00804D2C"/>
    <w:rsid w:val="00805A83"/>
    <w:rsid w:val="00807CD6"/>
    <w:rsid w:val="00810765"/>
    <w:rsid w:val="00812620"/>
    <w:rsid w:val="00812C04"/>
    <w:rsid w:val="00812EE8"/>
    <w:rsid w:val="00813CFE"/>
    <w:rsid w:val="00813D79"/>
    <w:rsid w:val="00813E33"/>
    <w:rsid w:val="00816C36"/>
    <w:rsid w:val="00817EF8"/>
    <w:rsid w:val="0082071D"/>
    <w:rsid w:val="008209D5"/>
    <w:rsid w:val="00820BBD"/>
    <w:rsid w:val="008210B1"/>
    <w:rsid w:val="00822D0C"/>
    <w:rsid w:val="00822ED2"/>
    <w:rsid w:val="00824AF9"/>
    <w:rsid w:val="00825015"/>
    <w:rsid w:val="00825073"/>
    <w:rsid w:val="008259F7"/>
    <w:rsid w:val="00825D4D"/>
    <w:rsid w:val="00827498"/>
    <w:rsid w:val="00827BE9"/>
    <w:rsid w:val="00827FB4"/>
    <w:rsid w:val="00830316"/>
    <w:rsid w:val="00830736"/>
    <w:rsid w:val="00831580"/>
    <w:rsid w:val="0083219C"/>
    <w:rsid w:val="008328CA"/>
    <w:rsid w:val="00833D54"/>
    <w:rsid w:val="00835824"/>
    <w:rsid w:val="0083734E"/>
    <w:rsid w:val="0083796C"/>
    <w:rsid w:val="00841047"/>
    <w:rsid w:val="00841A67"/>
    <w:rsid w:val="008433E5"/>
    <w:rsid w:val="0084380F"/>
    <w:rsid w:val="00844CC2"/>
    <w:rsid w:val="0084610F"/>
    <w:rsid w:val="008466A5"/>
    <w:rsid w:val="00847F85"/>
    <w:rsid w:val="008508D3"/>
    <w:rsid w:val="00851554"/>
    <w:rsid w:val="00852E97"/>
    <w:rsid w:val="008531D8"/>
    <w:rsid w:val="00853315"/>
    <w:rsid w:val="00854F10"/>
    <w:rsid w:val="0085586A"/>
    <w:rsid w:val="008566AC"/>
    <w:rsid w:val="00856E7B"/>
    <w:rsid w:val="00857B21"/>
    <w:rsid w:val="00857FFA"/>
    <w:rsid w:val="0086097C"/>
    <w:rsid w:val="00860A86"/>
    <w:rsid w:val="00861F17"/>
    <w:rsid w:val="008620EA"/>
    <w:rsid w:val="00862890"/>
    <w:rsid w:val="00864CDD"/>
    <w:rsid w:val="00870765"/>
    <w:rsid w:val="0087100A"/>
    <w:rsid w:val="0087141D"/>
    <w:rsid w:val="00872692"/>
    <w:rsid w:val="008730A0"/>
    <w:rsid w:val="00873440"/>
    <w:rsid w:val="0087347D"/>
    <w:rsid w:val="00874278"/>
    <w:rsid w:val="0087445A"/>
    <w:rsid w:val="0087451D"/>
    <w:rsid w:val="00874CA2"/>
    <w:rsid w:val="0087534D"/>
    <w:rsid w:val="00876120"/>
    <w:rsid w:val="00876381"/>
    <w:rsid w:val="008763C4"/>
    <w:rsid w:val="008771C1"/>
    <w:rsid w:val="00877314"/>
    <w:rsid w:val="00877559"/>
    <w:rsid w:val="008812C8"/>
    <w:rsid w:val="008817AF"/>
    <w:rsid w:val="0088264E"/>
    <w:rsid w:val="00883638"/>
    <w:rsid w:val="0088390E"/>
    <w:rsid w:val="00885A54"/>
    <w:rsid w:val="00886302"/>
    <w:rsid w:val="0088657D"/>
    <w:rsid w:val="008866C9"/>
    <w:rsid w:val="00886B4A"/>
    <w:rsid w:val="00887659"/>
    <w:rsid w:val="0088788C"/>
    <w:rsid w:val="00887A27"/>
    <w:rsid w:val="00890F94"/>
    <w:rsid w:val="00891550"/>
    <w:rsid w:val="00891D3E"/>
    <w:rsid w:val="00892286"/>
    <w:rsid w:val="008923C9"/>
    <w:rsid w:val="00893192"/>
    <w:rsid w:val="008945E7"/>
    <w:rsid w:val="008954E0"/>
    <w:rsid w:val="008956BD"/>
    <w:rsid w:val="00895CCE"/>
    <w:rsid w:val="00895E9D"/>
    <w:rsid w:val="0089673C"/>
    <w:rsid w:val="00896871"/>
    <w:rsid w:val="00896F14"/>
    <w:rsid w:val="008970D2"/>
    <w:rsid w:val="008A0D9D"/>
    <w:rsid w:val="008A0DB6"/>
    <w:rsid w:val="008A1827"/>
    <w:rsid w:val="008A1E1C"/>
    <w:rsid w:val="008A2913"/>
    <w:rsid w:val="008A3232"/>
    <w:rsid w:val="008A35A6"/>
    <w:rsid w:val="008A38C9"/>
    <w:rsid w:val="008A4044"/>
    <w:rsid w:val="008A4BF2"/>
    <w:rsid w:val="008A5F7A"/>
    <w:rsid w:val="008A7205"/>
    <w:rsid w:val="008A75B1"/>
    <w:rsid w:val="008B029D"/>
    <w:rsid w:val="008B02B2"/>
    <w:rsid w:val="008B24BB"/>
    <w:rsid w:val="008B28F1"/>
    <w:rsid w:val="008B4CD9"/>
    <w:rsid w:val="008B6036"/>
    <w:rsid w:val="008B6329"/>
    <w:rsid w:val="008B66D6"/>
    <w:rsid w:val="008B698C"/>
    <w:rsid w:val="008B69BC"/>
    <w:rsid w:val="008B753E"/>
    <w:rsid w:val="008C10A9"/>
    <w:rsid w:val="008C1B4B"/>
    <w:rsid w:val="008C2023"/>
    <w:rsid w:val="008C289D"/>
    <w:rsid w:val="008C4067"/>
    <w:rsid w:val="008C45EB"/>
    <w:rsid w:val="008C5A17"/>
    <w:rsid w:val="008C612E"/>
    <w:rsid w:val="008C62CB"/>
    <w:rsid w:val="008C7B4D"/>
    <w:rsid w:val="008C7EAA"/>
    <w:rsid w:val="008D0E29"/>
    <w:rsid w:val="008D1F6C"/>
    <w:rsid w:val="008D2A1E"/>
    <w:rsid w:val="008D2AFC"/>
    <w:rsid w:val="008D3E0C"/>
    <w:rsid w:val="008D426E"/>
    <w:rsid w:val="008D61BE"/>
    <w:rsid w:val="008D6A5A"/>
    <w:rsid w:val="008D6AFA"/>
    <w:rsid w:val="008D7AC5"/>
    <w:rsid w:val="008E112B"/>
    <w:rsid w:val="008E1E8D"/>
    <w:rsid w:val="008E1F78"/>
    <w:rsid w:val="008E2056"/>
    <w:rsid w:val="008E2275"/>
    <w:rsid w:val="008E232A"/>
    <w:rsid w:val="008E26A5"/>
    <w:rsid w:val="008E2BDB"/>
    <w:rsid w:val="008E337B"/>
    <w:rsid w:val="008E39BF"/>
    <w:rsid w:val="008E4545"/>
    <w:rsid w:val="008E4C55"/>
    <w:rsid w:val="008E6889"/>
    <w:rsid w:val="008E6F81"/>
    <w:rsid w:val="008E70A9"/>
    <w:rsid w:val="008F0251"/>
    <w:rsid w:val="008F0CA1"/>
    <w:rsid w:val="008F151D"/>
    <w:rsid w:val="008F1E0F"/>
    <w:rsid w:val="008F2055"/>
    <w:rsid w:val="008F2E67"/>
    <w:rsid w:val="008F3556"/>
    <w:rsid w:val="008F37C2"/>
    <w:rsid w:val="008F3AE6"/>
    <w:rsid w:val="008F4E77"/>
    <w:rsid w:val="008F506C"/>
    <w:rsid w:val="008F664B"/>
    <w:rsid w:val="008F6A44"/>
    <w:rsid w:val="008F7213"/>
    <w:rsid w:val="00901915"/>
    <w:rsid w:val="0090239C"/>
    <w:rsid w:val="00903323"/>
    <w:rsid w:val="00903F24"/>
    <w:rsid w:val="00905C98"/>
    <w:rsid w:val="00906859"/>
    <w:rsid w:val="0090749C"/>
    <w:rsid w:val="00907A20"/>
    <w:rsid w:val="00907D64"/>
    <w:rsid w:val="0091103A"/>
    <w:rsid w:val="009122DF"/>
    <w:rsid w:val="00912FBA"/>
    <w:rsid w:val="0091382C"/>
    <w:rsid w:val="00914F82"/>
    <w:rsid w:val="00916C76"/>
    <w:rsid w:val="009205AB"/>
    <w:rsid w:val="00920EB4"/>
    <w:rsid w:val="00920F9B"/>
    <w:rsid w:val="00922D1D"/>
    <w:rsid w:val="00923A7C"/>
    <w:rsid w:val="00923C62"/>
    <w:rsid w:val="00924499"/>
    <w:rsid w:val="00924869"/>
    <w:rsid w:val="009260F2"/>
    <w:rsid w:val="009261BB"/>
    <w:rsid w:val="00926EBB"/>
    <w:rsid w:val="00926F7F"/>
    <w:rsid w:val="00930A92"/>
    <w:rsid w:val="00930DAA"/>
    <w:rsid w:val="00930EE4"/>
    <w:rsid w:val="00930F69"/>
    <w:rsid w:val="00931735"/>
    <w:rsid w:val="009329AA"/>
    <w:rsid w:val="00932BDE"/>
    <w:rsid w:val="0093377F"/>
    <w:rsid w:val="00933AF6"/>
    <w:rsid w:val="00934BD4"/>
    <w:rsid w:val="00934FCC"/>
    <w:rsid w:val="009351AE"/>
    <w:rsid w:val="009356F5"/>
    <w:rsid w:val="00936CCD"/>
    <w:rsid w:val="00936D27"/>
    <w:rsid w:val="00937A53"/>
    <w:rsid w:val="009403D3"/>
    <w:rsid w:val="00941EC7"/>
    <w:rsid w:val="009429D2"/>
    <w:rsid w:val="009439B6"/>
    <w:rsid w:val="009444A0"/>
    <w:rsid w:val="00945169"/>
    <w:rsid w:val="009457BA"/>
    <w:rsid w:val="009462A9"/>
    <w:rsid w:val="0094642F"/>
    <w:rsid w:val="0094706C"/>
    <w:rsid w:val="0095246E"/>
    <w:rsid w:val="00952A6F"/>
    <w:rsid w:val="00952D68"/>
    <w:rsid w:val="00954DC8"/>
    <w:rsid w:val="0095536A"/>
    <w:rsid w:val="009553FC"/>
    <w:rsid w:val="009557A2"/>
    <w:rsid w:val="00955DDA"/>
    <w:rsid w:val="00964D99"/>
    <w:rsid w:val="00964E20"/>
    <w:rsid w:val="009650BB"/>
    <w:rsid w:val="00966969"/>
    <w:rsid w:val="00966BA5"/>
    <w:rsid w:val="00966D1E"/>
    <w:rsid w:val="009702B0"/>
    <w:rsid w:val="00970B09"/>
    <w:rsid w:val="00970E78"/>
    <w:rsid w:val="009713B7"/>
    <w:rsid w:val="009715BA"/>
    <w:rsid w:val="00971905"/>
    <w:rsid w:val="00971BB6"/>
    <w:rsid w:val="00972456"/>
    <w:rsid w:val="009730C2"/>
    <w:rsid w:val="0097368F"/>
    <w:rsid w:val="009749C0"/>
    <w:rsid w:val="009751C2"/>
    <w:rsid w:val="0097625C"/>
    <w:rsid w:val="00976837"/>
    <w:rsid w:val="00977102"/>
    <w:rsid w:val="00980030"/>
    <w:rsid w:val="00980A65"/>
    <w:rsid w:val="00980E35"/>
    <w:rsid w:val="00981F4D"/>
    <w:rsid w:val="00982064"/>
    <w:rsid w:val="00982665"/>
    <w:rsid w:val="0098477D"/>
    <w:rsid w:val="00987986"/>
    <w:rsid w:val="0099094A"/>
    <w:rsid w:val="00990C69"/>
    <w:rsid w:val="0099290C"/>
    <w:rsid w:val="00993731"/>
    <w:rsid w:val="00993F99"/>
    <w:rsid w:val="00994C92"/>
    <w:rsid w:val="009959F3"/>
    <w:rsid w:val="00995B5B"/>
    <w:rsid w:val="00996008"/>
    <w:rsid w:val="009A06EC"/>
    <w:rsid w:val="009A0CFB"/>
    <w:rsid w:val="009A0E10"/>
    <w:rsid w:val="009A520F"/>
    <w:rsid w:val="009A5857"/>
    <w:rsid w:val="009A7A1D"/>
    <w:rsid w:val="009B220D"/>
    <w:rsid w:val="009B28DF"/>
    <w:rsid w:val="009B321D"/>
    <w:rsid w:val="009B400D"/>
    <w:rsid w:val="009B6D23"/>
    <w:rsid w:val="009B71E0"/>
    <w:rsid w:val="009B7205"/>
    <w:rsid w:val="009C0433"/>
    <w:rsid w:val="009C2545"/>
    <w:rsid w:val="009C26B9"/>
    <w:rsid w:val="009C2EF4"/>
    <w:rsid w:val="009C3A20"/>
    <w:rsid w:val="009C3E4E"/>
    <w:rsid w:val="009C4C23"/>
    <w:rsid w:val="009C4CE0"/>
    <w:rsid w:val="009C562D"/>
    <w:rsid w:val="009C579D"/>
    <w:rsid w:val="009C5914"/>
    <w:rsid w:val="009C5CDF"/>
    <w:rsid w:val="009C6AD5"/>
    <w:rsid w:val="009C6C67"/>
    <w:rsid w:val="009C73F9"/>
    <w:rsid w:val="009D04C4"/>
    <w:rsid w:val="009D0655"/>
    <w:rsid w:val="009D084F"/>
    <w:rsid w:val="009D278F"/>
    <w:rsid w:val="009D6255"/>
    <w:rsid w:val="009D73A4"/>
    <w:rsid w:val="009D75A8"/>
    <w:rsid w:val="009D7940"/>
    <w:rsid w:val="009E0461"/>
    <w:rsid w:val="009E4644"/>
    <w:rsid w:val="009E4F78"/>
    <w:rsid w:val="009E53B4"/>
    <w:rsid w:val="009E62B6"/>
    <w:rsid w:val="009E690E"/>
    <w:rsid w:val="009E6A9F"/>
    <w:rsid w:val="009E734A"/>
    <w:rsid w:val="009F108F"/>
    <w:rsid w:val="009F157A"/>
    <w:rsid w:val="009F15EB"/>
    <w:rsid w:val="009F2F7C"/>
    <w:rsid w:val="009F306D"/>
    <w:rsid w:val="009F340A"/>
    <w:rsid w:val="009F3E32"/>
    <w:rsid w:val="009F5ED9"/>
    <w:rsid w:val="009F7213"/>
    <w:rsid w:val="009F753E"/>
    <w:rsid w:val="00A0234D"/>
    <w:rsid w:val="00A02600"/>
    <w:rsid w:val="00A02C75"/>
    <w:rsid w:val="00A048ED"/>
    <w:rsid w:val="00A05478"/>
    <w:rsid w:val="00A067FD"/>
    <w:rsid w:val="00A06FDE"/>
    <w:rsid w:val="00A07D0F"/>
    <w:rsid w:val="00A10993"/>
    <w:rsid w:val="00A10B2B"/>
    <w:rsid w:val="00A113CB"/>
    <w:rsid w:val="00A114EE"/>
    <w:rsid w:val="00A11DB5"/>
    <w:rsid w:val="00A11E23"/>
    <w:rsid w:val="00A142B4"/>
    <w:rsid w:val="00A15C24"/>
    <w:rsid w:val="00A160E5"/>
    <w:rsid w:val="00A20125"/>
    <w:rsid w:val="00A20CDE"/>
    <w:rsid w:val="00A21490"/>
    <w:rsid w:val="00A22230"/>
    <w:rsid w:val="00A22C6C"/>
    <w:rsid w:val="00A22E6A"/>
    <w:rsid w:val="00A23695"/>
    <w:rsid w:val="00A23C45"/>
    <w:rsid w:val="00A24B3F"/>
    <w:rsid w:val="00A24D31"/>
    <w:rsid w:val="00A24E22"/>
    <w:rsid w:val="00A25362"/>
    <w:rsid w:val="00A26E15"/>
    <w:rsid w:val="00A27A73"/>
    <w:rsid w:val="00A27F9F"/>
    <w:rsid w:val="00A3147F"/>
    <w:rsid w:val="00A32C94"/>
    <w:rsid w:val="00A32D2D"/>
    <w:rsid w:val="00A34C9D"/>
    <w:rsid w:val="00A35263"/>
    <w:rsid w:val="00A353B1"/>
    <w:rsid w:val="00A3613D"/>
    <w:rsid w:val="00A40611"/>
    <w:rsid w:val="00A411FC"/>
    <w:rsid w:val="00A41BBF"/>
    <w:rsid w:val="00A420F9"/>
    <w:rsid w:val="00A42F84"/>
    <w:rsid w:val="00A431C9"/>
    <w:rsid w:val="00A44252"/>
    <w:rsid w:val="00A443E5"/>
    <w:rsid w:val="00A444DE"/>
    <w:rsid w:val="00A45412"/>
    <w:rsid w:val="00A45423"/>
    <w:rsid w:val="00A467B6"/>
    <w:rsid w:val="00A47789"/>
    <w:rsid w:val="00A50095"/>
    <w:rsid w:val="00A51148"/>
    <w:rsid w:val="00A51B08"/>
    <w:rsid w:val="00A51B9F"/>
    <w:rsid w:val="00A5351C"/>
    <w:rsid w:val="00A53CA3"/>
    <w:rsid w:val="00A546C6"/>
    <w:rsid w:val="00A54DE1"/>
    <w:rsid w:val="00A54FA7"/>
    <w:rsid w:val="00A55DE3"/>
    <w:rsid w:val="00A56EE9"/>
    <w:rsid w:val="00A57921"/>
    <w:rsid w:val="00A57D3D"/>
    <w:rsid w:val="00A6074A"/>
    <w:rsid w:val="00A610DC"/>
    <w:rsid w:val="00A62860"/>
    <w:rsid w:val="00A62C9A"/>
    <w:rsid w:val="00A63235"/>
    <w:rsid w:val="00A63300"/>
    <w:rsid w:val="00A63629"/>
    <w:rsid w:val="00A63EA6"/>
    <w:rsid w:val="00A65EDC"/>
    <w:rsid w:val="00A6630C"/>
    <w:rsid w:val="00A671B8"/>
    <w:rsid w:val="00A70E28"/>
    <w:rsid w:val="00A71526"/>
    <w:rsid w:val="00A716C3"/>
    <w:rsid w:val="00A717F1"/>
    <w:rsid w:val="00A72462"/>
    <w:rsid w:val="00A73A86"/>
    <w:rsid w:val="00A73ED0"/>
    <w:rsid w:val="00A753C7"/>
    <w:rsid w:val="00A759D1"/>
    <w:rsid w:val="00A75E6D"/>
    <w:rsid w:val="00A77C31"/>
    <w:rsid w:val="00A807A6"/>
    <w:rsid w:val="00A8171B"/>
    <w:rsid w:val="00A8193E"/>
    <w:rsid w:val="00A83002"/>
    <w:rsid w:val="00A83C18"/>
    <w:rsid w:val="00A83CC2"/>
    <w:rsid w:val="00A84807"/>
    <w:rsid w:val="00A85C14"/>
    <w:rsid w:val="00A905A4"/>
    <w:rsid w:val="00A90797"/>
    <w:rsid w:val="00A93E01"/>
    <w:rsid w:val="00A94449"/>
    <w:rsid w:val="00A947FE"/>
    <w:rsid w:val="00A94A82"/>
    <w:rsid w:val="00A96ADF"/>
    <w:rsid w:val="00A97C29"/>
    <w:rsid w:val="00A97C58"/>
    <w:rsid w:val="00AA0503"/>
    <w:rsid w:val="00AA06B3"/>
    <w:rsid w:val="00AA0A68"/>
    <w:rsid w:val="00AA1840"/>
    <w:rsid w:val="00AA5F05"/>
    <w:rsid w:val="00AA6C13"/>
    <w:rsid w:val="00AA79CD"/>
    <w:rsid w:val="00AA7EF3"/>
    <w:rsid w:val="00AB2D6E"/>
    <w:rsid w:val="00AB386C"/>
    <w:rsid w:val="00AC0DE8"/>
    <w:rsid w:val="00AC2A15"/>
    <w:rsid w:val="00AC2E42"/>
    <w:rsid w:val="00AC3455"/>
    <w:rsid w:val="00AC367A"/>
    <w:rsid w:val="00AC386E"/>
    <w:rsid w:val="00AC4224"/>
    <w:rsid w:val="00AC4554"/>
    <w:rsid w:val="00AC4FCC"/>
    <w:rsid w:val="00AC53B4"/>
    <w:rsid w:val="00AC5D30"/>
    <w:rsid w:val="00AC6578"/>
    <w:rsid w:val="00AC662D"/>
    <w:rsid w:val="00AC7D9B"/>
    <w:rsid w:val="00AD025D"/>
    <w:rsid w:val="00AD054A"/>
    <w:rsid w:val="00AD1FF9"/>
    <w:rsid w:val="00AD224A"/>
    <w:rsid w:val="00AD3EA5"/>
    <w:rsid w:val="00AD4880"/>
    <w:rsid w:val="00AD49BD"/>
    <w:rsid w:val="00AD6322"/>
    <w:rsid w:val="00AD775F"/>
    <w:rsid w:val="00AE17D1"/>
    <w:rsid w:val="00AE20EC"/>
    <w:rsid w:val="00AE2724"/>
    <w:rsid w:val="00AE2918"/>
    <w:rsid w:val="00AE2B13"/>
    <w:rsid w:val="00AE2EF6"/>
    <w:rsid w:val="00AE30C4"/>
    <w:rsid w:val="00AE33F3"/>
    <w:rsid w:val="00AE46B7"/>
    <w:rsid w:val="00AE5DC4"/>
    <w:rsid w:val="00AF031C"/>
    <w:rsid w:val="00AF0753"/>
    <w:rsid w:val="00AF0A40"/>
    <w:rsid w:val="00AF167E"/>
    <w:rsid w:val="00AF1B97"/>
    <w:rsid w:val="00AF1E5E"/>
    <w:rsid w:val="00AF1FCE"/>
    <w:rsid w:val="00AF2751"/>
    <w:rsid w:val="00AF2E33"/>
    <w:rsid w:val="00AF30C2"/>
    <w:rsid w:val="00AF41F2"/>
    <w:rsid w:val="00AF5427"/>
    <w:rsid w:val="00AF566C"/>
    <w:rsid w:val="00AF6ABC"/>
    <w:rsid w:val="00AF7461"/>
    <w:rsid w:val="00AF7BD9"/>
    <w:rsid w:val="00B039E5"/>
    <w:rsid w:val="00B06BF9"/>
    <w:rsid w:val="00B07384"/>
    <w:rsid w:val="00B10F34"/>
    <w:rsid w:val="00B110AD"/>
    <w:rsid w:val="00B11692"/>
    <w:rsid w:val="00B11784"/>
    <w:rsid w:val="00B11CC9"/>
    <w:rsid w:val="00B131F4"/>
    <w:rsid w:val="00B13CB5"/>
    <w:rsid w:val="00B13D23"/>
    <w:rsid w:val="00B13ECD"/>
    <w:rsid w:val="00B1478C"/>
    <w:rsid w:val="00B14B3B"/>
    <w:rsid w:val="00B15916"/>
    <w:rsid w:val="00B17A6E"/>
    <w:rsid w:val="00B17A94"/>
    <w:rsid w:val="00B17AF7"/>
    <w:rsid w:val="00B17CFC"/>
    <w:rsid w:val="00B2005C"/>
    <w:rsid w:val="00B2035A"/>
    <w:rsid w:val="00B2054D"/>
    <w:rsid w:val="00B20ABD"/>
    <w:rsid w:val="00B20F91"/>
    <w:rsid w:val="00B21908"/>
    <w:rsid w:val="00B21D4C"/>
    <w:rsid w:val="00B232A7"/>
    <w:rsid w:val="00B23E82"/>
    <w:rsid w:val="00B24843"/>
    <w:rsid w:val="00B263A0"/>
    <w:rsid w:val="00B269ED"/>
    <w:rsid w:val="00B27AFF"/>
    <w:rsid w:val="00B30457"/>
    <w:rsid w:val="00B314E9"/>
    <w:rsid w:val="00B31A20"/>
    <w:rsid w:val="00B344A1"/>
    <w:rsid w:val="00B34870"/>
    <w:rsid w:val="00B365CF"/>
    <w:rsid w:val="00B36842"/>
    <w:rsid w:val="00B36A2D"/>
    <w:rsid w:val="00B36F11"/>
    <w:rsid w:val="00B37175"/>
    <w:rsid w:val="00B42B03"/>
    <w:rsid w:val="00B4352D"/>
    <w:rsid w:val="00B440C8"/>
    <w:rsid w:val="00B4490B"/>
    <w:rsid w:val="00B4677C"/>
    <w:rsid w:val="00B4680D"/>
    <w:rsid w:val="00B46AC5"/>
    <w:rsid w:val="00B46B6C"/>
    <w:rsid w:val="00B47276"/>
    <w:rsid w:val="00B475A7"/>
    <w:rsid w:val="00B5168E"/>
    <w:rsid w:val="00B518EB"/>
    <w:rsid w:val="00B52608"/>
    <w:rsid w:val="00B52835"/>
    <w:rsid w:val="00B52BC3"/>
    <w:rsid w:val="00B541FF"/>
    <w:rsid w:val="00B551FB"/>
    <w:rsid w:val="00B5606B"/>
    <w:rsid w:val="00B5737D"/>
    <w:rsid w:val="00B61829"/>
    <w:rsid w:val="00B621FA"/>
    <w:rsid w:val="00B6223F"/>
    <w:rsid w:val="00B6245A"/>
    <w:rsid w:val="00B62B3E"/>
    <w:rsid w:val="00B62E77"/>
    <w:rsid w:val="00B63221"/>
    <w:rsid w:val="00B632AC"/>
    <w:rsid w:val="00B6389C"/>
    <w:rsid w:val="00B642D3"/>
    <w:rsid w:val="00B6561E"/>
    <w:rsid w:val="00B67416"/>
    <w:rsid w:val="00B6768A"/>
    <w:rsid w:val="00B676BF"/>
    <w:rsid w:val="00B7052E"/>
    <w:rsid w:val="00B70DFB"/>
    <w:rsid w:val="00B71D68"/>
    <w:rsid w:val="00B732F4"/>
    <w:rsid w:val="00B74445"/>
    <w:rsid w:val="00B747B6"/>
    <w:rsid w:val="00B75361"/>
    <w:rsid w:val="00B75377"/>
    <w:rsid w:val="00B756DE"/>
    <w:rsid w:val="00B75C6D"/>
    <w:rsid w:val="00B7602A"/>
    <w:rsid w:val="00B802F3"/>
    <w:rsid w:val="00B803D8"/>
    <w:rsid w:val="00B8060E"/>
    <w:rsid w:val="00B82550"/>
    <w:rsid w:val="00B82C89"/>
    <w:rsid w:val="00B83414"/>
    <w:rsid w:val="00B84EFD"/>
    <w:rsid w:val="00B8582D"/>
    <w:rsid w:val="00B85BCE"/>
    <w:rsid w:val="00B863A6"/>
    <w:rsid w:val="00B86D92"/>
    <w:rsid w:val="00B87103"/>
    <w:rsid w:val="00B92CF5"/>
    <w:rsid w:val="00B92D58"/>
    <w:rsid w:val="00B95056"/>
    <w:rsid w:val="00B95DB0"/>
    <w:rsid w:val="00B95F36"/>
    <w:rsid w:val="00B96B90"/>
    <w:rsid w:val="00B97800"/>
    <w:rsid w:val="00B97DFD"/>
    <w:rsid w:val="00BA03C4"/>
    <w:rsid w:val="00BA0E09"/>
    <w:rsid w:val="00BA1516"/>
    <w:rsid w:val="00BA1BF1"/>
    <w:rsid w:val="00BA1D55"/>
    <w:rsid w:val="00BA2569"/>
    <w:rsid w:val="00BA2802"/>
    <w:rsid w:val="00BA3609"/>
    <w:rsid w:val="00BA53BF"/>
    <w:rsid w:val="00BA6EDB"/>
    <w:rsid w:val="00BA7DBF"/>
    <w:rsid w:val="00BA7FC0"/>
    <w:rsid w:val="00BB00C9"/>
    <w:rsid w:val="00BB0CC2"/>
    <w:rsid w:val="00BB0F14"/>
    <w:rsid w:val="00BB357A"/>
    <w:rsid w:val="00BB4196"/>
    <w:rsid w:val="00BB4E38"/>
    <w:rsid w:val="00BB541E"/>
    <w:rsid w:val="00BB724A"/>
    <w:rsid w:val="00BB7770"/>
    <w:rsid w:val="00BB7A45"/>
    <w:rsid w:val="00BB7C03"/>
    <w:rsid w:val="00BC0CD8"/>
    <w:rsid w:val="00BC26D9"/>
    <w:rsid w:val="00BC2BB6"/>
    <w:rsid w:val="00BC4DDF"/>
    <w:rsid w:val="00BC5070"/>
    <w:rsid w:val="00BC6F70"/>
    <w:rsid w:val="00BD0592"/>
    <w:rsid w:val="00BD1A4A"/>
    <w:rsid w:val="00BD2CFE"/>
    <w:rsid w:val="00BD3ACD"/>
    <w:rsid w:val="00BD42CC"/>
    <w:rsid w:val="00BD4F80"/>
    <w:rsid w:val="00BD594C"/>
    <w:rsid w:val="00BD62FA"/>
    <w:rsid w:val="00BD65F7"/>
    <w:rsid w:val="00BD77E1"/>
    <w:rsid w:val="00BD7904"/>
    <w:rsid w:val="00BD7B60"/>
    <w:rsid w:val="00BE01CC"/>
    <w:rsid w:val="00BE17E5"/>
    <w:rsid w:val="00BE1E12"/>
    <w:rsid w:val="00BE268B"/>
    <w:rsid w:val="00BE3ACB"/>
    <w:rsid w:val="00BE3B4F"/>
    <w:rsid w:val="00BE451D"/>
    <w:rsid w:val="00BE5973"/>
    <w:rsid w:val="00BE63F1"/>
    <w:rsid w:val="00BE6A03"/>
    <w:rsid w:val="00BE7184"/>
    <w:rsid w:val="00BE727E"/>
    <w:rsid w:val="00BE769A"/>
    <w:rsid w:val="00BF2661"/>
    <w:rsid w:val="00BF2F11"/>
    <w:rsid w:val="00BF38D6"/>
    <w:rsid w:val="00BF3E09"/>
    <w:rsid w:val="00BF40F1"/>
    <w:rsid w:val="00BF42A0"/>
    <w:rsid w:val="00BF4AC6"/>
    <w:rsid w:val="00BF6198"/>
    <w:rsid w:val="00BF6780"/>
    <w:rsid w:val="00BF6C0E"/>
    <w:rsid w:val="00C0086B"/>
    <w:rsid w:val="00C01232"/>
    <w:rsid w:val="00C02DB9"/>
    <w:rsid w:val="00C05A0A"/>
    <w:rsid w:val="00C1144A"/>
    <w:rsid w:val="00C1256C"/>
    <w:rsid w:val="00C12996"/>
    <w:rsid w:val="00C13553"/>
    <w:rsid w:val="00C140DA"/>
    <w:rsid w:val="00C155A5"/>
    <w:rsid w:val="00C16066"/>
    <w:rsid w:val="00C16511"/>
    <w:rsid w:val="00C17836"/>
    <w:rsid w:val="00C20754"/>
    <w:rsid w:val="00C2147F"/>
    <w:rsid w:val="00C21806"/>
    <w:rsid w:val="00C21A99"/>
    <w:rsid w:val="00C223C7"/>
    <w:rsid w:val="00C22494"/>
    <w:rsid w:val="00C22910"/>
    <w:rsid w:val="00C22D36"/>
    <w:rsid w:val="00C2394B"/>
    <w:rsid w:val="00C23C33"/>
    <w:rsid w:val="00C2577E"/>
    <w:rsid w:val="00C25869"/>
    <w:rsid w:val="00C25F85"/>
    <w:rsid w:val="00C30070"/>
    <w:rsid w:val="00C31922"/>
    <w:rsid w:val="00C329F9"/>
    <w:rsid w:val="00C32BFB"/>
    <w:rsid w:val="00C3307C"/>
    <w:rsid w:val="00C33C6B"/>
    <w:rsid w:val="00C34032"/>
    <w:rsid w:val="00C34591"/>
    <w:rsid w:val="00C350A0"/>
    <w:rsid w:val="00C36237"/>
    <w:rsid w:val="00C365B1"/>
    <w:rsid w:val="00C40BEB"/>
    <w:rsid w:val="00C4118E"/>
    <w:rsid w:val="00C42D2B"/>
    <w:rsid w:val="00C44A35"/>
    <w:rsid w:val="00C452D3"/>
    <w:rsid w:val="00C477AC"/>
    <w:rsid w:val="00C52393"/>
    <w:rsid w:val="00C5353F"/>
    <w:rsid w:val="00C568A1"/>
    <w:rsid w:val="00C60208"/>
    <w:rsid w:val="00C6262B"/>
    <w:rsid w:val="00C62A8C"/>
    <w:rsid w:val="00C6356F"/>
    <w:rsid w:val="00C647FD"/>
    <w:rsid w:val="00C64A30"/>
    <w:rsid w:val="00C65474"/>
    <w:rsid w:val="00C67B5E"/>
    <w:rsid w:val="00C70D30"/>
    <w:rsid w:val="00C7136E"/>
    <w:rsid w:val="00C71891"/>
    <w:rsid w:val="00C71E90"/>
    <w:rsid w:val="00C734EC"/>
    <w:rsid w:val="00C7364A"/>
    <w:rsid w:val="00C7398E"/>
    <w:rsid w:val="00C747F8"/>
    <w:rsid w:val="00C75D00"/>
    <w:rsid w:val="00C75FF7"/>
    <w:rsid w:val="00C7669D"/>
    <w:rsid w:val="00C7671E"/>
    <w:rsid w:val="00C77682"/>
    <w:rsid w:val="00C776CE"/>
    <w:rsid w:val="00C80269"/>
    <w:rsid w:val="00C80D39"/>
    <w:rsid w:val="00C823C4"/>
    <w:rsid w:val="00C82F5D"/>
    <w:rsid w:val="00C839E8"/>
    <w:rsid w:val="00C85979"/>
    <w:rsid w:val="00C8713C"/>
    <w:rsid w:val="00C875AF"/>
    <w:rsid w:val="00C877BE"/>
    <w:rsid w:val="00C87D94"/>
    <w:rsid w:val="00C90F04"/>
    <w:rsid w:val="00C91B0E"/>
    <w:rsid w:val="00C9301E"/>
    <w:rsid w:val="00C9389F"/>
    <w:rsid w:val="00C94611"/>
    <w:rsid w:val="00C9506F"/>
    <w:rsid w:val="00C967CD"/>
    <w:rsid w:val="00C96D04"/>
    <w:rsid w:val="00C97191"/>
    <w:rsid w:val="00C97574"/>
    <w:rsid w:val="00CA0490"/>
    <w:rsid w:val="00CA0DFD"/>
    <w:rsid w:val="00CA2196"/>
    <w:rsid w:val="00CA21A7"/>
    <w:rsid w:val="00CA30E4"/>
    <w:rsid w:val="00CA3197"/>
    <w:rsid w:val="00CA34A4"/>
    <w:rsid w:val="00CA4B60"/>
    <w:rsid w:val="00CA4D30"/>
    <w:rsid w:val="00CA516B"/>
    <w:rsid w:val="00CA52A5"/>
    <w:rsid w:val="00CA6165"/>
    <w:rsid w:val="00CA7412"/>
    <w:rsid w:val="00CB0CD9"/>
    <w:rsid w:val="00CB4D57"/>
    <w:rsid w:val="00CB5525"/>
    <w:rsid w:val="00CB63CE"/>
    <w:rsid w:val="00CB6AB0"/>
    <w:rsid w:val="00CB749F"/>
    <w:rsid w:val="00CB78E8"/>
    <w:rsid w:val="00CC02B5"/>
    <w:rsid w:val="00CC06E5"/>
    <w:rsid w:val="00CC08F6"/>
    <w:rsid w:val="00CC0FCA"/>
    <w:rsid w:val="00CC3B26"/>
    <w:rsid w:val="00CD07E8"/>
    <w:rsid w:val="00CD0DC7"/>
    <w:rsid w:val="00CD271D"/>
    <w:rsid w:val="00CD3139"/>
    <w:rsid w:val="00CD3966"/>
    <w:rsid w:val="00CD3B05"/>
    <w:rsid w:val="00CD453F"/>
    <w:rsid w:val="00CD4AE2"/>
    <w:rsid w:val="00CD5C49"/>
    <w:rsid w:val="00CD5D2D"/>
    <w:rsid w:val="00CD6B2E"/>
    <w:rsid w:val="00CE02E9"/>
    <w:rsid w:val="00CE26F8"/>
    <w:rsid w:val="00CE2D82"/>
    <w:rsid w:val="00CE2D8B"/>
    <w:rsid w:val="00CE4A08"/>
    <w:rsid w:val="00CE6DEE"/>
    <w:rsid w:val="00CF0865"/>
    <w:rsid w:val="00CF0DEA"/>
    <w:rsid w:val="00CF279F"/>
    <w:rsid w:val="00CF29C4"/>
    <w:rsid w:val="00CF2CC2"/>
    <w:rsid w:val="00CF455B"/>
    <w:rsid w:val="00CF5857"/>
    <w:rsid w:val="00CF59D5"/>
    <w:rsid w:val="00CF5B7A"/>
    <w:rsid w:val="00CF69CF"/>
    <w:rsid w:val="00CF782A"/>
    <w:rsid w:val="00D006A0"/>
    <w:rsid w:val="00D00EDC"/>
    <w:rsid w:val="00D0146A"/>
    <w:rsid w:val="00D05A15"/>
    <w:rsid w:val="00D0690B"/>
    <w:rsid w:val="00D07D9B"/>
    <w:rsid w:val="00D10E5B"/>
    <w:rsid w:val="00D1153C"/>
    <w:rsid w:val="00D133BC"/>
    <w:rsid w:val="00D134F2"/>
    <w:rsid w:val="00D13CFE"/>
    <w:rsid w:val="00D13DE6"/>
    <w:rsid w:val="00D154C6"/>
    <w:rsid w:val="00D1657A"/>
    <w:rsid w:val="00D16C34"/>
    <w:rsid w:val="00D1792D"/>
    <w:rsid w:val="00D17BC4"/>
    <w:rsid w:val="00D221B3"/>
    <w:rsid w:val="00D22B47"/>
    <w:rsid w:val="00D22D92"/>
    <w:rsid w:val="00D23576"/>
    <w:rsid w:val="00D24B0C"/>
    <w:rsid w:val="00D25049"/>
    <w:rsid w:val="00D26C7A"/>
    <w:rsid w:val="00D30D91"/>
    <w:rsid w:val="00D3124D"/>
    <w:rsid w:val="00D314C5"/>
    <w:rsid w:val="00D3286B"/>
    <w:rsid w:val="00D3343D"/>
    <w:rsid w:val="00D3409A"/>
    <w:rsid w:val="00D34180"/>
    <w:rsid w:val="00D35A32"/>
    <w:rsid w:val="00D35F58"/>
    <w:rsid w:val="00D4007A"/>
    <w:rsid w:val="00D42AF5"/>
    <w:rsid w:val="00D42B36"/>
    <w:rsid w:val="00D43509"/>
    <w:rsid w:val="00D43683"/>
    <w:rsid w:val="00D43E68"/>
    <w:rsid w:val="00D4563E"/>
    <w:rsid w:val="00D46EEE"/>
    <w:rsid w:val="00D47152"/>
    <w:rsid w:val="00D47A7B"/>
    <w:rsid w:val="00D50ED4"/>
    <w:rsid w:val="00D5281E"/>
    <w:rsid w:val="00D52948"/>
    <w:rsid w:val="00D52E1D"/>
    <w:rsid w:val="00D53291"/>
    <w:rsid w:val="00D535AB"/>
    <w:rsid w:val="00D54552"/>
    <w:rsid w:val="00D56517"/>
    <w:rsid w:val="00D616BF"/>
    <w:rsid w:val="00D61FAD"/>
    <w:rsid w:val="00D62618"/>
    <w:rsid w:val="00D62650"/>
    <w:rsid w:val="00D631E7"/>
    <w:rsid w:val="00D65625"/>
    <w:rsid w:val="00D6562B"/>
    <w:rsid w:val="00D669E3"/>
    <w:rsid w:val="00D71851"/>
    <w:rsid w:val="00D7244B"/>
    <w:rsid w:val="00D724BA"/>
    <w:rsid w:val="00D7296B"/>
    <w:rsid w:val="00D73D73"/>
    <w:rsid w:val="00D74D2A"/>
    <w:rsid w:val="00D75BEC"/>
    <w:rsid w:val="00D8219D"/>
    <w:rsid w:val="00D83BAD"/>
    <w:rsid w:val="00D84BD4"/>
    <w:rsid w:val="00D84DAD"/>
    <w:rsid w:val="00D850C2"/>
    <w:rsid w:val="00D85257"/>
    <w:rsid w:val="00D855C1"/>
    <w:rsid w:val="00D866DE"/>
    <w:rsid w:val="00D910D7"/>
    <w:rsid w:val="00D91C7E"/>
    <w:rsid w:val="00D92334"/>
    <w:rsid w:val="00D92F82"/>
    <w:rsid w:val="00D93ACD"/>
    <w:rsid w:val="00D947C9"/>
    <w:rsid w:val="00D94851"/>
    <w:rsid w:val="00D94D91"/>
    <w:rsid w:val="00D9555B"/>
    <w:rsid w:val="00D95AF1"/>
    <w:rsid w:val="00D968AC"/>
    <w:rsid w:val="00D96B5D"/>
    <w:rsid w:val="00D96FF4"/>
    <w:rsid w:val="00D97D81"/>
    <w:rsid w:val="00DA046C"/>
    <w:rsid w:val="00DA0C48"/>
    <w:rsid w:val="00DA1DFC"/>
    <w:rsid w:val="00DA2C8E"/>
    <w:rsid w:val="00DA32B1"/>
    <w:rsid w:val="00DA402A"/>
    <w:rsid w:val="00DA440E"/>
    <w:rsid w:val="00DA511C"/>
    <w:rsid w:val="00DA52F1"/>
    <w:rsid w:val="00DA533E"/>
    <w:rsid w:val="00DA54F6"/>
    <w:rsid w:val="00DA5FD4"/>
    <w:rsid w:val="00DA62B0"/>
    <w:rsid w:val="00DA71B3"/>
    <w:rsid w:val="00DB09AD"/>
    <w:rsid w:val="00DB0F54"/>
    <w:rsid w:val="00DB2B72"/>
    <w:rsid w:val="00DB3F0B"/>
    <w:rsid w:val="00DB586D"/>
    <w:rsid w:val="00DB5F8F"/>
    <w:rsid w:val="00DB6776"/>
    <w:rsid w:val="00DC0309"/>
    <w:rsid w:val="00DC0A6D"/>
    <w:rsid w:val="00DC0C27"/>
    <w:rsid w:val="00DC14EB"/>
    <w:rsid w:val="00DC17BB"/>
    <w:rsid w:val="00DC21B3"/>
    <w:rsid w:val="00DC22F2"/>
    <w:rsid w:val="00DC292A"/>
    <w:rsid w:val="00DC3408"/>
    <w:rsid w:val="00DC4E12"/>
    <w:rsid w:val="00DC57A8"/>
    <w:rsid w:val="00DC590A"/>
    <w:rsid w:val="00DC61F9"/>
    <w:rsid w:val="00DC6F95"/>
    <w:rsid w:val="00DC701F"/>
    <w:rsid w:val="00DD209A"/>
    <w:rsid w:val="00DD56B5"/>
    <w:rsid w:val="00DD68CF"/>
    <w:rsid w:val="00DD761D"/>
    <w:rsid w:val="00DE152F"/>
    <w:rsid w:val="00DE1D84"/>
    <w:rsid w:val="00DE44CC"/>
    <w:rsid w:val="00DE4730"/>
    <w:rsid w:val="00DE5434"/>
    <w:rsid w:val="00DE54D3"/>
    <w:rsid w:val="00DE5526"/>
    <w:rsid w:val="00DE579D"/>
    <w:rsid w:val="00DE6583"/>
    <w:rsid w:val="00DE6858"/>
    <w:rsid w:val="00DE7886"/>
    <w:rsid w:val="00DF113C"/>
    <w:rsid w:val="00DF28D3"/>
    <w:rsid w:val="00DF4BD1"/>
    <w:rsid w:val="00DF5299"/>
    <w:rsid w:val="00DF6034"/>
    <w:rsid w:val="00DF69EF"/>
    <w:rsid w:val="00DF6A4A"/>
    <w:rsid w:val="00DF6C8B"/>
    <w:rsid w:val="00DF75FF"/>
    <w:rsid w:val="00E000A8"/>
    <w:rsid w:val="00E0052F"/>
    <w:rsid w:val="00E00890"/>
    <w:rsid w:val="00E00BE7"/>
    <w:rsid w:val="00E01F01"/>
    <w:rsid w:val="00E03288"/>
    <w:rsid w:val="00E04CA8"/>
    <w:rsid w:val="00E058EF"/>
    <w:rsid w:val="00E068B3"/>
    <w:rsid w:val="00E06B77"/>
    <w:rsid w:val="00E1043E"/>
    <w:rsid w:val="00E1099F"/>
    <w:rsid w:val="00E117A6"/>
    <w:rsid w:val="00E119A3"/>
    <w:rsid w:val="00E119CE"/>
    <w:rsid w:val="00E11F06"/>
    <w:rsid w:val="00E1211D"/>
    <w:rsid w:val="00E1233A"/>
    <w:rsid w:val="00E139CD"/>
    <w:rsid w:val="00E14DDD"/>
    <w:rsid w:val="00E20518"/>
    <w:rsid w:val="00E20828"/>
    <w:rsid w:val="00E20BFE"/>
    <w:rsid w:val="00E20C46"/>
    <w:rsid w:val="00E22742"/>
    <w:rsid w:val="00E2334A"/>
    <w:rsid w:val="00E2487E"/>
    <w:rsid w:val="00E25C22"/>
    <w:rsid w:val="00E26196"/>
    <w:rsid w:val="00E277FF"/>
    <w:rsid w:val="00E30529"/>
    <w:rsid w:val="00E30C5D"/>
    <w:rsid w:val="00E30F38"/>
    <w:rsid w:val="00E30FF6"/>
    <w:rsid w:val="00E31741"/>
    <w:rsid w:val="00E31E92"/>
    <w:rsid w:val="00E3257C"/>
    <w:rsid w:val="00E33AF6"/>
    <w:rsid w:val="00E33C1B"/>
    <w:rsid w:val="00E33E75"/>
    <w:rsid w:val="00E35D3D"/>
    <w:rsid w:val="00E3609F"/>
    <w:rsid w:val="00E360C2"/>
    <w:rsid w:val="00E36246"/>
    <w:rsid w:val="00E3659C"/>
    <w:rsid w:val="00E403EF"/>
    <w:rsid w:val="00E4062C"/>
    <w:rsid w:val="00E436D6"/>
    <w:rsid w:val="00E43FB8"/>
    <w:rsid w:val="00E443EE"/>
    <w:rsid w:val="00E44725"/>
    <w:rsid w:val="00E452FD"/>
    <w:rsid w:val="00E45A06"/>
    <w:rsid w:val="00E467BA"/>
    <w:rsid w:val="00E477C2"/>
    <w:rsid w:val="00E4780F"/>
    <w:rsid w:val="00E504CE"/>
    <w:rsid w:val="00E5104C"/>
    <w:rsid w:val="00E52238"/>
    <w:rsid w:val="00E537A2"/>
    <w:rsid w:val="00E53AE7"/>
    <w:rsid w:val="00E53D0D"/>
    <w:rsid w:val="00E56194"/>
    <w:rsid w:val="00E56211"/>
    <w:rsid w:val="00E56273"/>
    <w:rsid w:val="00E603EB"/>
    <w:rsid w:val="00E61993"/>
    <w:rsid w:val="00E61B41"/>
    <w:rsid w:val="00E61D33"/>
    <w:rsid w:val="00E636E5"/>
    <w:rsid w:val="00E637A0"/>
    <w:rsid w:val="00E66E0F"/>
    <w:rsid w:val="00E719EA"/>
    <w:rsid w:val="00E71DDB"/>
    <w:rsid w:val="00E72630"/>
    <w:rsid w:val="00E73340"/>
    <w:rsid w:val="00E73422"/>
    <w:rsid w:val="00E73861"/>
    <w:rsid w:val="00E73F70"/>
    <w:rsid w:val="00E74992"/>
    <w:rsid w:val="00E74C08"/>
    <w:rsid w:val="00E75881"/>
    <w:rsid w:val="00E77C77"/>
    <w:rsid w:val="00E77D5C"/>
    <w:rsid w:val="00E836DF"/>
    <w:rsid w:val="00E83953"/>
    <w:rsid w:val="00E85668"/>
    <w:rsid w:val="00E85F0A"/>
    <w:rsid w:val="00E86295"/>
    <w:rsid w:val="00E86B22"/>
    <w:rsid w:val="00E87BFE"/>
    <w:rsid w:val="00E908CE"/>
    <w:rsid w:val="00E91013"/>
    <w:rsid w:val="00E9283A"/>
    <w:rsid w:val="00E93996"/>
    <w:rsid w:val="00E94819"/>
    <w:rsid w:val="00E94C3E"/>
    <w:rsid w:val="00E95525"/>
    <w:rsid w:val="00E956F8"/>
    <w:rsid w:val="00E957B6"/>
    <w:rsid w:val="00E95D7F"/>
    <w:rsid w:val="00E97522"/>
    <w:rsid w:val="00EA00B8"/>
    <w:rsid w:val="00EA25B1"/>
    <w:rsid w:val="00EA2CF9"/>
    <w:rsid w:val="00EA33DC"/>
    <w:rsid w:val="00EA37E9"/>
    <w:rsid w:val="00EA3BDA"/>
    <w:rsid w:val="00EA3C4C"/>
    <w:rsid w:val="00EA3F50"/>
    <w:rsid w:val="00EA40F7"/>
    <w:rsid w:val="00EA4233"/>
    <w:rsid w:val="00EA45A2"/>
    <w:rsid w:val="00EA7B96"/>
    <w:rsid w:val="00EA7BD5"/>
    <w:rsid w:val="00EB02E2"/>
    <w:rsid w:val="00EB07C0"/>
    <w:rsid w:val="00EB0CD6"/>
    <w:rsid w:val="00EB238B"/>
    <w:rsid w:val="00EB2434"/>
    <w:rsid w:val="00EB54F9"/>
    <w:rsid w:val="00EB56B1"/>
    <w:rsid w:val="00EB6926"/>
    <w:rsid w:val="00EB6C81"/>
    <w:rsid w:val="00EB7885"/>
    <w:rsid w:val="00EB7E46"/>
    <w:rsid w:val="00EC0778"/>
    <w:rsid w:val="00EC126C"/>
    <w:rsid w:val="00EC1791"/>
    <w:rsid w:val="00EC179C"/>
    <w:rsid w:val="00EC1DB1"/>
    <w:rsid w:val="00EC249A"/>
    <w:rsid w:val="00EC263F"/>
    <w:rsid w:val="00EC28C0"/>
    <w:rsid w:val="00EC2DFA"/>
    <w:rsid w:val="00EC304B"/>
    <w:rsid w:val="00EC30BC"/>
    <w:rsid w:val="00EC3944"/>
    <w:rsid w:val="00EC3D86"/>
    <w:rsid w:val="00EC3EE7"/>
    <w:rsid w:val="00EC4498"/>
    <w:rsid w:val="00EC4D38"/>
    <w:rsid w:val="00EC5FCC"/>
    <w:rsid w:val="00EC6E63"/>
    <w:rsid w:val="00EC725F"/>
    <w:rsid w:val="00ED0B04"/>
    <w:rsid w:val="00ED1953"/>
    <w:rsid w:val="00ED2D6B"/>
    <w:rsid w:val="00ED3936"/>
    <w:rsid w:val="00ED46EB"/>
    <w:rsid w:val="00ED5233"/>
    <w:rsid w:val="00ED5DC2"/>
    <w:rsid w:val="00ED6F2C"/>
    <w:rsid w:val="00ED7272"/>
    <w:rsid w:val="00ED74E2"/>
    <w:rsid w:val="00ED782F"/>
    <w:rsid w:val="00EE0153"/>
    <w:rsid w:val="00EE0A9B"/>
    <w:rsid w:val="00EE0BB2"/>
    <w:rsid w:val="00EE2A27"/>
    <w:rsid w:val="00EE34C3"/>
    <w:rsid w:val="00EE4248"/>
    <w:rsid w:val="00EE4736"/>
    <w:rsid w:val="00EE49DC"/>
    <w:rsid w:val="00EE52EC"/>
    <w:rsid w:val="00EE5C1F"/>
    <w:rsid w:val="00EE634C"/>
    <w:rsid w:val="00EE7584"/>
    <w:rsid w:val="00EF0D41"/>
    <w:rsid w:val="00EF1869"/>
    <w:rsid w:val="00EF2ED4"/>
    <w:rsid w:val="00EF3899"/>
    <w:rsid w:val="00EF4A16"/>
    <w:rsid w:val="00EF4EC0"/>
    <w:rsid w:val="00EF5A79"/>
    <w:rsid w:val="00EF5AFC"/>
    <w:rsid w:val="00EF6B5E"/>
    <w:rsid w:val="00F01266"/>
    <w:rsid w:val="00F01FD7"/>
    <w:rsid w:val="00F034A4"/>
    <w:rsid w:val="00F04ECF"/>
    <w:rsid w:val="00F116B7"/>
    <w:rsid w:val="00F1205B"/>
    <w:rsid w:val="00F12642"/>
    <w:rsid w:val="00F13946"/>
    <w:rsid w:val="00F13F3A"/>
    <w:rsid w:val="00F1444A"/>
    <w:rsid w:val="00F14DE5"/>
    <w:rsid w:val="00F15487"/>
    <w:rsid w:val="00F163C6"/>
    <w:rsid w:val="00F17A53"/>
    <w:rsid w:val="00F17DEF"/>
    <w:rsid w:val="00F203B8"/>
    <w:rsid w:val="00F21766"/>
    <w:rsid w:val="00F235D1"/>
    <w:rsid w:val="00F23A0E"/>
    <w:rsid w:val="00F25641"/>
    <w:rsid w:val="00F25A57"/>
    <w:rsid w:val="00F26063"/>
    <w:rsid w:val="00F26AAA"/>
    <w:rsid w:val="00F279AC"/>
    <w:rsid w:val="00F301F1"/>
    <w:rsid w:val="00F3090F"/>
    <w:rsid w:val="00F311AB"/>
    <w:rsid w:val="00F32F62"/>
    <w:rsid w:val="00F33FED"/>
    <w:rsid w:val="00F3588F"/>
    <w:rsid w:val="00F35B65"/>
    <w:rsid w:val="00F361B6"/>
    <w:rsid w:val="00F3668B"/>
    <w:rsid w:val="00F3726B"/>
    <w:rsid w:val="00F401B2"/>
    <w:rsid w:val="00F409F4"/>
    <w:rsid w:val="00F40EAB"/>
    <w:rsid w:val="00F410E7"/>
    <w:rsid w:val="00F4113D"/>
    <w:rsid w:val="00F41AFA"/>
    <w:rsid w:val="00F44626"/>
    <w:rsid w:val="00F44F18"/>
    <w:rsid w:val="00F4514B"/>
    <w:rsid w:val="00F46C36"/>
    <w:rsid w:val="00F47175"/>
    <w:rsid w:val="00F47630"/>
    <w:rsid w:val="00F47B48"/>
    <w:rsid w:val="00F52081"/>
    <w:rsid w:val="00F520A2"/>
    <w:rsid w:val="00F52C0F"/>
    <w:rsid w:val="00F54B67"/>
    <w:rsid w:val="00F55404"/>
    <w:rsid w:val="00F5547E"/>
    <w:rsid w:val="00F557FB"/>
    <w:rsid w:val="00F55C19"/>
    <w:rsid w:val="00F55D61"/>
    <w:rsid w:val="00F56992"/>
    <w:rsid w:val="00F60B9A"/>
    <w:rsid w:val="00F6115A"/>
    <w:rsid w:val="00F62AE7"/>
    <w:rsid w:val="00F62F01"/>
    <w:rsid w:val="00F63D75"/>
    <w:rsid w:val="00F63D9D"/>
    <w:rsid w:val="00F643C8"/>
    <w:rsid w:val="00F644E7"/>
    <w:rsid w:val="00F65B28"/>
    <w:rsid w:val="00F6684F"/>
    <w:rsid w:val="00F66B45"/>
    <w:rsid w:val="00F670F5"/>
    <w:rsid w:val="00F67FAB"/>
    <w:rsid w:val="00F7010E"/>
    <w:rsid w:val="00F73AFB"/>
    <w:rsid w:val="00F73D82"/>
    <w:rsid w:val="00F740A9"/>
    <w:rsid w:val="00F75B5B"/>
    <w:rsid w:val="00F76F86"/>
    <w:rsid w:val="00F8044D"/>
    <w:rsid w:val="00F810A4"/>
    <w:rsid w:val="00F810BC"/>
    <w:rsid w:val="00F8115C"/>
    <w:rsid w:val="00F81818"/>
    <w:rsid w:val="00F8354E"/>
    <w:rsid w:val="00F83E64"/>
    <w:rsid w:val="00F84148"/>
    <w:rsid w:val="00F8546C"/>
    <w:rsid w:val="00F85621"/>
    <w:rsid w:val="00F86580"/>
    <w:rsid w:val="00F87D7A"/>
    <w:rsid w:val="00F90AC2"/>
    <w:rsid w:val="00F917EE"/>
    <w:rsid w:val="00F93E36"/>
    <w:rsid w:val="00F95641"/>
    <w:rsid w:val="00F96024"/>
    <w:rsid w:val="00F96217"/>
    <w:rsid w:val="00F966B4"/>
    <w:rsid w:val="00F96FCA"/>
    <w:rsid w:val="00FA171A"/>
    <w:rsid w:val="00FA182A"/>
    <w:rsid w:val="00FA1C3F"/>
    <w:rsid w:val="00FA2BCF"/>
    <w:rsid w:val="00FA2E5C"/>
    <w:rsid w:val="00FA47A8"/>
    <w:rsid w:val="00FA584D"/>
    <w:rsid w:val="00FA6076"/>
    <w:rsid w:val="00FA6DF9"/>
    <w:rsid w:val="00FA6ED7"/>
    <w:rsid w:val="00FA7500"/>
    <w:rsid w:val="00FA7A7A"/>
    <w:rsid w:val="00FA7DDA"/>
    <w:rsid w:val="00FB0028"/>
    <w:rsid w:val="00FB25EC"/>
    <w:rsid w:val="00FB2BF2"/>
    <w:rsid w:val="00FB3D16"/>
    <w:rsid w:val="00FB4048"/>
    <w:rsid w:val="00FB4898"/>
    <w:rsid w:val="00FB4D28"/>
    <w:rsid w:val="00FB62F5"/>
    <w:rsid w:val="00FB6590"/>
    <w:rsid w:val="00FC1144"/>
    <w:rsid w:val="00FC1731"/>
    <w:rsid w:val="00FC285D"/>
    <w:rsid w:val="00FC6A56"/>
    <w:rsid w:val="00FC7361"/>
    <w:rsid w:val="00FC7A12"/>
    <w:rsid w:val="00FC7A2A"/>
    <w:rsid w:val="00FD0FEC"/>
    <w:rsid w:val="00FD18E0"/>
    <w:rsid w:val="00FD1B3F"/>
    <w:rsid w:val="00FD2573"/>
    <w:rsid w:val="00FD3EB7"/>
    <w:rsid w:val="00FD4525"/>
    <w:rsid w:val="00FD5029"/>
    <w:rsid w:val="00FD5A27"/>
    <w:rsid w:val="00FD5CB1"/>
    <w:rsid w:val="00FD6374"/>
    <w:rsid w:val="00FD66A4"/>
    <w:rsid w:val="00FD7FD3"/>
    <w:rsid w:val="00FE029C"/>
    <w:rsid w:val="00FE1523"/>
    <w:rsid w:val="00FE1527"/>
    <w:rsid w:val="00FE1942"/>
    <w:rsid w:val="00FE20D4"/>
    <w:rsid w:val="00FE2116"/>
    <w:rsid w:val="00FE451F"/>
    <w:rsid w:val="00FE45E1"/>
    <w:rsid w:val="00FE58E7"/>
    <w:rsid w:val="00FE6187"/>
    <w:rsid w:val="00FE6872"/>
    <w:rsid w:val="00FE758F"/>
    <w:rsid w:val="00FE7B2F"/>
    <w:rsid w:val="00FE7E3B"/>
    <w:rsid w:val="00FF050F"/>
    <w:rsid w:val="00FF0836"/>
    <w:rsid w:val="00FF1EE9"/>
    <w:rsid w:val="00FF1F05"/>
    <w:rsid w:val="00FF2392"/>
    <w:rsid w:val="00FF27A0"/>
    <w:rsid w:val="00FF2847"/>
    <w:rsid w:val="00FF3E6C"/>
    <w:rsid w:val="00FF48EF"/>
    <w:rsid w:val="00FF4D75"/>
    <w:rsid w:val="00FF606A"/>
    <w:rsid w:val="00FF7F12"/>
    <w:rsid w:val="011C626C"/>
    <w:rsid w:val="012E18AD"/>
    <w:rsid w:val="01325A8F"/>
    <w:rsid w:val="0150396A"/>
    <w:rsid w:val="01504784"/>
    <w:rsid w:val="01505F15"/>
    <w:rsid w:val="01532422"/>
    <w:rsid w:val="015E4AD6"/>
    <w:rsid w:val="017A7D53"/>
    <w:rsid w:val="017B7436"/>
    <w:rsid w:val="017E7FA8"/>
    <w:rsid w:val="018A2858"/>
    <w:rsid w:val="019A3EBD"/>
    <w:rsid w:val="019B1886"/>
    <w:rsid w:val="01A664DA"/>
    <w:rsid w:val="01C34939"/>
    <w:rsid w:val="01C54B55"/>
    <w:rsid w:val="01DD3C4D"/>
    <w:rsid w:val="01E213B4"/>
    <w:rsid w:val="01E44FDB"/>
    <w:rsid w:val="020C62E0"/>
    <w:rsid w:val="021B7390"/>
    <w:rsid w:val="02297953"/>
    <w:rsid w:val="022C0730"/>
    <w:rsid w:val="024617F2"/>
    <w:rsid w:val="026779BA"/>
    <w:rsid w:val="02682844"/>
    <w:rsid w:val="026B1CEF"/>
    <w:rsid w:val="027D71DE"/>
    <w:rsid w:val="02881678"/>
    <w:rsid w:val="02B97B4D"/>
    <w:rsid w:val="02BA6D6B"/>
    <w:rsid w:val="02C6419F"/>
    <w:rsid w:val="02CC221A"/>
    <w:rsid w:val="02D908B8"/>
    <w:rsid w:val="02DA1F3A"/>
    <w:rsid w:val="02EA4873"/>
    <w:rsid w:val="02EF1E8A"/>
    <w:rsid w:val="02FC50B2"/>
    <w:rsid w:val="03091250"/>
    <w:rsid w:val="030F42DA"/>
    <w:rsid w:val="03174F3D"/>
    <w:rsid w:val="032303C8"/>
    <w:rsid w:val="033E4BBF"/>
    <w:rsid w:val="034066F2"/>
    <w:rsid w:val="035179D4"/>
    <w:rsid w:val="035246AA"/>
    <w:rsid w:val="035F21B1"/>
    <w:rsid w:val="036C13B5"/>
    <w:rsid w:val="036C34DA"/>
    <w:rsid w:val="0374413D"/>
    <w:rsid w:val="03791AC9"/>
    <w:rsid w:val="039753F3"/>
    <w:rsid w:val="03984247"/>
    <w:rsid w:val="03990047"/>
    <w:rsid w:val="03A471C9"/>
    <w:rsid w:val="03AF1619"/>
    <w:rsid w:val="03D348AC"/>
    <w:rsid w:val="03D60954"/>
    <w:rsid w:val="03D67D30"/>
    <w:rsid w:val="03D90E53"/>
    <w:rsid w:val="03EC0177"/>
    <w:rsid w:val="03F11C32"/>
    <w:rsid w:val="04221DEB"/>
    <w:rsid w:val="042B5143"/>
    <w:rsid w:val="042C0EBC"/>
    <w:rsid w:val="043A35D9"/>
    <w:rsid w:val="04694D63"/>
    <w:rsid w:val="046D5159"/>
    <w:rsid w:val="04926F71"/>
    <w:rsid w:val="04A472BA"/>
    <w:rsid w:val="04AE6368"/>
    <w:rsid w:val="04CB2483"/>
    <w:rsid w:val="04D94B9F"/>
    <w:rsid w:val="04DA4474"/>
    <w:rsid w:val="04FC088E"/>
    <w:rsid w:val="05015EA4"/>
    <w:rsid w:val="05016D80"/>
    <w:rsid w:val="05017C52"/>
    <w:rsid w:val="051C683A"/>
    <w:rsid w:val="0539151E"/>
    <w:rsid w:val="053F69CD"/>
    <w:rsid w:val="05522AFC"/>
    <w:rsid w:val="0553731D"/>
    <w:rsid w:val="05544226"/>
    <w:rsid w:val="055B4CC1"/>
    <w:rsid w:val="055F2BCB"/>
    <w:rsid w:val="05816FE5"/>
    <w:rsid w:val="05850883"/>
    <w:rsid w:val="058F4146"/>
    <w:rsid w:val="05B1678E"/>
    <w:rsid w:val="05C07B0D"/>
    <w:rsid w:val="05C173E2"/>
    <w:rsid w:val="05E57574"/>
    <w:rsid w:val="05EA06E6"/>
    <w:rsid w:val="05EA221D"/>
    <w:rsid w:val="05F02C6B"/>
    <w:rsid w:val="05FB6D97"/>
    <w:rsid w:val="060E7C42"/>
    <w:rsid w:val="062E2CC9"/>
    <w:rsid w:val="0639341C"/>
    <w:rsid w:val="063D3725"/>
    <w:rsid w:val="064C7049"/>
    <w:rsid w:val="06565D7C"/>
    <w:rsid w:val="065E2E82"/>
    <w:rsid w:val="0666060A"/>
    <w:rsid w:val="06691F53"/>
    <w:rsid w:val="066A76FC"/>
    <w:rsid w:val="066E57BB"/>
    <w:rsid w:val="06A420A1"/>
    <w:rsid w:val="06B306F8"/>
    <w:rsid w:val="06B62CBE"/>
    <w:rsid w:val="06B86EE2"/>
    <w:rsid w:val="06BD67AF"/>
    <w:rsid w:val="06DD1708"/>
    <w:rsid w:val="06DF2215"/>
    <w:rsid w:val="06EF3CF8"/>
    <w:rsid w:val="06F2019A"/>
    <w:rsid w:val="070677A2"/>
    <w:rsid w:val="070F3F01"/>
    <w:rsid w:val="071A149F"/>
    <w:rsid w:val="072365A6"/>
    <w:rsid w:val="07397B77"/>
    <w:rsid w:val="074437CC"/>
    <w:rsid w:val="074E34A0"/>
    <w:rsid w:val="077532A2"/>
    <w:rsid w:val="07755E8F"/>
    <w:rsid w:val="077A45AF"/>
    <w:rsid w:val="07A93B78"/>
    <w:rsid w:val="07C733D5"/>
    <w:rsid w:val="07D72EEC"/>
    <w:rsid w:val="08075F7B"/>
    <w:rsid w:val="080C703A"/>
    <w:rsid w:val="08126267"/>
    <w:rsid w:val="08236132"/>
    <w:rsid w:val="085857D8"/>
    <w:rsid w:val="085A435C"/>
    <w:rsid w:val="085D1644"/>
    <w:rsid w:val="085D5AE7"/>
    <w:rsid w:val="086C1887"/>
    <w:rsid w:val="0874513E"/>
    <w:rsid w:val="08752E31"/>
    <w:rsid w:val="088017D6"/>
    <w:rsid w:val="088210AA"/>
    <w:rsid w:val="0883036A"/>
    <w:rsid w:val="08967BEF"/>
    <w:rsid w:val="08971A59"/>
    <w:rsid w:val="08E81855"/>
    <w:rsid w:val="08EB4EA1"/>
    <w:rsid w:val="08FA6E92"/>
    <w:rsid w:val="09045F63"/>
    <w:rsid w:val="092263E9"/>
    <w:rsid w:val="09435EF1"/>
    <w:rsid w:val="095347F5"/>
    <w:rsid w:val="09611B64"/>
    <w:rsid w:val="098A78C2"/>
    <w:rsid w:val="09903C9B"/>
    <w:rsid w:val="099557CE"/>
    <w:rsid w:val="09A339CE"/>
    <w:rsid w:val="09AF4121"/>
    <w:rsid w:val="09BE6112"/>
    <w:rsid w:val="09D815E1"/>
    <w:rsid w:val="0A287A2F"/>
    <w:rsid w:val="0A2A2299"/>
    <w:rsid w:val="0A2E271E"/>
    <w:rsid w:val="0A2E403B"/>
    <w:rsid w:val="0A344626"/>
    <w:rsid w:val="0A3E373D"/>
    <w:rsid w:val="0A553E45"/>
    <w:rsid w:val="0A5922DF"/>
    <w:rsid w:val="0A605D88"/>
    <w:rsid w:val="0A6749FB"/>
    <w:rsid w:val="0A742F55"/>
    <w:rsid w:val="0A7737B5"/>
    <w:rsid w:val="0A805952"/>
    <w:rsid w:val="0A9629D7"/>
    <w:rsid w:val="0A96708F"/>
    <w:rsid w:val="0AA277E2"/>
    <w:rsid w:val="0AA3355A"/>
    <w:rsid w:val="0AAF1847"/>
    <w:rsid w:val="0ABA0FCF"/>
    <w:rsid w:val="0ABA2D7D"/>
    <w:rsid w:val="0AC15A21"/>
    <w:rsid w:val="0AD57BB7"/>
    <w:rsid w:val="0AD876A7"/>
    <w:rsid w:val="0AE23781"/>
    <w:rsid w:val="0AF91B48"/>
    <w:rsid w:val="0B13248D"/>
    <w:rsid w:val="0B2D7A0A"/>
    <w:rsid w:val="0B3B1928"/>
    <w:rsid w:val="0B5F56D3"/>
    <w:rsid w:val="0B616D4A"/>
    <w:rsid w:val="0B84338B"/>
    <w:rsid w:val="0B866A2E"/>
    <w:rsid w:val="0B8C630D"/>
    <w:rsid w:val="0BA12829"/>
    <w:rsid w:val="0BA46FF4"/>
    <w:rsid w:val="0BC63207"/>
    <w:rsid w:val="0BCF45B9"/>
    <w:rsid w:val="0BDC7CF8"/>
    <w:rsid w:val="0BEF7AEF"/>
    <w:rsid w:val="0C0B585A"/>
    <w:rsid w:val="0C1A784C"/>
    <w:rsid w:val="0C2B1A59"/>
    <w:rsid w:val="0C436DA2"/>
    <w:rsid w:val="0C486437"/>
    <w:rsid w:val="0C604814"/>
    <w:rsid w:val="0C6907A2"/>
    <w:rsid w:val="0C8F1FE8"/>
    <w:rsid w:val="0CB447D4"/>
    <w:rsid w:val="0CBA1B32"/>
    <w:rsid w:val="0CC954FA"/>
    <w:rsid w:val="0CD345CA"/>
    <w:rsid w:val="0CEA7AFC"/>
    <w:rsid w:val="0CEE6B82"/>
    <w:rsid w:val="0D0230A8"/>
    <w:rsid w:val="0D044784"/>
    <w:rsid w:val="0D052AEE"/>
    <w:rsid w:val="0D2C7F09"/>
    <w:rsid w:val="0D3A01A5"/>
    <w:rsid w:val="0D3A63F7"/>
    <w:rsid w:val="0D5C4B89"/>
    <w:rsid w:val="0D6B035F"/>
    <w:rsid w:val="0D6B4391"/>
    <w:rsid w:val="0D7F2FE5"/>
    <w:rsid w:val="0DA27AF9"/>
    <w:rsid w:val="0DA47D15"/>
    <w:rsid w:val="0DB5782C"/>
    <w:rsid w:val="0DBA12E6"/>
    <w:rsid w:val="0DC932D7"/>
    <w:rsid w:val="0DD73C46"/>
    <w:rsid w:val="0DE6032D"/>
    <w:rsid w:val="0DF53902"/>
    <w:rsid w:val="0E100F06"/>
    <w:rsid w:val="0E144BB8"/>
    <w:rsid w:val="0E26697C"/>
    <w:rsid w:val="0E2D1AB8"/>
    <w:rsid w:val="0E320E7D"/>
    <w:rsid w:val="0E395AE0"/>
    <w:rsid w:val="0E407A3D"/>
    <w:rsid w:val="0E4D423E"/>
    <w:rsid w:val="0E6F3EAD"/>
    <w:rsid w:val="0E8D2F5C"/>
    <w:rsid w:val="0E975183"/>
    <w:rsid w:val="0E9C279A"/>
    <w:rsid w:val="0EA7186A"/>
    <w:rsid w:val="0EC00215"/>
    <w:rsid w:val="0EC45096"/>
    <w:rsid w:val="0ECF0DC1"/>
    <w:rsid w:val="0EF46059"/>
    <w:rsid w:val="0EF80CCA"/>
    <w:rsid w:val="0EF95E3E"/>
    <w:rsid w:val="0F07055B"/>
    <w:rsid w:val="0F130CAE"/>
    <w:rsid w:val="0F1467D4"/>
    <w:rsid w:val="0F242EBB"/>
    <w:rsid w:val="0F3054A7"/>
    <w:rsid w:val="0F3E01A5"/>
    <w:rsid w:val="0F4C0664"/>
    <w:rsid w:val="0F5D63CD"/>
    <w:rsid w:val="0F670FFA"/>
    <w:rsid w:val="0F763231"/>
    <w:rsid w:val="0F8C6010"/>
    <w:rsid w:val="0F9542DF"/>
    <w:rsid w:val="0FA4224E"/>
    <w:rsid w:val="0FAB538A"/>
    <w:rsid w:val="0FAC300F"/>
    <w:rsid w:val="0FB44544"/>
    <w:rsid w:val="0FBB0202"/>
    <w:rsid w:val="0FD3668F"/>
    <w:rsid w:val="10134CDE"/>
    <w:rsid w:val="1017657C"/>
    <w:rsid w:val="103C5FE2"/>
    <w:rsid w:val="1047366A"/>
    <w:rsid w:val="104E2006"/>
    <w:rsid w:val="106A2B50"/>
    <w:rsid w:val="108A31F2"/>
    <w:rsid w:val="1094098A"/>
    <w:rsid w:val="10995D1D"/>
    <w:rsid w:val="10E852E7"/>
    <w:rsid w:val="110A7E8F"/>
    <w:rsid w:val="1122342A"/>
    <w:rsid w:val="11382DBC"/>
    <w:rsid w:val="11671785"/>
    <w:rsid w:val="11680929"/>
    <w:rsid w:val="116D52DF"/>
    <w:rsid w:val="11744846"/>
    <w:rsid w:val="117D5F82"/>
    <w:rsid w:val="11834FC5"/>
    <w:rsid w:val="11876FC9"/>
    <w:rsid w:val="119921B4"/>
    <w:rsid w:val="11AB1672"/>
    <w:rsid w:val="11AE548E"/>
    <w:rsid w:val="11C34BC3"/>
    <w:rsid w:val="11DC3CC5"/>
    <w:rsid w:val="11E54E3F"/>
    <w:rsid w:val="11E84674"/>
    <w:rsid w:val="11FD5D54"/>
    <w:rsid w:val="11FE7ED2"/>
    <w:rsid w:val="120314AE"/>
    <w:rsid w:val="12095574"/>
    <w:rsid w:val="12152F8F"/>
    <w:rsid w:val="12282CC2"/>
    <w:rsid w:val="123305D6"/>
    <w:rsid w:val="12414866"/>
    <w:rsid w:val="12655CC4"/>
    <w:rsid w:val="126D4B79"/>
    <w:rsid w:val="12723F3D"/>
    <w:rsid w:val="12DC585B"/>
    <w:rsid w:val="12F62DC0"/>
    <w:rsid w:val="12F6691D"/>
    <w:rsid w:val="130C5571"/>
    <w:rsid w:val="13176B07"/>
    <w:rsid w:val="131C5B84"/>
    <w:rsid w:val="132C13BF"/>
    <w:rsid w:val="132F1E2E"/>
    <w:rsid w:val="1336140F"/>
    <w:rsid w:val="133B2641"/>
    <w:rsid w:val="13416985"/>
    <w:rsid w:val="134727CF"/>
    <w:rsid w:val="1354287C"/>
    <w:rsid w:val="136C66D5"/>
    <w:rsid w:val="13767449"/>
    <w:rsid w:val="13985C26"/>
    <w:rsid w:val="13AC347F"/>
    <w:rsid w:val="13C72B78"/>
    <w:rsid w:val="13D00E69"/>
    <w:rsid w:val="13E156B5"/>
    <w:rsid w:val="13E729A1"/>
    <w:rsid w:val="13EB3EF3"/>
    <w:rsid w:val="13EE1CEA"/>
    <w:rsid w:val="13FA41EA"/>
    <w:rsid w:val="13FF5B8D"/>
    <w:rsid w:val="141662F5"/>
    <w:rsid w:val="141F3582"/>
    <w:rsid w:val="14276FAA"/>
    <w:rsid w:val="142F71C0"/>
    <w:rsid w:val="14321BD6"/>
    <w:rsid w:val="14467430"/>
    <w:rsid w:val="14484427"/>
    <w:rsid w:val="144E75B7"/>
    <w:rsid w:val="14760047"/>
    <w:rsid w:val="1478625E"/>
    <w:rsid w:val="14823DC5"/>
    <w:rsid w:val="14BF31A5"/>
    <w:rsid w:val="14DC1B42"/>
    <w:rsid w:val="14F036ED"/>
    <w:rsid w:val="14F450DE"/>
    <w:rsid w:val="15003A82"/>
    <w:rsid w:val="15030497"/>
    <w:rsid w:val="15051099"/>
    <w:rsid w:val="150A2B53"/>
    <w:rsid w:val="151E59F4"/>
    <w:rsid w:val="151F77AB"/>
    <w:rsid w:val="15282904"/>
    <w:rsid w:val="152C2AC9"/>
    <w:rsid w:val="153442E1"/>
    <w:rsid w:val="15400323"/>
    <w:rsid w:val="154716B1"/>
    <w:rsid w:val="155C092C"/>
    <w:rsid w:val="15966195"/>
    <w:rsid w:val="15AD6E5E"/>
    <w:rsid w:val="15D553E2"/>
    <w:rsid w:val="15D62A35"/>
    <w:rsid w:val="15DD5AFC"/>
    <w:rsid w:val="15E10FC5"/>
    <w:rsid w:val="16021A7C"/>
    <w:rsid w:val="16195D38"/>
    <w:rsid w:val="1626576B"/>
    <w:rsid w:val="1629525B"/>
    <w:rsid w:val="164A7369"/>
    <w:rsid w:val="165072F3"/>
    <w:rsid w:val="165271AD"/>
    <w:rsid w:val="16604009"/>
    <w:rsid w:val="166242C9"/>
    <w:rsid w:val="167B118A"/>
    <w:rsid w:val="16A21F26"/>
    <w:rsid w:val="16A82624"/>
    <w:rsid w:val="16BA07AA"/>
    <w:rsid w:val="16CE0FCB"/>
    <w:rsid w:val="16E573D4"/>
    <w:rsid w:val="16ED5AD9"/>
    <w:rsid w:val="17055113"/>
    <w:rsid w:val="1719248C"/>
    <w:rsid w:val="171B2DF6"/>
    <w:rsid w:val="172C15DF"/>
    <w:rsid w:val="17312619"/>
    <w:rsid w:val="17343EB7"/>
    <w:rsid w:val="17557C94"/>
    <w:rsid w:val="175975F8"/>
    <w:rsid w:val="176321B8"/>
    <w:rsid w:val="17732C32"/>
    <w:rsid w:val="17742506"/>
    <w:rsid w:val="177D2DB2"/>
    <w:rsid w:val="17837933"/>
    <w:rsid w:val="178C6993"/>
    <w:rsid w:val="17944956"/>
    <w:rsid w:val="17A75376"/>
    <w:rsid w:val="17BA0860"/>
    <w:rsid w:val="17C3523B"/>
    <w:rsid w:val="17D07086"/>
    <w:rsid w:val="17D11706"/>
    <w:rsid w:val="17D411F6"/>
    <w:rsid w:val="17D55FD6"/>
    <w:rsid w:val="17DA624F"/>
    <w:rsid w:val="17DD208C"/>
    <w:rsid w:val="17E72CD8"/>
    <w:rsid w:val="17F11DA8"/>
    <w:rsid w:val="17F673BF"/>
    <w:rsid w:val="17F94F1D"/>
    <w:rsid w:val="1808630A"/>
    <w:rsid w:val="180A201F"/>
    <w:rsid w:val="18161AD3"/>
    <w:rsid w:val="18194E5B"/>
    <w:rsid w:val="18232BDD"/>
    <w:rsid w:val="182E7F35"/>
    <w:rsid w:val="18414ADE"/>
    <w:rsid w:val="18491BE4"/>
    <w:rsid w:val="18512847"/>
    <w:rsid w:val="18550589"/>
    <w:rsid w:val="186E33F9"/>
    <w:rsid w:val="1876405C"/>
    <w:rsid w:val="18851DD9"/>
    <w:rsid w:val="188F4D22"/>
    <w:rsid w:val="18A40BC9"/>
    <w:rsid w:val="18AB43C5"/>
    <w:rsid w:val="18AC4D9F"/>
    <w:rsid w:val="18AD6B08"/>
    <w:rsid w:val="18B352B0"/>
    <w:rsid w:val="18B43502"/>
    <w:rsid w:val="18C15C1F"/>
    <w:rsid w:val="18C87413"/>
    <w:rsid w:val="18D411EB"/>
    <w:rsid w:val="18D55226"/>
    <w:rsid w:val="18E45469"/>
    <w:rsid w:val="18ED6A26"/>
    <w:rsid w:val="19245FE1"/>
    <w:rsid w:val="19355CC5"/>
    <w:rsid w:val="19640AF6"/>
    <w:rsid w:val="19642DC0"/>
    <w:rsid w:val="19666EF6"/>
    <w:rsid w:val="19725191"/>
    <w:rsid w:val="197B2E62"/>
    <w:rsid w:val="199D10AB"/>
    <w:rsid w:val="19A05834"/>
    <w:rsid w:val="19A277FE"/>
    <w:rsid w:val="19AF1F1B"/>
    <w:rsid w:val="19BF35D1"/>
    <w:rsid w:val="19E21445"/>
    <w:rsid w:val="19E41BC5"/>
    <w:rsid w:val="19EB2865"/>
    <w:rsid w:val="19EF1885"/>
    <w:rsid w:val="19FF3FF9"/>
    <w:rsid w:val="1A1B310D"/>
    <w:rsid w:val="1A1F2BFD"/>
    <w:rsid w:val="1A1F47EB"/>
    <w:rsid w:val="1A2C531A"/>
    <w:rsid w:val="1A321D78"/>
    <w:rsid w:val="1A383CBF"/>
    <w:rsid w:val="1A3D267B"/>
    <w:rsid w:val="1A5A1E87"/>
    <w:rsid w:val="1A5D7DB3"/>
    <w:rsid w:val="1A6D34CE"/>
    <w:rsid w:val="1A794CD5"/>
    <w:rsid w:val="1A815666"/>
    <w:rsid w:val="1A872550"/>
    <w:rsid w:val="1A911621"/>
    <w:rsid w:val="1AAC69B5"/>
    <w:rsid w:val="1ABA2925"/>
    <w:rsid w:val="1ABC669E"/>
    <w:rsid w:val="1AC9700C"/>
    <w:rsid w:val="1ACF620C"/>
    <w:rsid w:val="1AD72BA8"/>
    <w:rsid w:val="1B097409"/>
    <w:rsid w:val="1B132036"/>
    <w:rsid w:val="1B1C713C"/>
    <w:rsid w:val="1B1E1342"/>
    <w:rsid w:val="1B1F4E7E"/>
    <w:rsid w:val="1B222279"/>
    <w:rsid w:val="1B252495"/>
    <w:rsid w:val="1B351FAC"/>
    <w:rsid w:val="1B391A9C"/>
    <w:rsid w:val="1B3B2F91"/>
    <w:rsid w:val="1B4855C5"/>
    <w:rsid w:val="1B5C7199"/>
    <w:rsid w:val="1B6E5B3E"/>
    <w:rsid w:val="1B813443"/>
    <w:rsid w:val="1B8B49B4"/>
    <w:rsid w:val="1B920372"/>
    <w:rsid w:val="1B9F6FD2"/>
    <w:rsid w:val="1BA15893"/>
    <w:rsid w:val="1BBD091F"/>
    <w:rsid w:val="1BE340FE"/>
    <w:rsid w:val="1BF235B4"/>
    <w:rsid w:val="1C0A4438"/>
    <w:rsid w:val="1C200B97"/>
    <w:rsid w:val="1C2362A8"/>
    <w:rsid w:val="1C4F3541"/>
    <w:rsid w:val="1C5E5533"/>
    <w:rsid w:val="1C622C88"/>
    <w:rsid w:val="1C664033"/>
    <w:rsid w:val="1C820ECC"/>
    <w:rsid w:val="1C856F63"/>
    <w:rsid w:val="1C8C521C"/>
    <w:rsid w:val="1C935740"/>
    <w:rsid w:val="1C9A0C60"/>
    <w:rsid w:val="1CBB4733"/>
    <w:rsid w:val="1CBF2475"/>
    <w:rsid w:val="1CC81B8A"/>
    <w:rsid w:val="1CCA3FD1"/>
    <w:rsid w:val="1CD35F20"/>
    <w:rsid w:val="1CDC7F67"/>
    <w:rsid w:val="1CDD28FB"/>
    <w:rsid w:val="1D0B7468"/>
    <w:rsid w:val="1D100F23"/>
    <w:rsid w:val="1D1E53EE"/>
    <w:rsid w:val="1D457387"/>
    <w:rsid w:val="1D5E3A3C"/>
    <w:rsid w:val="1D635461"/>
    <w:rsid w:val="1D70551D"/>
    <w:rsid w:val="1D7E63B6"/>
    <w:rsid w:val="1D8542E0"/>
    <w:rsid w:val="1D865A1C"/>
    <w:rsid w:val="1D870BFF"/>
    <w:rsid w:val="1D9F423B"/>
    <w:rsid w:val="1DAB6A18"/>
    <w:rsid w:val="1DB3762A"/>
    <w:rsid w:val="1DD2545A"/>
    <w:rsid w:val="1DE55F0B"/>
    <w:rsid w:val="1E25455A"/>
    <w:rsid w:val="1E426EBA"/>
    <w:rsid w:val="1E461E83"/>
    <w:rsid w:val="1E650DFA"/>
    <w:rsid w:val="1E671FCF"/>
    <w:rsid w:val="1E6D6984"/>
    <w:rsid w:val="1E760C9C"/>
    <w:rsid w:val="1EA2204E"/>
    <w:rsid w:val="1EAB02E5"/>
    <w:rsid w:val="1EC534E2"/>
    <w:rsid w:val="1ECD4970"/>
    <w:rsid w:val="1EE56783"/>
    <w:rsid w:val="1EEE0DF0"/>
    <w:rsid w:val="1EFA1543"/>
    <w:rsid w:val="1EFA3C38"/>
    <w:rsid w:val="1EFB350D"/>
    <w:rsid w:val="1F084B68"/>
    <w:rsid w:val="1F090BB5"/>
    <w:rsid w:val="1F2C1918"/>
    <w:rsid w:val="1F370D5E"/>
    <w:rsid w:val="1F404AA9"/>
    <w:rsid w:val="1F485564"/>
    <w:rsid w:val="1F5A1750"/>
    <w:rsid w:val="1F6D440A"/>
    <w:rsid w:val="1F7A262E"/>
    <w:rsid w:val="1F901EA7"/>
    <w:rsid w:val="1F92566D"/>
    <w:rsid w:val="1FA30E61"/>
    <w:rsid w:val="1FBE6A14"/>
    <w:rsid w:val="1FD06747"/>
    <w:rsid w:val="1FD5401A"/>
    <w:rsid w:val="1FE44373"/>
    <w:rsid w:val="1FE81CE3"/>
    <w:rsid w:val="1FE8583F"/>
    <w:rsid w:val="1FF02946"/>
    <w:rsid w:val="200132EB"/>
    <w:rsid w:val="20054643"/>
    <w:rsid w:val="200C59D1"/>
    <w:rsid w:val="200F54C2"/>
    <w:rsid w:val="20125FC6"/>
    <w:rsid w:val="201C198C"/>
    <w:rsid w:val="204B072D"/>
    <w:rsid w:val="204E1CEC"/>
    <w:rsid w:val="20536D18"/>
    <w:rsid w:val="20684BD2"/>
    <w:rsid w:val="20720C33"/>
    <w:rsid w:val="20786065"/>
    <w:rsid w:val="209A3C56"/>
    <w:rsid w:val="209D2ACD"/>
    <w:rsid w:val="20A06C94"/>
    <w:rsid w:val="20A74B04"/>
    <w:rsid w:val="20AA6F98"/>
    <w:rsid w:val="20CA763A"/>
    <w:rsid w:val="20DE6C42"/>
    <w:rsid w:val="20E832B9"/>
    <w:rsid w:val="21117355"/>
    <w:rsid w:val="21246D4B"/>
    <w:rsid w:val="212B00D9"/>
    <w:rsid w:val="212E7BC9"/>
    <w:rsid w:val="2136082C"/>
    <w:rsid w:val="2144566C"/>
    <w:rsid w:val="214473ED"/>
    <w:rsid w:val="214B077B"/>
    <w:rsid w:val="214D3F8A"/>
    <w:rsid w:val="214E201A"/>
    <w:rsid w:val="21582FFE"/>
    <w:rsid w:val="21610EE5"/>
    <w:rsid w:val="216B0532"/>
    <w:rsid w:val="217C6B87"/>
    <w:rsid w:val="218912A4"/>
    <w:rsid w:val="21894E00"/>
    <w:rsid w:val="219339FC"/>
    <w:rsid w:val="21CD1190"/>
    <w:rsid w:val="21D50045"/>
    <w:rsid w:val="21EE1107"/>
    <w:rsid w:val="220C6E9A"/>
    <w:rsid w:val="22182566"/>
    <w:rsid w:val="221F5BA9"/>
    <w:rsid w:val="223F5305"/>
    <w:rsid w:val="22426163"/>
    <w:rsid w:val="22482F0D"/>
    <w:rsid w:val="22484CBB"/>
    <w:rsid w:val="225B2C40"/>
    <w:rsid w:val="225B7B42"/>
    <w:rsid w:val="22737E8E"/>
    <w:rsid w:val="22745AB0"/>
    <w:rsid w:val="22767F8B"/>
    <w:rsid w:val="22A1482E"/>
    <w:rsid w:val="22C22CF9"/>
    <w:rsid w:val="22C7248D"/>
    <w:rsid w:val="22C977AB"/>
    <w:rsid w:val="22CA56D0"/>
    <w:rsid w:val="22E7611F"/>
    <w:rsid w:val="22F87844"/>
    <w:rsid w:val="23016F7A"/>
    <w:rsid w:val="230213F4"/>
    <w:rsid w:val="231177A3"/>
    <w:rsid w:val="233C53E7"/>
    <w:rsid w:val="234436D4"/>
    <w:rsid w:val="23533917"/>
    <w:rsid w:val="23696C97"/>
    <w:rsid w:val="23706277"/>
    <w:rsid w:val="23961D95"/>
    <w:rsid w:val="239F090A"/>
    <w:rsid w:val="23A44BF9"/>
    <w:rsid w:val="23B4085A"/>
    <w:rsid w:val="23D26F32"/>
    <w:rsid w:val="23DC7275"/>
    <w:rsid w:val="23E10F23"/>
    <w:rsid w:val="23E34C9B"/>
    <w:rsid w:val="23E80503"/>
    <w:rsid w:val="241A61E3"/>
    <w:rsid w:val="242343C0"/>
    <w:rsid w:val="24343749"/>
    <w:rsid w:val="24632042"/>
    <w:rsid w:val="2468284B"/>
    <w:rsid w:val="24773635"/>
    <w:rsid w:val="249B1ED5"/>
    <w:rsid w:val="24A40099"/>
    <w:rsid w:val="24B91EA0"/>
    <w:rsid w:val="24BA6669"/>
    <w:rsid w:val="24C8296D"/>
    <w:rsid w:val="24D171E9"/>
    <w:rsid w:val="24D40A88"/>
    <w:rsid w:val="24E26893"/>
    <w:rsid w:val="24ED0FDA"/>
    <w:rsid w:val="24EF141E"/>
    <w:rsid w:val="24F55B5A"/>
    <w:rsid w:val="24F97D65"/>
    <w:rsid w:val="25023A3F"/>
    <w:rsid w:val="25317C88"/>
    <w:rsid w:val="25331C52"/>
    <w:rsid w:val="253B28B5"/>
    <w:rsid w:val="253D662D"/>
    <w:rsid w:val="25553977"/>
    <w:rsid w:val="25555DD2"/>
    <w:rsid w:val="25733DFD"/>
    <w:rsid w:val="258013E4"/>
    <w:rsid w:val="2581746D"/>
    <w:rsid w:val="258C3BB9"/>
    <w:rsid w:val="25AB3597"/>
    <w:rsid w:val="25B772B5"/>
    <w:rsid w:val="25CA50A5"/>
    <w:rsid w:val="25CB1E8B"/>
    <w:rsid w:val="25CE5F37"/>
    <w:rsid w:val="25D85BE4"/>
    <w:rsid w:val="25DE1BBE"/>
    <w:rsid w:val="25ED1E01"/>
    <w:rsid w:val="25F0369F"/>
    <w:rsid w:val="25F62593"/>
    <w:rsid w:val="25FD5DBC"/>
    <w:rsid w:val="260E1D77"/>
    <w:rsid w:val="260E3B25"/>
    <w:rsid w:val="261B489C"/>
    <w:rsid w:val="263537A8"/>
    <w:rsid w:val="263F0183"/>
    <w:rsid w:val="26451C3D"/>
    <w:rsid w:val="26525902"/>
    <w:rsid w:val="26591245"/>
    <w:rsid w:val="266D4CF0"/>
    <w:rsid w:val="266D6A9E"/>
    <w:rsid w:val="2674607E"/>
    <w:rsid w:val="26875D7D"/>
    <w:rsid w:val="26AD1590"/>
    <w:rsid w:val="26BB1EFF"/>
    <w:rsid w:val="26CB43A0"/>
    <w:rsid w:val="26CD578F"/>
    <w:rsid w:val="26F947D6"/>
    <w:rsid w:val="2714523B"/>
    <w:rsid w:val="271B6F16"/>
    <w:rsid w:val="272C08E1"/>
    <w:rsid w:val="27302553"/>
    <w:rsid w:val="27351CB2"/>
    <w:rsid w:val="27365354"/>
    <w:rsid w:val="27382820"/>
    <w:rsid w:val="27395666"/>
    <w:rsid w:val="274518DD"/>
    <w:rsid w:val="274C6FFB"/>
    <w:rsid w:val="274E60A0"/>
    <w:rsid w:val="27554102"/>
    <w:rsid w:val="2767173F"/>
    <w:rsid w:val="276D06A4"/>
    <w:rsid w:val="27796C51"/>
    <w:rsid w:val="277E3DF7"/>
    <w:rsid w:val="279462AC"/>
    <w:rsid w:val="2797229F"/>
    <w:rsid w:val="279A7D67"/>
    <w:rsid w:val="27A53B11"/>
    <w:rsid w:val="27B54BA0"/>
    <w:rsid w:val="27B5694E"/>
    <w:rsid w:val="27BD1CA7"/>
    <w:rsid w:val="27CA2881"/>
    <w:rsid w:val="27CB43C4"/>
    <w:rsid w:val="27CD0169"/>
    <w:rsid w:val="27D55529"/>
    <w:rsid w:val="27F8683B"/>
    <w:rsid w:val="27FA3C0E"/>
    <w:rsid w:val="27FD20A3"/>
    <w:rsid w:val="281D1B62"/>
    <w:rsid w:val="28221B0A"/>
    <w:rsid w:val="283006CB"/>
    <w:rsid w:val="283D06F2"/>
    <w:rsid w:val="284033EB"/>
    <w:rsid w:val="28795503"/>
    <w:rsid w:val="287D32B9"/>
    <w:rsid w:val="288822B5"/>
    <w:rsid w:val="289E3886"/>
    <w:rsid w:val="28C332ED"/>
    <w:rsid w:val="28C4406E"/>
    <w:rsid w:val="28C826B1"/>
    <w:rsid w:val="28E6095E"/>
    <w:rsid w:val="28ED036A"/>
    <w:rsid w:val="28FB0483"/>
    <w:rsid w:val="290064DF"/>
    <w:rsid w:val="291458F7"/>
    <w:rsid w:val="292B1DB2"/>
    <w:rsid w:val="292C2C40"/>
    <w:rsid w:val="29373393"/>
    <w:rsid w:val="293D679A"/>
    <w:rsid w:val="2940493E"/>
    <w:rsid w:val="29473E40"/>
    <w:rsid w:val="294F2DD3"/>
    <w:rsid w:val="2964687E"/>
    <w:rsid w:val="296672F2"/>
    <w:rsid w:val="296F51B3"/>
    <w:rsid w:val="29833C5F"/>
    <w:rsid w:val="298F3888"/>
    <w:rsid w:val="299609AC"/>
    <w:rsid w:val="299802D6"/>
    <w:rsid w:val="29994F30"/>
    <w:rsid w:val="299B6018"/>
    <w:rsid w:val="29A529F3"/>
    <w:rsid w:val="29A5570A"/>
    <w:rsid w:val="29AA2162"/>
    <w:rsid w:val="29B9024C"/>
    <w:rsid w:val="29CE019B"/>
    <w:rsid w:val="29E259B9"/>
    <w:rsid w:val="29EC6874"/>
    <w:rsid w:val="29F714A0"/>
    <w:rsid w:val="29F80F7B"/>
    <w:rsid w:val="2A027E45"/>
    <w:rsid w:val="2A0C2A72"/>
    <w:rsid w:val="2A3224D8"/>
    <w:rsid w:val="2A475858"/>
    <w:rsid w:val="2A77438F"/>
    <w:rsid w:val="2A81520E"/>
    <w:rsid w:val="2A9B456F"/>
    <w:rsid w:val="2A9F5694"/>
    <w:rsid w:val="2AB670B6"/>
    <w:rsid w:val="2AB87401"/>
    <w:rsid w:val="2ABC4498"/>
    <w:rsid w:val="2AC62A55"/>
    <w:rsid w:val="2ACB46DB"/>
    <w:rsid w:val="2ADE440E"/>
    <w:rsid w:val="2AE35581"/>
    <w:rsid w:val="2AED0380"/>
    <w:rsid w:val="2AF60264"/>
    <w:rsid w:val="2AF754D0"/>
    <w:rsid w:val="2B065713"/>
    <w:rsid w:val="2B1423C4"/>
    <w:rsid w:val="2B1C4F36"/>
    <w:rsid w:val="2B452244"/>
    <w:rsid w:val="2B4C4F67"/>
    <w:rsid w:val="2B534734"/>
    <w:rsid w:val="2B54022C"/>
    <w:rsid w:val="2B54647E"/>
    <w:rsid w:val="2B585F6F"/>
    <w:rsid w:val="2B5B6D43"/>
    <w:rsid w:val="2B603075"/>
    <w:rsid w:val="2B964CE9"/>
    <w:rsid w:val="2B9920E3"/>
    <w:rsid w:val="2B9B5E5B"/>
    <w:rsid w:val="2BA06C69"/>
    <w:rsid w:val="2BA56CDA"/>
    <w:rsid w:val="2BB62C95"/>
    <w:rsid w:val="2BBE16A2"/>
    <w:rsid w:val="2BD01C52"/>
    <w:rsid w:val="2BD82C0B"/>
    <w:rsid w:val="2BDA4BD6"/>
    <w:rsid w:val="2BDD46C6"/>
    <w:rsid w:val="2BE37961"/>
    <w:rsid w:val="2BE667B7"/>
    <w:rsid w:val="2C1D60D9"/>
    <w:rsid w:val="2C3B578E"/>
    <w:rsid w:val="2C6D614E"/>
    <w:rsid w:val="2C723060"/>
    <w:rsid w:val="2C9139C3"/>
    <w:rsid w:val="2CA86A82"/>
    <w:rsid w:val="2CB25CD8"/>
    <w:rsid w:val="2CC17B44"/>
    <w:rsid w:val="2CC6720D"/>
    <w:rsid w:val="2CC91DB2"/>
    <w:rsid w:val="2CC97A35"/>
    <w:rsid w:val="2CDC672B"/>
    <w:rsid w:val="2CDE35AE"/>
    <w:rsid w:val="2CDF621C"/>
    <w:rsid w:val="2CE37BDC"/>
    <w:rsid w:val="2CE63FAE"/>
    <w:rsid w:val="2D0A13DA"/>
    <w:rsid w:val="2D0D0FDB"/>
    <w:rsid w:val="2D3A5211"/>
    <w:rsid w:val="2D4F514F"/>
    <w:rsid w:val="2D5947F1"/>
    <w:rsid w:val="2D6230D5"/>
    <w:rsid w:val="2D7B4196"/>
    <w:rsid w:val="2D83304B"/>
    <w:rsid w:val="2DA21723"/>
    <w:rsid w:val="2DA52FC1"/>
    <w:rsid w:val="2DAC07F4"/>
    <w:rsid w:val="2DAD03EE"/>
    <w:rsid w:val="2DC33281"/>
    <w:rsid w:val="2DE0224B"/>
    <w:rsid w:val="2DF81343"/>
    <w:rsid w:val="2DFE26D1"/>
    <w:rsid w:val="2E00644A"/>
    <w:rsid w:val="2E0C3040"/>
    <w:rsid w:val="2E17419C"/>
    <w:rsid w:val="2E30169A"/>
    <w:rsid w:val="2E374561"/>
    <w:rsid w:val="2E5549E7"/>
    <w:rsid w:val="2E644C2A"/>
    <w:rsid w:val="2EB01038"/>
    <w:rsid w:val="2EB711FE"/>
    <w:rsid w:val="2EE1746B"/>
    <w:rsid w:val="2EEA09F2"/>
    <w:rsid w:val="2EED10C4"/>
    <w:rsid w:val="2EEF718D"/>
    <w:rsid w:val="2EFA5ADE"/>
    <w:rsid w:val="2F081A65"/>
    <w:rsid w:val="2F155F25"/>
    <w:rsid w:val="2F191EB9"/>
    <w:rsid w:val="2F1C5505"/>
    <w:rsid w:val="2F2D531B"/>
    <w:rsid w:val="2F441FAD"/>
    <w:rsid w:val="2F5042AE"/>
    <w:rsid w:val="2F550579"/>
    <w:rsid w:val="2F603644"/>
    <w:rsid w:val="2F66360E"/>
    <w:rsid w:val="2F675E7A"/>
    <w:rsid w:val="2F8D3DE5"/>
    <w:rsid w:val="2F932426"/>
    <w:rsid w:val="2F996FF0"/>
    <w:rsid w:val="2F9B28BE"/>
    <w:rsid w:val="2FAC6889"/>
    <w:rsid w:val="2FAF45CB"/>
    <w:rsid w:val="2FD7548C"/>
    <w:rsid w:val="2FDB2CCA"/>
    <w:rsid w:val="2FEF49C8"/>
    <w:rsid w:val="300246FB"/>
    <w:rsid w:val="300527EC"/>
    <w:rsid w:val="30112C88"/>
    <w:rsid w:val="301416FD"/>
    <w:rsid w:val="30170614"/>
    <w:rsid w:val="30281C88"/>
    <w:rsid w:val="304C7574"/>
    <w:rsid w:val="307978A9"/>
    <w:rsid w:val="30892B96"/>
    <w:rsid w:val="30991DD3"/>
    <w:rsid w:val="30A6777C"/>
    <w:rsid w:val="30AE4883"/>
    <w:rsid w:val="30B6585F"/>
    <w:rsid w:val="30BA3228"/>
    <w:rsid w:val="30E65DCB"/>
    <w:rsid w:val="310E5FC1"/>
    <w:rsid w:val="31101099"/>
    <w:rsid w:val="3118556F"/>
    <w:rsid w:val="311F0DA0"/>
    <w:rsid w:val="31264419"/>
    <w:rsid w:val="313703D4"/>
    <w:rsid w:val="31453FCB"/>
    <w:rsid w:val="31571B53"/>
    <w:rsid w:val="315D067D"/>
    <w:rsid w:val="3163566D"/>
    <w:rsid w:val="316867E0"/>
    <w:rsid w:val="317168C1"/>
    <w:rsid w:val="31975317"/>
    <w:rsid w:val="31E16592"/>
    <w:rsid w:val="31E4298A"/>
    <w:rsid w:val="31F10F85"/>
    <w:rsid w:val="31F33DF2"/>
    <w:rsid w:val="31F97D80"/>
    <w:rsid w:val="32033025"/>
    <w:rsid w:val="321B1AA4"/>
    <w:rsid w:val="322C096D"/>
    <w:rsid w:val="322C3CB1"/>
    <w:rsid w:val="323112C7"/>
    <w:rsid w:val="3239017C"/>
    <w:rsid w:val="323E13E5"/>
    <w:rsid w:val="32411989"/>
    <w:rsid w:val="32546D64"/>
    <w:rsid w:val="32676A97"/>
    <w:rsid w:val="328E2276"/>
    <w:rsid w:val="32944E37"/>
    <w:rsid w:val="32A47CEB"/>
    <w:rsid w:val="32BD2B5B"/>
    <w:rsid w:val="32C4213C"/>
    <w:rsid w:val="32D16607"/>
    <w:rsid w:val="32D9705D"/>
    <w:rsid w:val="32EA7901"/>
    <w:rsid w:val="32EB591A"/>
    <w:rsid w:val="32EE540A"/>
    <w:rsid w:val="33252E95"/>
    <w:rsid w:val="332F14A9"/>
    <w:rsid w:val="332F29FE"/>
    <w:rsid w:val="333411CF"/>
    <w:rsid w:val="33386686"/>
    <w:rsid w:val="334E5EA9"/>
    <w:rsid w:val="335A65FC"/>
    <w:rsid w:val="335C445D"/>
    <w:rsid w:val="33623B58"/>
    <w:rsid w:val="336B684F"/>
    <w:rsid w:val="33837901"/>
    <w:rsid w:val="339B4B6E"/>
    <w:rsid w:val="339E298D"/>
    <w:rsid w:val="33AA7583"/>
    <w:rsid w:val="33C57F19"/>
    <w:rsid w:val="33C70135"/>
    <w:rsid w:val="33EB36F8"/>
    <w:rsid w:val="33FB1B8D"/>
    <w:rsid w:val="34014CC9"/>
    <w:rsid w:val="34034EE6"/>
    <w:rsid w:val="34054850"/>
    <w:rsid w:val="34071A1D"/>
    <w:rsid w:val="34225A8F"/>
    <w:rsid w:val="34394463"/>
    <w:rsid w:val="34437249"/>
    <w:rsid w:val="34627E5E"/>
    <w:rsid w:val="347B35FE"/>
    <w:rsid w:val="347D25A2"/>
    <w:rsid w:val="34831B82"/>
    <w:rsid w:val="34E940DB"/>
    <w:rsid w:val="34F72A66"/>
    <w:rsid w:val="350D0FEC"/>
    <w:rsid w:val="35132F06"/>
    <w:rsid w:val="352944D8"/>
    <w:rsid w:val="352E1AEE"/>
    <w:rsid w:val="3538296D"/>
    <w:rsid w:val="353B53D3"/>
    <w:rsid w:val="35437B7C"/>
    <w:rsid w:val="35584DBD"/>
    <w:rsid w:val="357D1F49"/>
    <w:rsid w:val="358E2619"/>
    <w:rsid w:val="358E4F55"/>
    <w:rsid w:val="35BB5A78"/>
    <w:rsid w:val="35D9162D"/>
    <w:rsid w:val="35DE1766"/>
    <w:rsid w:val="35E55EBE"/>
    <w:rsid w:val="35E7745C"/>
    <w:rsid w:val="35F5260C"/>
    <w:rsid w:val="35FC498E"/>
    <w:rsid w:val="3600792F"/>
    <w:rsid w:val="360A4309"/>
    <w:rsid w:val="36213401"/>
    <w:rsid w:val="362D6059"/>
    <w:rsid w:val="36380975"/>
    <w:rsid w:val="364C391D"/>
    <w:rsid w:val="36551B8F"/>
    <w:rsid w:val="36575075"/>
    <w:rsid w:val="36641644"/>
    <w:rsid w:val="36653C36"/>
    <w:rsid w:val="366E2AEA"/>
    <w:rsid w:val="367708E3"/>
    <w:rsid w:val="367B0274"/>
    <w:rsid w:val="368F68BA"/>
    <w:rsid w:val="36A71B58"/>
    <w:rsid w:val="36B44275"/>
    <w:rsid w:val="36B9646D"/>
    <w:rsid w:val="36EE59D9"/>
    <w:rsid w:val="36FF3742"/>
    <w:rsid w:val="37007173"/>
    <w:rsid w:val="37024756"/>
    <w:rsid w:val="370F76FD"/>
    <w:rsid w:val="371143BC"/>
    <w:rsid w:val="37207E56"/>
    <w:rsid w:val="3727535F"/>
    <w:rsid w:val="372C500D"/>
    <w:rsid w:val="373F27D7"/>
    <w:rsid w:val="37441A9D"/>
    <w:rsid w:val="374E0226"/>
    <w:rsid w:val="37A95DA4"/>
    <w:rsid w:val="37B502A5"/>
    <w:rsid w:val="37D5728A"/>
    <w:rsid w:val="37F54B45"/>
    <w:rsid w:val="37F963E3"/>
    <w:rsid w:val="3817650A"/>
    <w:rsid w:val="382A5702"/>
    <w:rsid w:val="382B190D"/>
    <w:rsid w:val="3842422E"/>
    <w:rsid w:val="384E373A"/>
    <w:rsid w:val="3862667F"/>
    <w:rsid w:val="386359A2"/>
    <w:rsid w:val="38741F0E"/>
    <w:rsid w:val="38797524"/>
    <w:rsid w:val="387B504A"/>
    <w:rsid w:val="387E5850"/>
    <w:rsid w:val="388008B3"/>
    <w:rsid w:val="38800C40"/>
    <w:rsid w:val="38897BBF"/>
    <w:rsid w:val="389B56ED"/>
    <w:rsid w:val="38B5557A"/>
    <w:rsid w:val="38B77E9B"/>
    <w:rsid w:val="38B82A46"/>
    <w:rsid w:val="38D8249D"/>
    <w:rsid w:val="38F47003"/>
    <w:rsid w:val="390252C1"/>
    <w:rsid w:val="39355C17"/>
    <w:rsid w:val="395C1E67"/>
    <w:rsid w:val="395E1289"/>
    <w:rsid w:val="39736610"/>
    <w:rsid w:val="397B3D07"/>
    <w:rsid w:val="3989682C"/>
    <w:rsid w:val="398C37FF"/>
    <w:rsid w:val="399D5494"/>
    <w:rsid w:val="39AB5E03"/>
    <w:rsid w:val="39C46EC5"/>
    <w:rsid w:val="39C94499"/>
    <w:rsid w:val="39D40C83"/>
    <w:rsid w:val="39D65EBB"/>
    <w:rsid w:val="39D926F6"/>
    <w:rsid w:val="39DC420F"/>
    <w:rsid w:val="39F41558"/>
    <w:rsid w:val="3A0A7ABC"/>
    <w:rsid w:val="3A0D6176"/>
    <w:rsid w:val="3A0F6392"/>
    <w:rsid w:val="3A215ADE"/>
    <w:rsid w:val="3A2160C5"/>
    <w:rsid w:val="3A3C0EF2"/>
    <w:rsid w:val="3A455684"/>
    <w:rsid w:val="3A483652"/>
    <w:rsid w:val="3A5C6756"/>
    <w:rsid w:val="3A7206CF"/>
    <w:rsid w:val="3A7F2C31"/>
    <w:rsid w:val="3A864DA4"/>
    <w:rsid w:val="3A914FF9"/>
    <w:rsid w:val="3A9248BC"/>
    <w:rsid w:val="3A942C59"/>
    <w:rsid w:val="3A951EDF"/>
    <w:rsid w:val="3A971EE4"/>
    <w:rsid w:val="3A9B19D4"/>
    <w:rsid w:val="3ADB2718"/>
    <w:rsid w:val="3AE822E0"/>
    <w:rsid w:val="3AE8273F"/>
    <w:rsid w:val="3B023801"/>
    <w:rsid w:val="3B070E17"/>
    <w:rsid w:val="3B1874C8"/>
    <w:rsid w:val="3B1919C4"/>
    <w:rsid w:val="3B1D207A"/>
    <w:rsid w:val="3B223EA3"/>
    <w:rsid w:val="3B2714BA"/>
    <w:rsid w:val="3B414FCB"/>
    <w:rsid w:val="3B446A74"/>
    <w:rsid w:val="3B633D30"/>
    <w:rsid w:val="3B653D90"/>
    <w:rsid w:val="3B72197F"/>
    <w:rsid w:val="3B7A3CDF"/>
    <w:rsid w:val="3B824942"/>
    <w:rsid w:val="3B8F407F"/>
    <w:rsid w:val="3BA046F2"/>
    <w:rsid w:val="3BA11E89"/>
    <w:rsid w:val="3BA50630"/>
    <w:rsid w:val="3BA945C4"/>
    <w:rsid w:val="3BB70A8F"/>
    <w:rsid w:val="3BBC60A6"/>
    <w:rsid w:val="3BC136BC"/>
    <w:rsid w:val="3BD9266A"/>
    <w:rsid w:val="3BDF3B42"/>
    <w:rsid w:val="3BE20963"/>
    <w:rsid w:val="3BE253C4"/>
    <w:rsid w:val="3BF515B8"/>
    <w:rsid w:val="3BF71054"/>
    <w:rsid w:val="3C011D0B"/>
    <w:rsid w:val="3C090BBF"/>
    <w:rsid w:val="3C0D4B53"/>
    <w:rsid w:val="3C237ED3"/>
    <w:rsid w:val="3C2B4E49"/>
    <w:rsid w:val="3C2F4ACA"/>
    <w:rsid w:val="3C325F30"/>
    <w:rsid w:val="3C4E15EC"/>
    <w:rsid w:val="3C77021F"/>
    <w:rsid w:val="3C8065F9"/>
    <w:rsid w:val="3C8841DA"/>
    <w:rsid w:val="3C954E05"/>
    <w:rsid w:val="3CA01523"/>
    <w:rsid w:val="3CC43E13"/>
    <w:rsid w:val="3CC80A7A"/>
    <w:rsid w:val="3CCD6091"/>
    <w:rsid w:val="3CDE204C"/>
    <w:rsid w:val="3CE533DA"/>
    <w:rsid w:val="3CEA6C43"/>
    <w:rsid w:val="3CF450C8"/>
    <w:rsid w:val="3CFE624A"/>
    <w:rsid w:val="3D143CBF"/>
    <w:rsid w:val="3D1617E6"/>
    <w:rsid w:val="3D4A127E"/>
    <w:rsid w:val="3D581DFE"/>
    <w:rsid w:val="3D6469F5"/>
    <w:rsid w:val="3D695DB9"/>
    <w:rsid w:val="3D6C58AA"/>
    <w:rsid w:val="3D80667C"/>
    <w:rsid w:val="3DA825AF"/>
    <w:rsid w:val="3DBF4698"/>
    <w:rsid w:val="3DDD67A7"/>
    <w:rsid w:val="3DF11337"/>
    <w:rsid w:val="3DF5589F"/>
    <w:rsid w:val="3E18158D"/>
    <w:rsid w:val="3E295549"/>
    <w:rsid w:val="3E2D6FDE"/>
    <w:rsid w:val="3E435CB3"/>
    <w:rsid w:val="3E4B1055"/>
    <w:rsid w:val="3E4E6111"/>
    <w:rsid w:val="3E6F3667"/>
    <w:rsid w:val="3E7B7AD3"/>
    <w:rsid w:val="3E7E6AF2"/>
    <w:rsid w:val="3E80785E"/>
    <w:rsid w:val="3E8135D7"/>
    <w:rsid w:val="3E9C76B0"/>
    <w:rsid w:val="3EA6303D"/>
    <w:rsid w:val="3EA70B8C"/>
    <w:rsid w:val="3EAE3F20"/>
    <w:rsid w:val="3EC84D62"/>
    <w:rsid w:val="3EE002FD"/>
    <w:rsid w:val="3EE576C2"/>
    <w:rsid w:val="3F0F70DE"/>
    <w:rsid w:val="3F3348D1"/>
    <w:rsid w:val="3F517A82"/>
    <w:rsid w:val="3F566811"/>
    <w:rsid w:val="3F593C0C"/>
    <w:rsid w:val="3F6727CC"/>
    <w:rsid w:val="3F702A77"/>
    <w:rsid w:val="3F8C3FE1"/>
    <w:rsid w:val="3F8E13F7"/>
    <w:rsid w:val="3FAE3F57"/>
    <w:rsid w:val="3FE1257F"/>
    <w:rsid w:val="3FEE2A7D"/>
    <w:rsid w:val="40155D85"/>
    <w:rsid w:val="401E103E"/>
    <w:rsid w:val="401F30A7"/>
    <w:rsid w:val="402C1320"/>
    <w:rsid w:val="405009AC"/>
    <w:rsid w:val="40524E34"/>
    <w:rsid w:val="405E2FEA"/>
    <w:rsid w:val="406B52E0"/>
    <w:rsid w:val="40784565"/>
    <w:rsid w:val="40786313"/>
    <w:rsid w:val="408B33B9"/>
    <w:rsid w:val="40907A7F"/>
    <w:rsid w:val="409600EF"/>
    <w:rsid w:val="40BD5302"/>
    <w:rsid w:val="40E37C31"/>
    <w:rsid w:val="40E8793D"/>
    <w:rsid w:val="40EB11DB"/>
    <w:rsid w:val="40F0234E"/>
    <w:rsid w:val="40F63E08"/>
    <w:rsid w:val="411424E0"/>
    <w:rsid w:val="411A12F1"/>
    <w:rsid w:val="41322966"/>
    <w:rsid w:val="414F3518"/>
    <w:rsid w:val="41566655"/>
    <w:rsid w:val="41783232"/>
    <w:rsid w:val="41836574"/>
    <w:rsid w:val="41960106"/>
    <w:rsid w:val="41B82E6B"/>
    <w:rsid w:val="41F15866"/>
    <w:rsid w:val="41F30347"/>
    <w:rsid w:val="42097B6B"/>
    <w:rsid w:val="42242B94"/>
    <w:rsid w:val="422E312E"/>
    <w:rsid w:val="425C1778"/>
    <w:rsid w:val="42666D6B"/>
    <w:rsid w:val="42733236"/>
    <w:rsid w:val="4277689C"/>
    <w:rsid w:val="427D4952"/>
    <w:rsid w:val="427E6FDE"/>
    <w:rsid w:val="4284421C"/>
    <w:rsid w:val="42864D18"/>
    <w:rsid w:val="42935686"/>
    <w:rsid w:val="42935CDE"/>
    <w:rsid w:val="42A14CDF"/>
    <w:rsid w:val="42BE0812"/>
    <w:rsid w:val="42C90832"/>
    <w:rsid w:val="42E67EAC"/>
    <w:rsid w:val="42F44152"/>
    <w:rsid w:val="430976F7"/>
    <w:rsid w:val="4338290F"/>
    <w:rsid w:val="434D7F2B"/>
    <w:rsid w:val="434F5A51"/>
    <w:rsid w:val="437F3FBB"/>
    <w:rsid w:val="43B7160D"/>
    <w:rsid w:val="43D52775"/>
    <w:rsid w:val="43D548C6"/>
    <w:rsid w:val="43E40670"/>
    <w:rsid w:val="43EC32A0"/>
    <w:rsid w:val="44114AB5"/>
    <w:rsid w:val="44193A03"/>
    <w:rsid w:val="44202F4A"/>
    <w:rsid w:val="444A6BF7"/>
    <w:rsid w:val="444B0AED"/>
    <w:rsid w:val="44507CD3"/>
    <w:rsid w:val="445F3A72"/>
    <w:rsid w:val="44626C63"/>
    <w:rsid w:val="446577F3"/>
    <w:rsid w:val="4476732B"/>
    <w:rsid w:val="44B244EA"/>
    <w:rsid w:val="44B32010"/>
    <w:rsid w:val="44BC0EC5"/>
    <w:rsid w:val="44C164DB"/>
    <w:rsid w:val="44C32E74"/>
    <w:rsid w:val="44E827F6"/>
    <w:rsid w:val="44FF260B"/>
    <w:rsid w:val="452A4641"/>
    <w:rsid w:val="452B1BA6"/>
    <w:rsid w:val="452C295D"/>
    <w:rsid w:val="453E3FCF"/>
    <w:rsid w:val="45476A70"/>
    <w:rsid w:val="4554734F"/>
    <w:rsid w:val="45982027"/>
    <w:rsid w:val="45A2455E"/>
    <w:rsid w:val="45BB4A19"/>
    <w:rsid w:val="45C049E4"/>
    <w:rsid w:val="45CA13BF"/>
    <w:rsid w:val="45CC5137"/>
    <w:rsid w:val="45D9530F"/>
    <w:rsid w:val="45E92928"/>
    <w:rsid w:val="45F14B9E"/>
    <w:rsid w:val="46026DAB"/>
    <w:rsid w:val="46087E82"/>
    <w:rsid w:val="46221EE2"/>
    <w:rsid w:val="46222FA9"/>
    <w:rsid w:val="462E7BA0"/>
    <w:rsid w:val="464D4CA7"/>
    <w:rsid w:val="465D66D7"/>
    <w:rsid w:val="46625C99"/>
    <w:rsid w:val="469C7200"/>
    <w:rsid w:val="46B856BC"/>
    <w:rsid w:val="46BB4A11"/>
    <w:rsid w:val="46C1699C"/>
    <w:rsid w:val="46D12D06"/>
    <w:rsid w:val="46ED08B9"/>
    <w:rsid w:val="471825FE"/>
    <w:rsid w:val="471E7C15"/>
    <w:rsid w:val="474A38BE"/>
    <w:rsid w:val="475C663E"/>
    <w:rsid w:val="47615D53"/>
    <w:rsid w:val="47626808"/>
    <w:rsid w:val="47727F60"/>
    <w:rsid w:val="47775577"/>
    <w:rsid w:val="477912EF"/>
    <w:rsid w:val="477E29F5"/>
    <w:rsid w:val="47863A0C"/>
    <w:rsid w:val="478D08F6"/>
    <w:rsid w:val="479E0D55"/>
    <w:rsid w:val="47A54BED"/>
    <w:rsid w:val="47AA14A8"/>
    <w:rsid w:val="47BE10AC"/>
    <w:rsid w:val="47CE1FDE"/>
    <w:rsid w:val="47D868BC"/>
    <w:rsid w:val="47FA33DA"/>
    <w:rsid w:val="480E4095"/>
    <w:rsid w:val="48192ABD"/>
    <w:rsid w:val="481B4E37"/>
    <w:rsid w:val="48206385"/>
    <w:rsid w:val="482512A6"/>
    <w:rsid w:val="48322F51"/>
    <w:rsid w:val="485D476D"/>
    <w:rsid w:val="486E5336"/>
    <w:rsid w:val="487D2A1E"/>
    <w:rsid w:val="488E2C4F"/>
    <w:rsid w:val="48A028AB"/>
    <w:rsid w:val="48A34957"/>
    <w:rsid w:val="48A40001"/>
    <w:rsid w:val="48A979B2"/>
    <w:rsid w:val="48B12D0A"/>
    <w:rsid w:val="48B63E7D"/>
    <w:rsid w:val="48C67642"/>
    <w:rsid w:val="48D367DD"/>
    <w:rsid w:val="48D7610A"/>
    <w:rsid w:val="48E94252"/>
    <w:rsid w:val="491B55DE"/>
    <w:rsid w:val="491E7D2A"/>
    <w:rsid w:val="4924528A"/>
    <w:rsid w:val="49247038"/>
    <w:rsid w:val="4929643D"/>
    <w:rsid w:val="492A07DE"/>
    <w:rsid w:val="49396F88"/>
    <w:rsid w:val="49845D29"/>
    <w:rsid w:val="49974C8E"/>
    <w:rsid w:val="49BC54C3"/>
    <w:rsid w:val="49C426A6"/>
    <w:rsid w:val="49E60792"/>
    <w:rsid w:val="49EB297E"/>
    <w:rsid w:val="49FC0FF6"/>
    <w:rsid w:val="4A054357"/>
    <w:rsid w:val="4A235542"/>
    <w:rsid w:val="4A326334"/>
    <w:rsid w:val="4A3B288C"/>
    <w:rsid w:val="4A4A06C9"/>
    <w:rsid w:val="4A620A7F"/>
    <w:rsid w:val="4A6E435C"/>
    <w:rsid w:val="4A706B2E"/>
    <w:rsid w:val="4A863922"/>
    <w:rsid w:val="4A941610"/>
    <w:rsid w:val="4A984651"/>
    <w:rsid w:val="4AB97C54"/>
    <w:rsid w:val="4ABF3A7C"/>
    <w:rsid w:val="4ADF590D"/>
    <w:rsid w:val="4AEC627C"/>
    <w:rsid w:val="4B0233A9"/>
    <w:rsid w:val="4B215121"/>
    <w:rsid w:val="4B2C46CF"/>
    <w:rsid w:val="4B3016CC"/>
    <w:rsid w:val="4B367F5F"/>
    <w:rsid w:val="4B38212A"/>
    <w:rsid w:val="4B4368F7"/>
    <w:rsid w:val="4B46773A"/>
    <w:rsid w:val="4B5F07FC"/>
    <w:rsid w:val="4B8B15F1"/>
    <w:rsid w:val="4B8E720E"/>
    <w:rsid w:val="4BDE5BC4"/>
    <w:rsid w:val="4BE11211"/>
    <w:rsid w:val="4BFE3359"/>
    <w:rsid w:val="4C231829"/>
    <w:rsid w:val="4C2C109F"/>
    <w:rsid w:val="4C2D21EC"/>
    <w:rsid w:val="4C3C0B3D"/>
    <w:rsid w:val="4C3E1BB6"/>
    <w:rsid w:val="4C3E48B5"/>
    <w:rsid w:val="4C4F6AC2"/>
    <w:rsid w:val="4C6267F5"/>
    <w:rsid w:val="4C9269AF"/>
    <w:rsid w:val="4C9E35A6"/>
    <w:rsid w:val="4C9E7102"/>
    <w:rsid w:val="4CB97E79"/>
    <w:rsid w:val="4CBA03DF"/>
    <w:rsid w:val="4CD4551D"/>
    <w:rsid w:val="4D043409"/>
    <w:rsid w:val="4D185106"/>
    <w:rsid w:val="4D1E30C5"/>
    <w:rsid w:val="4D22259F"/>
    <w:rsid w:val="4D2515D1"/>
    <w:rsid w:val="4D2910C1"/>
    <w:rsid w:val="4D40211F"/>
    <w:rsid w:val="4D467339"/>
    <w:rsid w:val="4D626381"/>
    <w:rsid w:val="4D834C75"/>
    <w:rsid w:val="4D8765AA"/>
    <w:rsid w:val="4DBA440F"/>
    <w:rsid w:val="4DBF51B2"/>
    <w:rsid w:val="4DCC45CE"/>
    <w:rsid w:val="4DD94895"/>
    <w:rsid w:val="4DEA4CF4"/>
    <w:rsid w:val="4DF0398D"/>
    <w:rsid w:val="4E1326E7"/>
    <w:rsid w:val="4E2029B1"/>
    <w:rsid w:val="4E2142A9"/>
    <w:rsid w:val="4E21623C"/>
    <w:rsid w:val="4E362315"/>
    <w:rsid w:val="4E3B72FE"/>
    <w:rsid w:val="4E3D203E"/>
    <w:rsid w:val="4E481A8B"/>
    <w:rsid w:val="4E485577"/>
    <w:rsid w:val="4E4C52A4"/>
    <w:rsid w:val="4E4D2E49"/>
    <w:rsid w:val="4E612ADD"/>
    <w:rsid w:val="4E6F51FA"/>
    <w:rsid w:val="4E704ACE"/>
    <w:rsid w:val="4E766350"/>
    <w:rsid w:val="4E796F6C"/>
    <w:rsid w:val="4E916F1E"/>
    <w:rsid w:val="4E93713A"/>
    <w:rsid w:val="4E9F618E"/>
    <w:rsid w:val="4EA428B7"/>
    <w:rsid w:val="4EA824BA"/>
    <w:rsid w:val="4EB15812"/>
    <w:rsid w:val="4EC866B8"/>
    <w:rsid w:val="4ECC61A8"/>
    <w:rsid w:val="4EE554BC"/>
    <w:rsid w:val="4EE74D90"/>
    <w:rsid w:val="4EED40E4"/>
    <w:rsid w:val="4EFD443D"/>
    <w:rsid w:val="4F08072A"/>
    <w:rsid w:val="4F0C06E7"/>
    <w:rsid w:val="4F141347"/>
    <w:rsid w:val="4F275616"/>
    <w:rsid w:val="4F2852AB"/>
    <w:rsid w:val="4F2A7373"/>
    <w:rsid w:val="4F2B3B43"/>
    <w:rsid w:val="4F3101AE"/>
    <w:rsid w:val="4F40551D"/>
    <w:rsid w:val="4F460DE2"/>
    <w:rsid w:val="4F466CC0"/>
    <w:rsid w:val="4F514508"/>
    <w:rsid w:val="4F5368C9"/>
    <w:rsid w:val="4F593AE5"/>
    <w:rsid w:val="4F74239C"/>
    <w:rsid w:val="4F824AB9"/>
    <w:rsid w:val="4F8C3B89"/>
    <w:rsid w:val="4FA64C4B"/>
    <w:rsid w:val="4FAC3C69"/>
    <w:rsid w:val="4FBA6948"/>
    <w:rsid w:val="4FBD0DDA"/>
    <w:rsid w:val="4FE61A40"/>
    <w:rsid w:val="50131BB5"/>
    <w:rsid w:val="50280F82"/>
    <w:rsid w:val="50392EA6"/>
    <w:rsid w:val="5041313C"/>
    <w:rsid w:val="50414974"/>
    <w:rsid w:val="50621EBD"/>
    <w:rsid w:val="50650662"/>
    <w:rsid w:val="50855E66"/>
    <w:rsid w:val="50916BB8"/>
    <w:rsid w:val="50AA42C7"/>
    <w:rsid w:val="50B60EBE"/>
    <w:rsid w:val="50C51101"/>
    <w:rsid w:val="50DB6B76"/>
    <w:rsid w:val="511F76B3"/>
    <w:rsid w:val="512027DB"/>
    <w:rsid w:val="51234079"/>
    <w:rsid w:val="513B7615"/>
    <w:rsid w:val="51450494"/>
    <w:rsid w:val="5147107B"/>
    <w:rsid w:val="51586419"/>
    <w:rsid w:val="517B3EB5"/>
    <w:rsid w:val="51892F55"/>
    <w:rsid w:val="519D207E"/>
    <w:rsid w:val="51B82A14"/>
    <w:rsid w:val="51BA2C30"/>
    <w:rsid w:val="51C70EA9"/>
    <w:rsid w:val="51E26E67"/>
    <w:rsid w:val="51E41A5B"/>
    <w:rsid w:val="51F06651"/>
    <w:rsid w:val="51F21B45"/>
    <w:rsid w:val="520D5A73"/>
    <w:rsid w:val="5215084E"/>
    <w:rsid w:val="5225404F"/>
    <w:rsid w:val="522C7E05"/>
    <w:rsid w:val="52383B54"/>
    <w:rsid w:val="523F1387"/>
    <w:rsid w:val="52440CA6"/>
    <w:rsid w:val="52614E59"/>
    <w:rsid w:val="5268592E"/>
    <w:rsid w:val="52695032"/>
    <w:rsid w:val="526D122D"/>
    <w:rsid w:val="52756B57"/>
    <w:rsid w:val="52762A77"/>
    <w:rsid w:val="528C45CC"/>
    <w:rsid w:val="528F5E6A"/>
    <w:rsid w:val="52A05A32"/>
    <w:rsid w:val="52A64F62"/>
    <w:rsid w:val="52AE2F54"/>
    <w:rsid w:val="52B14033"/>
    <w:rsid w:val="52BB381C"/>
    <w:rsid w:val="52C61160"/>
    <w:rsid w:val="52CB6777"/>
    <w:rsid w:val="52E02222"/>
    <w:rsid w:val="52EA4E4F"/>
    <w:rsid w:val="532366DF"/>
    <w:rsid w:val="533271AD"/>
    <w:rsid w:val="533662E6"/>
    <w:rsid w:val="53582700"/>
    <w:rsid w:val="53677697"/>
    <w:rsid w:val="53690469"/>
    <w:rsid w:val="53B84F4D"/>
    <w:rsid w:val="53B851F1"/>
    <w:rsid w:val="53CC3743"/>
    <w:rsid w:val="53D17DBD"/>
    <w:rsid w:val="53DF5896"/>
    <w:rsid w:val="53EC109A"/>
    <w:rsid w:val="53F23B0B"/>
    <w:rsid w:val="540E7263"/>
    <w:rsid w:val="54102E26"/>
    <w:rsid w:val="5428796D"/>
    <w:rsid w:val="542A7CBB"/>
    <w:rsid w:val="543D5452"/>
    <w:rsid w:val="544A1AF3"/>
    <w:rsid w:val="54773275"/>
    <w:rsid w:val="54901A26"/>
    <w:rsid w:val="54A31759"/>
    <w:rsid w:val="54D631E0"/>
    <w:rsid w:val="54F41009"/>
    <w:rsid w:val="54F41596"/>
    <w:rsid w:val="55056B34"/>
    <w:rsid w:val="55077D40"/>
    <w:rsid w:val="552B174F"/>
    <w:rsid w:val="553625CD"/>
    <w:rsid w:val="557012E6"/>
    <w:rsid w:val="558A0B6B"/>
    <w:rsid w:val="559C3120"/>
    <w:rsid w:val="55C23E61"/>
    <w:rsid w:val="55EF4DC3"/>
    <w:rsid w:val="55FA184D"/>
    <w:rsid w:val="55FE339E"/>
    <w:rsid w:val="560426CB"/>
    <w:rsid w:val="560950E0"/>
    <w:rsid w:val="562577A5"/>
    <w:rsid w:val="563B3C13"/>
    <w:rsid w:val="564162D0"/>
    <w:rsid w:val="564E3725"/>
    <w:rsid w:val="5658119E"/>
    <w:rsid w:val="56705E8A"/>
    <w:rsid w:val="56717635"/>
    <w:rsid w:val="56A417B8"/>
    <w:rsid w:val="56BA6C70"/>
    <w:rsid w:val="56BF13FD"/>
    <w:rsid w:val="56C074FC"/>
    <w:rsid w:val="56C450D7"/>
    <w:rsid w:val="56EC7480"/>
    <w:rsid w:val="56EF29AC"/>
    <w:rsid w:val="56F1208A"/>
    <w:rsid w:val="570566FB"/>
    <w:rsid w:val="57256D9D"/>
    <w:rsid w:val="57265336"/>
    <w:rsid w:val="572C012C"/>
    <w:rsid w:val="572D323C"/>
    <w:rsid w:val="572E3B80"/>
    <w:rsid w:val="57376AD1"/>
    <w:rsid w:val="57411DDB"/>
    <w:rsid w:val="574A05B2"/>
    <w:rsid w:val="57522A84"/>
    <w:rsid w:val="57574A7D"/>
    <w:rsid w:val="57633422"/>
    <w:rsid w:val="57777F98"/>
    <w:rsid w:val="578F2A32"/>
    <w:rsid w:val="57A27CE8"/>
    <w:rsid w:val="57BE29FA"/>
    <w:rsid w:val="57C32112"/>
    <w:rsid w:val="57CC097A"/>
    <w:rsid w:val="57CE5D0A"/>
    <w:rsid w:val="57D04F5B"/>
    <w:rsid w:val="57E54372"/>
    <w:rsid w:val="57F36EA5"/>
    <w:rsid w:val="580E4721"/>
    <w:rsid w:val="581D1822"/>
    <w:rsid w:val="5825678F"/>
    <w:rsid w:val="583A417F"/>
    <w:rsid w:val="5851688A"/>
    <w:rsid w:val="586A278D"/>
    <w:rsid w:val="58894EBB"/>
    <w:rsid w:val="58900CFD"/>
    <w:rsid w:val="589A2E73"/>
    <w:rsid w:val="58AC2BA6"/>
    <w:rsid w:val="58AE144B"/>
    <w:rsid w:val="58B744E4"/>
    <w:rsid w:val="58BA782A"/>
    <w:rsid w:val="58BC728D"/>
    <w:rsid w:val="58BF6D7E"/>
    <w:rsid w:val="58C61EBA"/>
    <w:rsid w:val="58CB5722"/>
    <w:rsid w:val="58D624C9"/>
    <w:rsid w:val="58DF28FA"/>
    <w:rsid w:val="58E467E4"/>
    <w:rsid w:val="58E6255C"/>
    <w:rsid w:val="58E95BA9"/>
    <w:rsid w:val="58EF1411"/>
    <w:rsid w:val="58FA344E"/>
    <w:rsid w:val="59084523"/>
    <w:rsid w:val="59103135"/>
    <w:rsid w:val="59153A25"/>
    <w:rsid w:val="592B7F6F"/>
    <w:rsid w:val="5943350B"/>
    <w:rsid w:val="5955323E"/>
    <w:rsid w:val="595A2602"/>
    <w:rsid w:val="595E6596"/>
    <w:rsid w:val="59630BF9"/>
    <w:rsid w:val="597638E0"/>
    <w:rsid w:val="597D6869"/>
    <w:rsid w:val="599975CF"/>
    <w:rsid w:val="599F31A9"/>
    <w:rsid w:val="59A35DCD"/>
    <w:rsid w:val="59A55F73"/>
    <w:rsid w:val="59A94738"/>
    <w:rsid w:val="59CC3500"/>
    <w:rsid w:val="59F667CF"/>
    <w:rsid w:val="5A032F5C"/>
    <w:rsid w:val="5A0507C0"/>
    <w:rsid w:val="5A0F7891"/>
    <w:rsid w:val="5A276FA1"/>
    <w:rsid w:val="5A2A0227"/>
    <w:rsid w:val="5A4968FF"/>
    <w:rsid w:val="5A545CFC"/>
    <w:rsid w:val="5A5A4FB0"/>
    <w:rsid w:val="5A6220B6"/>
    <w:rsid w:val="5A6574B1"/>
    <w:rsid w:val="5A6D1D54"/>
    <w:rsid w:val="5A7476F4"/>
    <w:rsid w:val="5A8262B5"/>
    <w:rsid w:val="5A9539BF"/>
    <w:rsid w:val="5A957D96"/>
    <w:rsid w:val="5AB126F6"/>
    <w:rsid w:val="5AD30298"/>
    <w:rsid w:val="5AF820D3"/>
    <w:rsid w:val="5B266C40"/>
    <w:rsid w:val="5B291782"/>
    <w:rsid w:val="5B340130"/>
    <w:rsid w:val="5B4B66A7"/>
    <w:rsid w:val="5B5C5E7B"/>
    <w:rsid w:val="5B61236E"/>
    <w:rsid w:val="5B703146"/>
    <w:rsid w:val="5B7A7456"/>
    <w:rsid w:val="5B8027F4"/>
    <w:rsid w:val="5B837F4E"/>
    <w:rsid w:val="5B857E0A"/>
    <w:rsid w:val="5B8A5421"/>
    <w:rsid w:val="5BA06A78"/>
    <w:rsid w:val="5BB00F4F"/>
    <w:rsid w:val="5BB93F58"/>
    <w:rsid w:val="5BBE2967"/>
    <w:rsid w:val="5BC052E6"/>
    <w:rsid w:val="5BC13CBD"/>
    <w:rsid w:val="5BC36B85"/>
    <w:rsid w:val="5BC92DFA"/>
    <w:rsid w:val="5BCE7A03"/>
    <w:rsid w:val="5BD112A2"/>
    <w:rsid w:val="5BE201F8"/>
    <w:rsid w:val="5BFE5D5C"/>
    <w:rsid w:val="5BFE5E0F"/>
    <w:rsid w:val="5C261DF7"/>
    <w:rsid w:val="5C2C297C"/>
    <w:rsid w:val="5C3A202E"/>
    <w:rsid w:val="5C4952DC"/>
    <w:rsid w:val="5C606182"/>
    <w:rsid w:val="5C6C2D78"/>
    <w:rsid w:val="5C7165E1"/>
    <w:rsid w:val="5C7D2831"/>
    <w:rsid w:val="5C844566"/>
    <w:rsid w:val="5C8C6F77"/>
    <w:rsid w:val="5CA536C4"/>
    <w:rsid w:val="5CB00EB7"/>
    <w:rsid w:val="5CB309A7"/>
    <w:rsid w:val="5CC756D2"/>
    <w:rsid w:val="5CD17501"/>
    <w:rsid w:val="5CD728E8"/>
    <w:rsid w:val="5CE60D7D"/>
    <w:rsid w:val="5CF6124B"/>
    <w:rsid w:val="5CFF3BED"/>
    <w:rsid w:val="5D0607CD"/>
    <w:rsid w:val="5D0D455B"/>
    <w:rsid w:val="5D1505F2"/>
    <w:rsid w:val="5D211DB5"/>
    <w:rsid w:val="5D393FB8"/>
    <w:rsid w:val="5D515DF9"/>
    <w:rsid w:val="5D8B1A3C"/>
    <w:rsid w:val="5D9C768D"/>
    <w:rsid w:val="5D9D11C6"/>
    <w:rsid w:val="5DB91FED"/>
    <w:rsid w:val="5DCA244C"/>
    <w:rsid w:val="5DCD0522"/>
    <w:rsid w:val="5DCD560A"/>
    <w:rsid w:val="5DDC0BFC"/>
    <w:rsid w:val="5DE44ECD"/>
    <w:rsid w:val="5E0707E8"/>
    <w:rsid w:val="5E0A2849"/>
    <w:rsid w:val="5E111E29"/>
    <w:rsid w:val="5E134BAB"/>
    <w:rsid w:val="5E20040A"/>
    <w:rsid w:val="5E345B18"/>
    <w:rsid w:val="5E421FE3"/>
    <w:rsid w:val="5E4265D8"/>
    <w:rsid w:val="5E451AD3"/>
    <w:rsid w:val="5E604B5F"/>
    <w:rsid w:val="5E692D38"/>
    <w:rsid w:val="5E820631"/>
    <w:rsid w:val="5E84084D"/>
    <w:rsid w:val="5E8545C5"/>
    <w:rsid w:val="5E9F7435"/>
    <w:rsid w:val="5EB6652D"/>
    <w:rsid w:val="5ECC503A"/>
    <w:rsid w:val="5EDB32E9"/>
    <w:rsid w:val="5EE706A0"/>
    <w:rsid w:val="5EE72B8A"/>
    <w:rsid w:val="5EE94B54"/>
    <w:rsid w:val="5F1C6CD8"/>
    <w:rsid w:val="5F1E5D42"/>
    <w:rsid w:val="5F3D09FC"/>
    <w:rsid w:val="5F530220"/>
    <w:rsid w:val="5F5F4E16"/>
    <w:rsid w:val="5F693F19"/>
    <w:rsid w:val="5F7206A6"/>
    <w:rsid w:val="5F7C7776"/>
    <w:rsid w:val="5F826E4A"/>
    <w:rsid w:val="5F9C7408"/>
    <w:rsid w:val="5F9E4C02"/>
    <w:rsid w:val="5FA840C8"/>
    <w:rsid w:val="5FAB3BB8"/>
    <w:rsid w:val="5FBA204D"/>
    <w:rsid w:val="5FC44C79"/>
    <w:rsid w:val="5FC6687A"/>
    <w:rsid w:val="5FD50164"/>
    <w:rsid w:val="5FDC0215"/>
    <w:rsid w:val="5FE32110"/>
    <w:rsid w:val="5FF368C7"/>
    <w:rsid w:val="5FF36EF7"/>
    <w:rsid w:val="60001041"/>
    <w:rsid w:val="6001000E"/>
    <w:rsid w:val="600A4D82"/>
    <w:rsid w:val="601614EA"/>
    <w:rsid w:val="601D2D02"/>
    <w:rsid w:val="60206354"/>
    <w:rsid w:val="60234096"/>
    <w:rsid w:val="603269C5"/>
    <w:rsid w:val="603C4F45"/>
    <w:rsid w:val="60412942"/>
    <w:rsid w:val="604A33D1"/>
    <w:rsid w:val="60502867"/>
    <w:rsid w:val="60591866"/>
    <w:rsid w:val="606D70BF"/>
    <w:rsid w:val="6082700E"/>
    <w:rsid w:val="60996106"/>
    <w:rsid w:val="609B31DB"/>
    <w:rsid w:val="60B91BB9"/>
    <w:rsid w:val="60BB42CE"/>
    <w:rsid w:val="60BD3BA3"/>
    <w:rsid w:val="60C57A73"/>
    <w:rsid w:val="60D67189"/>
    <w:rsid w:val="60E80579"/>
    <w:rsid w:val="60E90E3C"/>
    <w:rsid w:val="61014BFE"/>
    <w:rsid w:val="61054302"/>
    <w:rsid w:val="610D26F0"/>
    <w:rsid w:val="61161505"/>
    <w:rsid w:val="6117616E"/>
    <w:rsid w:val="611A7CF9"/>
    <w:rsid w:val="61326E36"/>
    <w:rsid w:val="61333339"/>
    <w:rsid w:val="61424EA8"/>
    <w:rsid w:val="6146003C"/>
    <w:rsid w:val="61483897"/>
    <w:rsid w:val="61570FE7"/>
    <w:rsid w:val="6185280B"/>
    <w:rsid w:val="61885810"/>
    <w:rsid w:val="6190054A"/>
    <w:rsid w:val="619012B7"/>
    <w:rsid w:val="61931174"/>
    <w:rsid w:val="61A22D98"/>
    <w:rsid w:val="61A42FB4"/>
    <w:rsid w:val="61A4637B"/>
    <w:rsid w:val="61AE1836"/>
    <w:rsid w:val="61D85E1C"/>
    <w:rsid w:val="61E513DE"/>
    <w:rsid w:val="61ED6709"/>
    <w:rsid w:val="62206ADF"/>
    <w:rsid w:val="6227605C"/>
    <w:rsid w:val="622B7232"/>
    <w:rsid w:val="623F643D"/>
    <w:rsid w:val="624B3710"/>
    <w:rsid w:val="624C78D4"/>
    <w:rsid w:val="624E4600"/>
    <w:rsid w:val="624F12C5"/>
    <w:rsid w:val="6260512D"/>
    <w:rsid w:val="62650996"/>
    <w:rsid w:val="627608AD"/>
    <w:rsid w:val="628D57F7"/>
    <w:rsid w:val="62BA1DF8"/>
    <w:rsid w:val="62C83A1C"/>
    <w:rsid w:val="62D17BEE"/>
    <w:rsid w:val="630C0E11"/>
    <w:rsid w:val="63252A47"/>
    <w:rsid w:val="632A2AA3"/>
    <w:rsid w:val="634756B6"/>
    <w:rsid w:val="635B76A3"/>
    <w:rsid w:val="635F3637"/>
    <w:rsid w:val="63901A42"/>
    <w:rsid w:val="639037F0"/>
    <w:rsid w:val="639C3F43"/>
    <w:rsid w:val="63AD6150"/>
    <w:rsid w:val="63B514A9"/>
    <w:rsid w:val="63C65464"/>
    <w:rsid w:val="63D50BF2"/>
    <w:rsid w:val="63E67BC7"/>
    <w:rsid w:val="63F20007"/>
    <w:rsid w:val="63FD075A"/>
    <w:rsid w:val="640E256A"/>
    <w:rsid w:val="64122457"/>
    <w:rsid w:val="64483025"/>
    <w:rsid w:val="6448522A"/>
    <w:rsid w:val="644D7933"/>
    <w:rsid w:val="64502F80"/>
    <w:rsid w:val="645F1255"/>
    <w:rsid w:val="647D22E0"/>
    <w:rsid w:val="647F6BF5"/>
    <w:rsid w:val="64801AB7"/>
    <w:rsid w:val="64850E7B"/>
    <w:rsid w:val="64890365"/>
    <w:rsid w:val="648B3FB8"/>
    <w:rsid w:val="64C12B10"/>
    <w:rsid w:val="64C61CA6"/>
    <w:rsid w:val="64E06A5F"/>
    <w:rsid w:val="64E262CE"/>
    <w:rsid w:val="64E36D74"/>
    <w:rsid w:val="64E64C4F"/>
    <w:rsid w:val="64EF6909"/>
    <w:rsid w:val="65053D6A"/>
    <w:rsid w:val="651144BD"/>
    <w:rsid w:val="65165F77"/>
    <w:rsid w:val="651A5A67"/>
    <w:rsid w:val="651E6BDA"/>
    <w:rsid w:val="6522412D"/>
    <w:rsid w:val="65270BAA"/>
    <w:rsid w:val="65332685"/>
    <w:rsid w:val="65363F24"/>
    <w:rsid w:val="654725D5"/>
    <w:rsid w:val="654E74BF"/>
    <w:rsid w:val="655C3236"/>
    <w:rsid w:val="656D3445"/>
    <w:rsid w:val="657044E0"/>
    <w:rsid w:val="65763C78"/>
    <w:rsid w:val="65870C23"/>
    <w:rsid w:val="65986138"/>
    <w:rsid w:val="659C3BE1"/>
    <w:rsid w:val="65B347E1"/>
    <w:rsid w:val="65B545FF"/>
    <w:rsid w:val="65CE0600"/>
    <w:rsid w:val="65D200F0"/>
    <w:rsid w:val="65D71F5D"/>
    <w:rsid w:val="65E864A3"/>
    <w:rsid w:val="65E87914"/>
    <w:rsid w:val="6623094C"/>
    <w:rsid w:val="66277E08"/>
    <w:rsid w:val="66383CCB"/>
    <w:rsid w:val="663902D2"/>
    <w:rsid w:val="664275D6"/>
    <w:rsid w:val="6645639C"/>
    <w:rsid w:val="66467922"/>
    <w:rsid w:val="665E1984"/>
    <w:rsid w:val="6664539E"/>
    <w:rsid w:val="6665410E"/>
    <w:rsid w:val="667E3DD4"/>
    <w:rsid w:val="6683081A"/>
    <w:rsid w:val="66A23F66"/>
    <w:rsid w:val="66A8086C"/>
    <w:rsid w:val="66AF3F8D"/>
    <w:rsid w:val="66BB2407"/>
    <w:rsid w:val="66E47883"/>
    <w:rsid w:val="66EF79D9"/>
    <w:rsid w:val="670361B5"/>
    <w:rsid w:val="6708306A"/>
    <w:rsid w:val="671516C4"/>
    <w:rsid w:val="67323AF9"/>
    <w:rsid w:val="67326D16"/>
    <w:rsid w:val="67352362"/>
    <w:rsid w:val="6736501F"/>
    <w:rsid w:val="6745659E"/>
    <w:rsid w:val="67651FA7"/>
    <w:rsid w:val="67674868"/>
    <w:rsid w:val="67684445"/>
    <w:rsid w:val="676E3E49"/>
    <w:rsid w:val="677376B1"/>
    <w:rsid w:val="677A0A3F"/>
    <w:rsid w:val="678518D6"/>
    <w:rsid w:val="678E44EB"/>
    <w:rsid w:val="67AF7FBD"/>
    <w:rsid w:val="67B53C12"/>
    <w:rsid w:val="67C73559"/>
    <w:rsid w:val="67CD3770"/>
    <w:rsid w:val="67CD5013"/>
    <w:rsid w:val="67D07FE2"/>
    <w:rsid w:val="67D839B8"/>
    <w:rsid w:val="67D85766"/>
    <w:rsid w:val="67E22141"/>
    <w:rsid w:val="67EB7247"/>
    <w:rsid w:val="67F105D6"/>
    <w:rsid w:val="681D13CB"/>
    <w:rsid w:val="687A681D"/>
    <w:rsid w:val="688F22C8"/>
    <w:rsid w:val="68907DEF"/>
    <w:rsid w:val="68B166E3"/>
    <w:rsid w:val="68C23469"/>
    <w:rsid w:val="68DB72BC"/>
    <w:rsid w:val="68E83068"/>
    <w:rsid w:val="68F16ADF"/>
    <w:rsid w:val="68F865F0"/>
    <w:rsid w:val="69050904"/>
    <w:rsid w:val="69117181"/>
    <w:rsid w:val="69330C2E"/>
    <w:rsid w:val="6933534A"/>
    <w:rsid w:val="693A33BA"/>
    <w:rsid w:val="693F249D"/>
    <w:rsid w:val="697B7247"/>
    <w:rsid w:val="6984338D"/>
    <w:rsid w:val="69845BA5"/>
    <w:rsid w:val="698A2A90"/>
    <w:rsid w:val="698C4A5A"/>
    <w:rsid w:val="698E2580"/>
    <w:rsid w:val="69C51D1A"/>
    <w:rsid w:val="69C6636D"/>
    <w:rsid w:val="69CE4CB7"/>
    <w:rsid w:val="69CE5072"/>
    <w:rsid w:val="69E13284"/>
    <w:rsid w:val="6A0212C3"/>
    <w:rsid w:val="6A1F4A6E"/>
    <w:rsid w:val="6A4F2369"/>
    <w:rsid w:val="6A5135AE"/>
    <w:rsid w:val="6A5F216E"/>
    <w:rsid w:val="6A652BDD"/>
    <w:rsid w:val="6A674B7F"/>
    <w:rsid w:val="6A707ED8"/>
    <w:rsid w:val="6A78728D"/>
    <w:rsid w:val="6A7F45BF"/>
    <w:rsid w:val="6A7F5A7E"/>
    <w:rsid w:val="6A824822"/>
    <w:rsid w:val="6AA36AD3"/>
    <w:rsid w:val="6AAC690A"/>
    <w:rsid w:val="6ABA73A5"/>
    <w:rsid w:val="6AC152D3"/>
    <w:rsid w:val="6ACB7804"/>
    <w:rsid w:val="6ACE0429"/>
    <w:rsid w:val="6AD84565"/>
    <w:rsid w:val="6AE461D0"/>
    <w:rsid w:val="6AE87A3C"/>
    <w:rsid w:val="6AE90161"/>
    <w:rsid w:val="6AE951E2"/>
    <w:rsid w:val="6B0600A5"/>
    <w:rsid w:val="6B084016"/>
    <w:rsid w:val="6B182A49"/>
    <w:rsid w:val="6B206655"/>
    <w:rsid w:val="6B2308E7"/>
    <w:rsid w:val="6B47242E"/>
    <w:rsid w:val="6B4B0201"/>
    <w:rsid w:val="6B4B287D"/>
    <w:rsid w:val="6B5F8B7E"/>
    <w:rsid w:val="6B7B2FD8"/>
    <w:rsid w:val="6B7E03D2"/>
    <w:rsid w:val="6B8005EE"/>
    <w:rsid w:val="6B805A13"/>
    <w:rsid w:val="6B823440"/>
    <w:rsid w:val="6B8D4A58"/>
    <w:rsid w:val="6B9E7DD5"/>
    <w:rsid w:val="6BA07176"/>
    <w:rsid w:val="6BAC13E3"/>
    <w:rsid w:val="6BB048D1"/>
    <w:rsid w:val="6BB901E6"/>
    <w:rsid w:val="6BCC6446"/>
    <w:rsid w:val="6BE57CF2"/>
    <w:rsid w:val="6C050046"/>
    <w:rsid w:val="6C094140"/>
    <w:rsid w:val="6C1314FA"/>
    <w:rsid w:val="6C2600DB"/>
    <w:rsid w:val="6C327B3B"/>
    <w:rsid w:val="6C375151"/>
    <w:rsid w:val="6C385CB7"/>
    <w:rsid w:val="6C435214"/>
    <w:rsid w:val="6C4F5FC2"/>
    <w:rsid w:val="6C784200"/>
    <w:rsid w:val="6C8C0E56"/>
    <w:rsid w:val="6CAB3449"/>
    <w:rsid w:val="6CB46277"/>
    <w:rsid w:val="6CD6400E"/>
    <w:rsid w:val="6CD97FB6"/>
    <w:rsid w:val="6CE8644B"/>
    <w:rsid w:val="6D017EA8"/>
    <w:rsid w:val="6D0A150A"/>
    <w:rsid w:val="6D147898"/>
    <w:rsid w:val="6D163912"/>
    <w:rsid w:val="6D480C98"/>
    <w:rsid w:val="6D4F33F7"/>
    <w:rsid w:val="6D5C1224"/>
    <w:rsid w:val="6D5F2A89"/>
    <w:rsid w:val="6D6C2BD8"/>
    <w:rsid w:val="6D716FED"/>
    <w:rsid w:val="6D725D15"/>
    <w:rsid w:val="6D9E4D5C"/>
    <w:rsid w:val="6DA87988"/>
    <w:rsid w:val="6DB50C6B"/>
    <w:rsid w:val="6DB84E4F"/>
    <w:rsid w:val="6DBB3160"/>
    <w:rsid w:val="6DC72505"/>
    <w:rsid w:val="6DD318FB"/>
    <w:rsid w:val="6DDE3342"/>
    <w:rsid w:val="6DE45640"/>
    <w:rsid w:val="6DE76703"/>
    <w:rsid w:val="6E02353D"/>
    <w:rsid w:val="6E0628E0"/>
    <w:rsid w:val="6E0C7F17"/>
    <w:rsid w:val="6E0D467C"/>
    <w:rsid w:val="6E0E43A1"/>
    <w:rsid w:val="6E134AF8"/>
    <w:rsid w:val="6E141101"/>
    <w:rsid w:val="6E241705"/>
    <w:rsid w:val="6E3C5593"/>
    <w:rsid w:val="6E3E5B59"/>
    <w:rsid w:val="6E571528"/>
    <w:rsid w:val="6E5813AF"/>
    <w:rsid w:val="6E71421E"/>
    <w:rsid w:val="6E804461"/>
    <w:rsid w:val="6EC86534"/>
    <w:rsid w:val="6EE67581"/>
    <w:rsid w:val="6F080F6E"/>
    <w:rsid w:val="6F2B0871"/>
    <w:rsid w:val="6F3F69A3"/>
    <w:rsid w:val="6F45170E"/>
    <w:rsid w:val="6F490CF7"/>
    <w:rsid w:val="6F492E06"/>
    <w:rsid w:val="6F4A519B"/>
    <w:rsid w:val="6F73491F"/>
    <w:rsid w:val="6F793C80"/>
    <w:rsid w:val="6F7E3097"/>
    <w:rsid w:val="6F854425"/>
    <w:rsid w:val="6F9D45BD"/>
    <w:rsid w:val="6FA75122"/>
    <w:rsid w:val="6FAB63A9"/>
    <w:rsid w:val="6FAE2100"/>
    <w:rsid w:val="6FB16FC8"/>
    <w:rsid w:val="6FB26199"/>
    <w:rsid w:val="6FBB1BF5"/>
    <w:rsid w:val="6FC0720B"/>
    <w:rsid w:val="6FCB36BA"/>
    <w:rsid w:val="6FE612E2"/>
    <w:rsid w:val="6FFF3CE8"/>
    <w:rsid w:val="700A0487"/>
    <w:rsid w:val="70312678"/>
    <w:rsid w:val="703300B9"/>
    <w:rsid w:val="703F09D9"/>
    <w:rsid w:val="704476FF"/>
    <w:rsid w:val="704716DB"/>
    <w:rsid w:val="705362D1"/>
    <w:rsid w:val="7073427E"/>
    <w:rsid w:val="70A97C9F"/>
    <w:rsid w:val="70B328CC"/>
    <w:rsid w:val="70D7582F"/>
    <w:rsid w:val="70D94A29"/>
    <w:rsid w:val="70DF5DB7"/>
    <w:rsid w:val="70EC18B8"/>
    <w:rsid w:val="70F159CB"/>
    <w:rsid w:val="70F52C1D"/>
    <w:rsid w:val="710029FC"/>
    <w:rsid w:val="71015D2D"/>
    <w:rsid w:val="711060E4"/>
    <w:rsid w:val="71155335"/>
    <w:rsid w:val="71327C95"/>
    <w:rsid w:val="714B3DD7"/>
    <w:rsid w:val="71542301"/>
    <w:rsid w:val="715C74DB"/>
    <w:rsid w:val="71662034"/>
    <w:rsid w:val="716D6F1F"/>
    <w:rsid w:val="717402AD"/>
    <w:rsid w:val="718D5813"/>
    <w:rsid w:val="718F21C8"/>
    <w:rsid w:val="71A212BE"/>
    <w:rsid w:val="71AF12E6"/>
    <w:rsid w:val="71B308F2"/>
    <w:rsid w:val="71B41DC8"/>
    <w:rsid w:val="71D62D16"/>
    <w:rsid w:val="71DD3CD9"/>
    <w:rsid w:val="71E12BA0"/>
    <w:rsid w:val="71F16786"/>
    <w:rsid w:val="71F64F7F"/>
    <w:rsid w:val="72082B8A"/>
    <w:rsid w:val="72134425"/>
    <w:rsid w:val="7238577F"/>
    <w:rsid w:val="7249798C"/>
    <w:rsid w:val="724F1CF9"/>
    <w:rsid w:val="725734EE"/>
    <w:rsid w:val="725D51E5"/>
    <w:rsid w:val="7266580F"/>
    <w:rsid w:val="7267556F"/>
    <w:rsid w:val="726A16B0"/>
    <w:rsid w:val="726E73F3"/>
    <w:rsid w:val="727137EF"/>
    <w:rsid w:val="728B118D"/>
    <w:rsid w:val="729A75CE"/>
    <w:rsid w:val="72AA7D31"/>
    <w:rsid w:val="72AC1CC9"/>
    <w:rsid w:val="72C54B39"/>
    <w:rsid w:val="72CB65F3"/>
    <w:rsid w:val="72D40CB6"/>
    <w:rsid w:val="72EE5E3E"/>
    <w:rsid w:val="72F62470"/>
    <w:rsid w:val="72F62F44"/>
    <w:rsid w:val="72FA74C9"/>
    <w:rsid w:val="72FEF5FF"/>
    <w:rsid w:val="73027B3B"/>
    <w:rsid w:val="730613D9"/>
    <w:rsid w:val="73117D7E"/>
    <w:rsid w:val="732E7F80"/>
    <w:rsid w:val="733C48D9"/>
    <w:rsid w:val="736B748E"/>
    <w:rsid w:val="73700F48"/>
    <w:rsid w:val="73706C9F"/>
    <w:rsid w:val="73814F04"/>
    <w:rsid w:val="739369E5"/>
    <w:rsid w:val="73A11051"/>
    <w:rsid w:val="73A925B8"/>
    <w:rsid w:val="73AD0F2F"/>
    <w:rsid w:val="73AF1A71"/>
    <w:rsid w:val="73B9469D"/>
    <w:rsid w:val="73BD558A"/>
    <w:rsid w:val="73EB18BC"/>
    <w:rsid w:val="73ED329C"/>
    <w:rsid w:val="73F05BE5"/>
    <w:rsid w:val="74181EB8"/>
    <w:rsid w:val="7420471D"/>
    <w:rsid w:val="743431B5"/>
    <w:rsid w:val="74363F40"/>
    <w:rsid w:val="74556698"/>
    <w:rsid w:val="745708AE"/>
    <w:rsid w:val="746A5998"/>
    <w:rsid w:val="746D7236"/>
    <w:rsid w:val="74890514"/>
    <w:rsid w:val="7496678D"/>
    <w:rsid w:val="749A27D1"/>
    <w:rsid w:val="74B24136"/>
    <w:rsid w:val="74B542D0"/>
    <w:rsid w:val="74C57072"/>
    <w:rsid w:val="74C652C4"/>
    <w:rsid w:val="74CB20C3"/>
    <w:rsid w:val="74CF1C9F"/>
    <w:rsid w:val="74D86DA5"/>
    <w:rsid w:val="74DE6FFC"/>
    <w:rsid w:val="74E82EC6"/>
    <w:rsid w:val="74FC6F38"/>
    <w:rsid w:val="75044FA2"/>
    <w:rsid w:val="75057917"/>
    <w:rsid w:val="75093403"/>
    <w:rsid w:val="750E0A19"/>
    <w:rsid w:val="75155DA8"/>
    <w:rsid w:val="7522034F"/>
    <w:rsid w:val="752734F6"/>
    <w:rsid w:val="753164B5"/>
    <w:rsid w:val="75497CA3"/>
    <w:rsid w:val="75530B22"/>
    <w:rsid w:val="755A101E"/>
    <w:rsid w:val="755D54FC"/>
    <w:rsid w:val="755F1275"/>
    <w:rsid w:val="75686ECF"/>
    <w:rsid w:val="758160FE"/>
    <w:rsid w:val="75842A89"/>
    <w:rsid w:val="75893E7A"/>
    <w:rsid w:val="759058D2"/>
    <w:rsid w:val="75907A1B"/>
    <w:rsid w:val="759E56A7"/>
    <w:rsid w:val="75A629FF"/>
    <w:rsid w:val="75AD3016"/>
    <w:rsid w:val="75B92154"/>
    <w:rsid w:val="75BC54E7"/>
    <w:rsid w:val="75BE21F1"/>
    <w:rsid w:val="75C2673F"/>
    <w:rsid w:val="75C612F4"/>
    <w:rsid w:val="75CA0DE4"/>
    <w:rsid w:val="75CE20DC"/>
    <w:rsid w:val="75D629D6"/>
    <w:rsid w:val="75EE4583"/>
    <w:rsid w:val="75FF78B4"/>
    <w:rsid w:val="7608190C"/>
    <w:rsid w:val="76564426"/>
    <w:rsid w:val="76642C4E"/>
    <w:rsid w:val="766E6510"/>
    <w:rsid w:val="767B10A1"/>
    <w:rsid w:val="76944BF2"/>
    <w:rsid w:val="76A21419"/>
    <w:rsid w:val="76A258BD"/>
    <w:rsid w:val="76A72ED3"/>
    <w:rsid w:val="76B02C89"/>
    <w:rsid w:val="76C91FF0"/>
    <w:rsid w:val="76D34C1D"/>
    <w:rsid w:val="76ED6818"/>
    <w:rsid w:val="76F610DA"/>
    <w:rsid w:val="76FA0044"/>
    <w:rsid w:val="770164D0"/>
    <w:rsid w:val="77075720"/>
    <w:rsid w:val="771D701C"/>
    <w:rsid w:val="772868BF"/>
    <w:rsid w:val="772E3584"/>
    <w:rsid w:val="7734348A"/>
    <w:rsid w:val="773D55E5"/>
    <w:rsid w:val="775F0788"/>
    <w:rsid w:val="776C61B1"/>
    <w:rsid w:val="777D3BB6"/>
    <w:rsid w:val="777D59E2"/>
    <w:rsid w:val="7787089B"/>
    <w:rsid w:val="77883F62"/>
    <w:rsid w:val="77893160"/>
    <w:rsid w:val="778A61BA"/>
    <w:rsid w:val="77903967"/>
    <w:rsid w:val="779A422B"/>
    <w:rsid w:val="77BE13A9"/>
    <w:rsid w:val="77C74EAF"/>
    <w:rsid w:val="77D01E8D"/>
    <w:rsid w:val="77D33AB2"/>
    <w:rsid w:val="77EA23DD"/>
    <w:rsid w:val="77FA53CA"/>
    <w:rsid w:val="78023F60"/>
    <w:rsid w:val="781E0F73"/>
    <w:rsid w:val="782A3DBC"/>
    <w:rsid w:val="78556D23"/>
    <w:rsid w:val="785F24DC"/>
    <w:rsid w:val="78670B6C"/>
    <w:rsid w:val="786F0E55"/>
    <w:rsid w:val="78891122"/>
    <w:rsid w:val="789A5C31"/>
    <w:rsid w:val="78B03D19"/>
    <w:rsid w:val="78B43685"/>
    <w:rsid w:val="78B638A1"/>
    <w:rsid w:val="78C5456F"/>
    <w:rsid w:val="78C55892"/>
    <w:rsid w:val="78C733B9"/>
    <w:rsid w:val="78D6184E"/>
    <w:rsid w:val="78D930EC"/>
    <w:rsid w:val="78EA354B"/>
    <w:rsid w:val="78F32400"/>
    <w:rsid w:val="792817E3"/>
    <w:rsid w:val="79353545"/>
    <w:rsid w:val="79433C58"/>
    <w:rsid w:val="7956298E"/>
    <w:rsid w:val="795B7FA5"/>
    <w:rsid w:val="7969375C"/>
    <w:rsid w:val="79713B2E"/>
    <w:rsid w:val="797A06D0"/>
    <w:rsid w:val="7994682D"/>
    <w:rsid w:val="79955265"/>
    <w:rsid w:val="7999512B"/>
    <w:rsid w:val="79FE105C"/>
    <w:rsid w:val="79FF3026"/>
    <w:rsid w:val="7A146AD1"/>
    <w:rsid w:val="7A4078C7"/>
    <w:rsid w:val="7A440A39"/>
    <w:rsid w:val="7A444A03"/>
    <w:rsid w:val="7A7E219D"/>
    <w:rsid w:val="7A7F0743"/>
    <w:rsid w:val="7A8157E9"/>
    <w:rsid w:val="7A8E4014"/>
    <w:rsid w:val="7A916128"/>
    <w:rsid w:val="7A9279F6"/>
    <w:rsid w:val="7A9B68AB"/>
    <w:rsid w:val="7AA81E26"/>
    <w:rsid w:val="7AB61931"/>
    <w:rsid w:val="7ACF29F8"/>
    <w:rsid w:val="7ADA0FB5"/>
    <w:rsid w:val="7AE81024"/>
    <w:rsid w:val="7AED0CE2"/>
    <w:rsid w:val="7B034450"/>
    <w:rsid w:val="7B1E74DC"/>
    <w:rsid w:val="7B2C7E4B"/>
    <w:rsid w:val="7B9B454E"/>
    <w:rsid w:val="7BA07EF1"/>
    <w:rsid w:val="7BAC4AE8"/>
    <w:rsid w:val="7BAE72F3"/>
    <w:rsid w:val="7BB4572B"/>
    <w:rsid w:val="7BBF09ED"/>
    <w:rsid w:val="7BC736D0"/>
    <w:rsid w:val="7BFE2A0C"/>
    <w:rsid w:val="7C042B76"/>
    <w:rsid w:val="7C1F1567"/>
    <w:rsid w:val="7C3A702B"/>
    <w:rsid w:val="7C424EE1"/>
    <w:rsid w:val="7C5238E1"/>
    <w:rsid w:val="7C635AEE"/>
    <w:rsid w:val="7C680FF5"/>
    <w:rsid w:val="7C6E4C43"/>
    <w:rsid w:val="7C7712BF"/>
    <w:rsid w:val="7C7F5324"/>
    <w:rsid w:val="7C8133D1"/>
    <w:rsid w:val="7C8F2F03"/>
    <w:rsid w:val="7C943EFA"/>
    <w:rsid w:val="7CA6260B"/>
    <w:rsid w:val="7CAD6D69"/>
    <w:rsid w:val="7CE04241"/>
    <w:rsid w:val="7CE64029"/>
    <w:rsid w:val="7CF6426C"/>
    <w:rsid w:val="7CFB217F"/>
    <w:rsid w:val="7D140E89"/>
    <w:rsid w:val="7D1A0010"/>
    <w:rsid w:val="7D1D3EEF"/>
    <w:rsid w:val="7D2034C5"/>
    <w:rsid w:val="7D246E30"/>
    <w:rsid w:val="7D3B6123"/>
    <w:rsid w:val="7D40373A"/>
    <w:rsid w:val="7D50271C"/>
    <w:rsid w:val="7D5D253D"/>
    <w:rsid w:val="7D752390"/>
    <w:rsid w:val="7D7C3A0F"/>
    <w:rsid w:val="7D7D67EC"/>
    <w:rsid w:val="7D9121E7"/>
    <w:rsid w:val="7D93039E"/>
    <w:rsid w:val="7D983576"/>
    <w:rsid w:val="7DA57A41"/>
    <w:rsid w:val="7DB303AF"/>
    <w:rsid w:val="7DB37010"/>
    <w:rsid w:val="7DDC06B3"/>
    <w:rsid w:val="7DE23245"/>
    <w:rsid w:val="7DE46722"/>
    <w:rsid w:val="7DED3CF7"/>
    <w:rsid w:val="7DEF0559"/>
    <w:rsid w:val="7DFF1847"/>
    <w:rsid w:val="7E065925"/>
    <w:rsid w:val="7E097FCF"/>
    <w:rsid w:val="7E260B81"/>
    <w:rsid w:val="7E327526"/>
    <w:rsid w:val="7E3314F0"/>
    <w:rsid w:val="7E4D4360"/>
    <w:rsid w:val="7E4E0F4F"/>
    <w:rsid w:val="7E503E50"/>
    <w:rsid w:val="7E574FFC"/>
    <w:rsid w:val="7E633B84"/>
    <w:rsid w:val="7E6A7F71"/>
    <w:rsid w:val="7E8D5CA6"/>
    <w:rsid w:val="7E9006F1"/>
    <w:rsid w:val="7EB53AC4"/>
    <w:rsid w:val="7EB578F0"/>
    <w:rsid w:val="7EB937A4"/>
    <w:rsid w:val="7EBF171C"/>
    <w:rsid w:val="7EF7251E"/>
    <w:rsid w:val="7F0A5720"/>
    <w:rsid w:val="7F0F14AB"/>
    <w:rsid w:val="7F10538E"/>
    <w:rsid w:val="7F2D4191"/>
    <w:rsid w:val="7F370B6C"/>
    <w:rsid w:val="7F5148BD"/>
    <w:rsid w:val="7F5E259D"/>
    <w:rsid w:val="7F601E71"/>
    <w:rsid w:val="7F8151D5"/>
    <w:rsid w:val="7FB06221"/>
    <w:rsid w:val="7FB4040F"/>
    <w:rsid w:val="7FBC503E"/>
    <w:rsid w:val="7FC05006"/>
    <w:rsid w:val="7FCB64FD"/>
    <w:rsid w:val="7FD44F50"/>
    <w:rsid w:val="7FD750CF"/>
    <w:rsid w:val="7FE04971"/>
    <w:rsid w:val="7FE505C8"/>
    <w:rsid w:val="7FE64A6C"/>
    <w:rsid w:val="7FF74C00"/>
    <w:rsid w:val="7FF76C79"/>
    <w:rsid w:val="7FFA5E96"/>
    <w:rsid w:val="7FFE14FB"/>
    <w:rsid w:val="AF9F6310"/>
    <w:rsid w:val="BFBF1BCE"/>
    <w:rsid w:val="BFFF2117"/>
    <w:rsid w:val="DC278034"/>
    <w:rsid w:val="F7FD7CF5"/>
    <w:rsid w:val="FDF342B6"/>
    <w:rsid w:val="FFBBFC1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8"/>
    <w:qFormat/>
    <w:uiPriority w:val="9"/>
    <w:pPr>
      <w:keepNext/>
      <w:jc w:val="center"/>
      <w:outlineLvl w:val="0"/>
    </w:pPr>
    <w:rPr>
      <w:rFonts w:ascii="Times New Roman" w:hAnsi="Times New Roman" w:eastAsia="黑体"/>
      <w:b/>
      <w:kern w:val="0"/>
      <w:sz w:val="32"/>
    </w:rPr>
  </w:style>
  <w:style w:type="paragraph" w:styleId="3">
    <w:name w:val="heading 2"/>
    <w:basedOn w:val="1"/>
    <w:next w:val="1"/>
    <w:qFormat/>
    <w:uiPriority w:val="0"/>
    <w:pPr>
      <w:keepNext/>
      <w:keepLines/>
      <w:spacing w:line="416" w:lineRule="auto"/>
      <w:outlineLvl w:val="1"/>
    </w:pPr>
    <w:rPr>
      <w:rFonts w:ascii="Arial" w:hAnsi="Arial" w:eastAsia="黑体"/>
      <w:b/>
      <w:bCs/>
      <w:sz w:val="28"/>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spacing w:before="100" w:beforeAutospacing="1" w:after="100" w:afterAutospacing="1"/>
      <w:jc w:val="left"/>
      <w:outlineLvl w:val="3"/>
    </w:pPr>
    <w:rPr>
      <w:rFonts w:hint="eastAsia" w:ascii="宋体" w:hAnsi="宋体" w:eastAsia="宋体" w:cs="宋体"/>
      <w:b/>
      <w:kern w:val="0"/>
      <w:sz w:val="24"/>
      <w:szCs w:val="24"/>
      <w:lang w:val="en-US" w:eastAsia="zh-CN" w:bidi="ar"/>
    </w:rPr>
  </w:style>
  <w:style w:type="paragraph" w:styleId="6">
    <w:name w:val="heading 5"/>
    <w:basedOn w:val="1"/>
    <w:next w:val="1"/>
    <w:qFormat/>
    <w:uiPriority w:val="9"/>
    <w:pPr>
      <w:keepNext/>
      <w:keepLines/>
      <w:spacing w:before="280" w:after="290" w:line="376" w:lineRule="auto"/>
      <w:outlineLvl w:val="4"/>
    </w:pPr>
    <w:rPr>
      <w:b/>
      <w:bCs/>
      <w:sz w:val="28"/>
      <w:szCs w:val="28"/>
    </w:rPr>
  </w:style>
  <w:style w:type="paragraph" w:styleId="7">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41">
    <w:name w:val="Default Paragraph Font"/>
    <w:semiHidden/>
    <w:qFormat/>
    <w:uiPriority w:val="0"/>
  </w:style>
  <w:style w:type="table" w:default="1" w:styleId="39">
    <w:name w:val="Normal Table"/>
    <w:semiHidden/>
    <w:qFormat/>
    <w:uiPriority w:val="0"/>
    <w:tblPr>
      <w:tblCellMar>
        <w:top w:w="0" w:type="dxa"/>
        <w:left w:w="108" w:type="dxa"/>
        <w:bottom w:w="0" w:type="dxa"/>
        <w:right w:w="108" w:type="dxa"/>
      </w:tblCellMar>
    </w:tblPr>
  </w:style>
  <w:style w:type="paragraph" w:styleId="8">
    <w:name w:val="toc 7"/>
    <w:basedOn w:val="1"/>
    <w:next w:val="1"/>
    <w:qFormat/>
    <w:uiPriority w:val="0"/>
    <w:pPr>
      <w:ind w:left="1260"/>
      <w:jc w:val="left"/>
    </w:pPr>
    <w:rPr>
      <w:rFonts w:ascii="Calibri" w:hAnsi="Calibri" w:cs="Calibri"/>
      <w:sz w:val="18"/>
      <w:szCs w:val="18"/>
    </w:rPr>
  </w:style>
  <w:style w:type="paragraph" w:styleId="9">
    <w:name w:val="Normal Indent"/>
    <w:basedOn w:val="1"/>
    <w:link w:val="49"/>
    <w:qFormat/>
    <w:uiPriority w:val="0"/>
    <w:pPr>
      <w:ind w:firstLine="420" w:firstLineChars="200"/>
    </w:pPr>
    <w:rPr>
      <w:rFonts w:ascii="Calibri" w:hAnsi="Calibri"/>
      <w:kern w:val="0"/>
      <w:sz w:val="20"/>
    </w:rPr>
  </w:style>
  <w:style w:type="paragraph" w:styleId="10">
    <w:name w:val="Document Map"/>
    <w:basedOn w:val="1"/>
    <w:qFormat/>
    <w:uiPriority w:val="0"/>
    <w:pPr>
      <w:numPr>
        <w:ilvl w:val="2"/>
        <w:numId w:val="1"/>
      </w:numPr>
      <w:shd w:val="clear" w:color="auto" w:fill="000080"/>
      <w:ind w:left="0" w:firstLine="0"/>
    </w:pPr>
    <w:rPr>
      <w:rFonts w:ascii="Calibri" w:hAnsi="Calibri" w:eastAsia="宋体" w:cs="Times New Roman"/>
    </w:rPr>
  </w:style>
  <w:style w:type="paragraph" w:styleId="11">
    <w:name w:val="toa heading"/>
    <w:basedOn w:val="1"/>
    <w:next w:val="1"/>
    <w:qFormat/>
    <w:uiPriority w:val="0"/>
    <w:pPr>
      <w:spacing w:before="120"/>
    </w:pPr>
    <w:rPr>
      <w:rFonts w:ascii="Arial" w:hAnsi="Arial"/>
      <w:b/>
      <w:bCs/>
    </w:rPr>
  </w:style>
  <w:style w:type="paragraph" w:styleId="12">
    <w:name w:val="annotation text"/>
    <w:basedOn w:val="1"/>
    <w:link w:val="50"/>
    <w:qFormat/>
    <w:uiPriority w:val="0"/>
    <w:pPr>
      <w:jc w:val="left"/>
    </w:pPr>
  </w:style>
  <w:style w:type="paragraph" w:styleId="13">
    <w:name w:val="Body Text 3"/>
    <w:basedOn w:val="1"/>
    <w:qFormat/>
    <w:uiPriority w:val="0"/>
    <w:pPr>
      <w:spacing w:after="120"/>
    </w:pPr>
    <w:rPr>
      <w:sz w:val="16"/>
      <w:szCs w:val="16"/>
    </w:rPr>
  </w:style>
  <w:style w:type="paragraph" w:styleId="14">
    <w:name w:val="Body Text"/>
    <w:basedOn w:val="1"/>
    <w:next w:val="1"/>
    <w:qFormat/>
    <w:uiPriority w:val="0"/>
    <w:pPr>
      <w:spacing w:after="120"/>
    </w:pPr>
    <w:rPr>
      <w:szCs w:val="24"/>
    </w:rPr>
  </w:style>
  <w:style w:type="paragraph" w:styleId="15">
    <w:name w:val="Body Text Indent"/>
    <w:basedOn w:val="1"/>
    <w:next w:val="16"/>
    <w:qFormat/>
    <w:uiPriority w:val="0"/>
    <w:pPr>
      <w:ind w:firstLine="552"/>
    </w:pPr>
    <w:rPr>
      <w:rFonts w:ascii="宋体"/>
      <w:sz w:val="28"/>
    </w:rPr>
  </w:style>
  <w:style w:type="paragraph" w:customStyle="1" w:styleId="16">
    <w:name w:val="font5"/>
    <w:basedOn w:val="1"/>
    <w:qFormat/>
    <w:uiPriority w:val="0"/>
    <w:pPr>
      <w:widowControl/>
      <w:spacing w:before="100" w:beforeAutospacing="1" w:after="100" w:afterAutospacing="1"/>
      <w:jc w:val="left"/>
    </w:pPr>
    <w:rPr>
      <w:rFonts w:hint="eastAsia" w:ascii="宋体" w:hAnsi="宋体"/>
      <w:kern w:val="0"/>
      <w:sz w:val="24"/>
      <w:szCs w:val="24"/>
    </w:rPr>
  </w:style>
  <w:style w:type="paragraph" w:styleId="17">
    <w:name w:val="toc 5"/>
    <w:basedOn w:val="1"/>
    <w:next w:val="1"/>
    <w:qFormat/>
    <w:uiPriority w:val="0"/>
    <w:pPr>
      <w:ind w:left="840"/>
      <w:jc w:val="left"/>
    </w:pPr>
    <w:rPr>
      <w:rFonts w:ascii="Calibri" w:hAnsi="Calibri" w:cs="Calibri"/>
      <w:sz w:val="18"/>
      <w:szCs w:val="18"/>
    </w:rPr>
  </w:style>
  <w:style w:type="paragraph" w:styleId="18">
    <w:name w:val="toc 3"/>
    <w:basedOn w:val="1"/>
    <w:next w:val="1"/>
    <w:qFormat/>
    <w:uiPriority w:val="0"/>
    <w:pPr>
      <w:ind w:left="420"/>
      <w:jc w:val="left"/>
    </w:pPr>
    <w:rPr>
      <w:rFonts w:ascii="Calibri" w:hAnsi="Calibri" w:cs="Calibri"/>
      <w:i/>
      <w:iCs/>
      <w:sz w:val="20"/>
    </w:rPr>
  </w:style>
  <w:style w:type="paragraph" w:styleId="19">
    <w:name w:val="Plain Text"/>
    <w:basedOn w:val="1"/>
    <w:link w:val="51"/>
    <w:qFormat/>
    <w:uiPriority w:val="0"/>
    <w:rPr>
      <w:rFonts w:ascii="宋体" w:hAnsi="Courier New"/>
    </w:rPr>
  </w:style>
  <w:style w:type="paragraph" w:styleId="20">
    <w:name w:val="toc 8"/>
    <w:basedOn w:val="1"/>
    <w:next w:val="1"/>
    <w:qFormat/>
    <w:uiPriority w:val="0"/>
    <w:pPr>
      <w:ind w:left="1470"/>
      <w:jc w:val="left"/>
    </w:pPr>
    <w:rPr>
      <w:rFonts w:ascii="Calibri" w:hAnsi="Calibri" w:cs="Calibri"/>
      <w:sz w:val="18"/>
      <w:szCs w:val="18"/>
    </w:rPr>
  </w:style>
  <w:style w:type="paragraph" w:styleId="21">
    <w:name w:val="Date"/>
    <w:basedOn w:val="1"/>
    <w:next w:val="1"/>
    <w:qFormat/>
    <w:uiPriority w:val="0"/>
    <w:rPr>
      <w:rFonts w:ascii="宋体"/>
      <w:sz w:val="24"/>
    </w:rPr>
  </w:style>
  <w:style w:type="paragraph" w:styleId="22">
    <w:name w:val="Body Text Indent 2"/>
    <w:basedOn w:val="1"/>
    <w:qFormat/>
    <w:uiPriority w:val="0"/>
    <w:pPr>
      <w:spacing w:after="120" w:afterLines="0" w:line="480" w:lineRule="auto"/>
      <w:ind w:left="420" w:leftChars="200"/>
    </w:pPr>
  </w:style>
  <w:style w:type="paragraph" w:styleId="23">
    <w:name w:val="endnote text"/>
    <w:basedOn w:val="1"/>
    <w:qFormat/>
    <w:uiPriority w:val="0"/>
    <w:pPr>
      <w:snapToGrid w:val="0"/>
      <w:jc w:val="left"/>
    </w:pPr>
  </w:style>
  <w:style w:type="paragraph" w:styleId="24">
    <w:name w:val="Balloon Text"/>
    <w:basedOn w:val="1"/>
    <w:link w:val="52"/>
    <w:qFormat/>
    <w:uiPriority w:val="0"/>
    <w:rPr>
      <w:sz w:val="18"/>
      <w:szCs w:val="18"/>
    </w:rPr>
  </w:style>
  <w:style w:type="paragraph" w:styleId="25">
    <w:name w:val="footer"/>
    <w:basedOn w:val="1"/>
    <w:link w:val="53"/>
    <w:qFormat/>
    <w:uiPriority w:val="99"/>
    <w:pPr>
      <w:tabs>
        <w:tab w:val="center" w:pos="4153"/>
        <w:tab w:val="right" w:pos="8306"/>
      </w:tabs>
      <w:adjustRightInd w:val="0"/>
      <w:spacing w:line="240" w:lineRule="atLeast"/>
      <w:jc w:val="left"/>
      <w:textAlignment w:val="baseline"/>
    </w:pPr>
    <w:rPr>
      <w:kern w:val="0"/>
      <w:sz w:val="18"/>
    </w:rPr>
  </w:style>
  <w:style w:type="paragraph" w:styleId="26">
    <w:name w:val="header"/>
    <w:basedOn w:val="1"/>
    <w:link w:val="54"/>
    <w:qFormat/>
    <w:uiPriority w:val="99"/>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spacing w:before="120" w:after="120"/>
      <w:jc w:val="left"/>
    </w:pPr>
    <w:rPr>
      <w:rFonts w:ascii="Calibri" w:hAnsi="Calibri" w:cs="Calibri"/>
      <w:b/>
      <w:bCs/>
      <w:caps/>
      <w:sz w:val="20"/>
    </w:rPr>
  </w:style>
  <w:style w:type="paragraph" w:styleId="28">
    <w:name w:val="toc 4"/>
    <w:basedOn w:val="1"/>
    <w:next w:val="1"/>
    <w:qFormat/>
    <w:uiPriority w:val="0"/>
    <w:pPr>
      <w:ind w:left="630"/>
      <w:jc w:val="left"/>
    </w:pPr>
    <w:rPr>
      <w:rFonts w:ascii="Calibri" w:hAnsi="Calibri" w:cs="Calibri"/>
      <w:sz w:val="18"/>
      <w:szCs w:val="18"/>
    </w:rPr>
  </w:style>
  <w:style w:type="paragraph" w:styleId="29">
    <w:name w:val="toc 6"/>
    <w:basedOn w:val="1"/>
    <w:next w:val="1"/>
    <w:qFormat/>
    <w:uiPriority w:val="0"/>
    <w:pPr>
      <w:ind w:left="1050"/>
      <w:jc w:val="left"/>
    </w:pPr>
    <w:rPr>
      <w:rFonts w:ascii="Calibri" w:hAnsi="Calibri" w:cs="Calibri"/>
      <w:sz w:val="18"/>
      <w:szCs w:val="18"/>
    </w:rPr>
  </w:style>
  <w:style w:type="paragraph" w:styleId="30">
    <w:name w:val="toc 2"/>
    <w:basedOn w:val="1"/>
    <w:next w:val="1"/>
    <w:qFormat/>
    <w:uiPriority w:val="39"/>
    <w:pPr>
      <w:ind w:left="210"/>
      <w:jc w:val="left"/>
    </w:pPr>
    <w:rPr>
      <w:rFonts w:ascii="Calibri" w:hAnsi="Calibri" w:cs="Calibri"/>
      <w:smallCaps/>
      <w:sz w:val="20"/>
    </w:rPr>
  </w:style>
  <w:style w:type="paragraph" w:styleId="31">
    <w:name w:val="toc 9"/>
    <w:basedOn w:val="1"/>
    <w:next w:val="1"/>
    <w:qFormat/>
    <w:uiPriority w:val="0"/>
    <w:pPr>
      <w:ind w:left="1680"/>
      <w:jc w:val="left"/>
    </w:pPr>
    <w:rPr>
      <w:rFonts w:ascii="Calibri" w:hAnsi="Calibri" w:cs="Calibri"/>
      <w:sz w:val="18"/>
      <w:szCs w:val="18"/>
    </w:rPr>
  </w:style>
  <w:style w:type="paragraph" w:styleId="32">
    <w:name w:val="Body Text 2"/>
    <w:basedOn w:val="1"/>
    <w:qFormat/>
    <w:uiPriority w:val="0"/>
    <w:pPr>
      <w:spacing w:before="60" w:after="60"/>
      <w:jc w:val="left"/>
    </w:pPr>
    <w:rPr>
      <w:rFonts w:ascii="华文仿宋" w:hAnsi="华文仿宋" w:eastAsia="华文仿宋"/>
      <w:sz w:val="24"/>
    </w:rPr>
  </w:style>
  <w:style w:type="paragraph" w:styleId="33">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34">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5">
    <w:name w:val="Title"/>
    <w:basedOn w:val="1"/>
    <w:qFormat/>
    <w:uiPriority w:val="0"/>
    <w:pPr>
      <w:spacing w:before="240" w:after="60"/>
      <w:jc w:val="center"/>
    </w:pPr>
    <w:rPr>
      <w:rFonts w:ascii="Arial" w:hAnsi="Arial"/>
      <w:b/>
      <w:kern w:val="28"/>
      <w:sz w:val="32"/>
    </w:rPr>
  </w:style>
  <w:style w:type="paragraph" w:styleId="36">
    <w:name w:val="annotation subject"/>
    <w:basedOn w:val="12"/>
    <w:next w:val="12"/>
    <w:link w:val="55"/>
    <w:qFormat/>
    <w:uiPriority w:val="0"/>
    <w:rPr>
      <w:b/>
      <w:bCs/>
    </w:rPr>
  </w:style>
  <w:style w:type="paragraph" w:styleId="37">
    <w:name w:val="Body Text First Indent"/>
    <w:basedOn w:val="14"/>
    <w:unhideWhenUsed/>
    <w:qFormat/>
    <w:uiPriority w:val="99"/>
    <w:pPr>
      <w:ind w:firstLine="420" w:firstLineChars="100"/>
    </w:pPr>
  </w:style>
  <w:style w:type="paragraph" w:styleId="38">
    <w:name w:val="Body Text First Indent 2"/>
    <w:basedOn w:val="37"/>
    <w:qFormat/>
    <w:uiPriority w:val="0"/>
    <w:pPr>
      <w:ind w:firstLine="420" w:firstLineChars="200"/>
    </w:pPr>
  </w:style>
  <w:style w:type="table" w:styleId="40">
    <w:name w:val="Table Grid"/>
    <w:basedOn w:val="3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qFormat/>
    <w:uiPriority w:val="0"/>
    <w:rPr>
      <w:b/>
    </w:rPr>
  </w:style>
  <w:style w:type="character" w:styleId="43">
    <w:name w:val="page number"/>
    <w:qFormat/>
    <w:uiPriority w:val="0"/>
  </w:style>
  <w:style w:type="character" w:styleId="44">
    <w:name w:val="FollowedHyperlink"/>
    <w:qFormat/>
    <w:uiPriority w:val="0"/>
    <w:rPr>
      <w:color w:val="800080"/>
      <w:u w:val="none"/>
    </w:rPr>
  </w:style>
  <w:style w:type="character" w:styleId="45">
    <w:name w:val="Emphasis"/>
    <w:qFormat/>
    <w:uiPriority w:val="0"/>
    <w:rPr>
      <w:i/>
    </w:rPr>
  </w:style>
  <w:style w:type="character" w:styleId="46">
    <w:name w:val="Hyperlink"/>
    <w:qFormat/>
    <w:uiPriority w:val="99"/>
    <w:rPr>
      <w:color w:val="0000FF"/>
      <w:u w:val="none"/>
    </w:rPr>
  </w:style>
  <w:style w:type="character" w:styleId="47">
    <w:name w:val="annotation reference"/>
    <w:qFormat/>
    <w:uiPriority w:val="0"/>
    <w:rPr>
      <w:sz w:val="21"/>
      <w:szCs w:val="21"/>
    </w:rPr>
  </w:style>
  <w:style w:type="character" w:customStyle="1" w:styleId="48">
    <w:name w:val="标题 1 字符"/>
    <w:link w:val="2"/>
    <w:qFormat/>
    <w:uiPriority w:val="9"/>
    <w:rPr>
      <w:rFonts w:ascii="Times New Roman" w:hAnsi="Times New Roman" w:eastAsia="黑体"/>
      <w:b/>
      <w:sz w:val="32"/>
    </w:rPr>
  </w:style>
  <w:style w:type="character" w:customStyle="1" w:styleId="49">
    <w:name w:val="正文缩进 字符"/>
    <w:link w:val="9"/>
    <w:qFormat/>
    <w:uiPriority w:val="0"/>
    <w:rPr>
      <w:rFonts w:ascii="Calibri" w:hAnsi="Calibri"/>
    </w:rPr>
  </w:style>
  <w:style w:type="character" w:customStyle="1" w:styleId="50">
    <w:name w:val="批注文字 字符"/>
    <w:link w:val="12"/>
    <w:qFormat/>
    <w:uiPriority w:val="0"/>
    <w:rPr>
      <w:kern w:val="2"/>
      <w:sz w:val="21"/>
    </w:rPr>
  </w:style>
  <w:style w:type="character" w:customStyle="1" w:styleId="51">
    <w:name w:val="纯文本 字符"/>
    <w:link w:val="19"/>
    <w:qFormat/>
    <w:uiPriority w:val="0"/>
    <w:rPr>
      <w:rFonts w:ascii="宋体" w:hAnsi="Courier New"/>
      <w:kern w:val="2"/>
      <w:sz w:val="21"/>
    </w:rPr>
  </w:style>
  <w:style w:type="character" w:customStyle="1" w:styleId="52">
    <w:name w:val="批注框文本 字符"/>
    <w:link w:val="24"/>
    <w:qFormat/>
    <w:uiPriority w:val="0"/>
    <w:rPr>
      <w:kern w:val="2"/>
      <w:sz w:val="18"/>
      <w:szCs w:val="18"/>
    </w:rPr>
  </w:style>
  <w:style w:type="character" w:customStyle="1" w:styleId="53">
    <w:name w:val="页脚 字符"/>
    <w:link w:val="25"/>
    <w:qFormat/>
    <w:uiPriority w:val="99"/>
    <w:rPr>
      <w:sz w:val="18"/>
    </w:rPr>
  </w:style>
  <w:style w:type="character" w:customStyle="1" w:styleId="54">
    <w:name w:val="页眉 字符"/>
    <w:link w:val="26"/>
    <w:qFormat/>
    <w:uiPriority w:val="99"/>
    <w:rPr>
      <w:kern w:val="2"/>
      <w:sz w:val="18"/>
      <w:szCs w:val="18"/>
    </w:rPr>
  </w:style>
  <w:style w:type="character" w:customStyle="1" w:styleId="55">
    <w:name w:val="批注主题 字符"/>
    <w:link w:val="36"/>
    <w:qFormat/>
    <w:uiPriority w:val="0"/>
    <w:rPr>
      <w:b/>
      <w:bCs/>
      <w:kern w:val="2"/>
      <w:sz w:val="21"/>
    </w:rPr>
  </w:style>
  <w:style w:type="character" w:customStyle="1" w:styleId="56">
    <w:name w:val="A15"/>
    <w:qFormat/>
    <w:uiPriority w:val="0"/>
    <w:rPr>
      <w:color w:val="000000"/>
    </w:rPr>
  </w:style>
  <w:style w:type="paragraph" w:customStyle="1" w:styleId="57">
    <w:name w:val="_Style 510"/>
    <w:basedOn w:val="1"/>
    <w:next w:val="58"/>
    <w:qFormat/>
    <w:uiPriority w:val="34"/>
    <w:pPr>
      <w:widowControl/>
      <w:ind w:firstLine="420"/>
    </w:pPr>
    <w:rPr>
      <w:rFonts w:ascii="宋体" w:hAnsi="宋体" w:cs="宋体"/>
      <w:kern w:val="0"/>
    </w:rPr>
  </w:style>
  <w:style w:type="paragraph" w:styleId="58">
    <w:name w:val="List Paragraph"/>
    <w:basedOn w:val="1"/>
    <w:qFormat/>
    <w:uiPriority w:val="34"/>
    <w:pPr>
      <w:ind w:firstLine="420" w:firstLineChars="200"/>
    </w:pPr>
    <w:rPr>
      <w:rFonts w:ascii="Calibri" w:hAnsi="Calibri" w:eastAsia="宋体" w:cs="Times New Roman"/>
      <w:szCs w:val="22"/>
    </w:rPr>
  </w:style>
  <w:style w:type="paragraph" w:customStyle="1" w:styleId="59">
    <w:name w:val="列出段落1"/>
    <w:basedOn w:val="1"/>
    <w:qFormat/>
    <w:uiPriority w:val="34"/>
    <w:pPr>
      <w:ind w:firstLine="420" w:firstLineChars="200"/>
    </w:pPr>
    <w:rPr>
      <w:rFonts w:ascii="Calibri" w:hAnsi="Calibri"/>
      <w:szCs w:val="22"/>
    </w:rPr>
  </w:style>
  <w:style w:type="paragraph" w:customStyle="1" w:styleId="60">
    <w:name w:val="样式 标题 3 + (中文) 黑体 小四 非加粗 段前: 7.8 磅 段后: 0 磅 行距: 固定值 20 磅"/>
    <w:basedOn w:val="4"/>
    <w:next w:val="1"/>
    <w:qFormat/>
    <w:uiPriority w:val="0"/>
    <w:pPr>
      <w:spacing w:before="0" w:after="0" w:line="400" w:lineRule="exact"/>
    </w:pPr>
    <w:rPr>
      <w:rFonts w:hAnsi="Calibri" w:eastAsia="黑体" w:cs="宋体"/>
      <w:b w:val="0"/>
      <w:sz w:val="24"/>
    </w:rPr>
  </w:style>
  <w:style w:type="paragraph" w:customStyle="1" w:styleId="61">
    <w:name w:val="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62">
    <w:name w:val="@正文"/>
    <w:basedOn w:val="63"/>
    <w:qFormat/>
    <w:uiPriority w:val="0"/>
    <w:pPr>
      <w:wordWrap/>
      <w:spacing w:line="240" w:lineRule="auto"/>
      <w:ind w:firstLine="200" w:firstLineChars="200"/>
      <w:jc w:val="both"/>
    </w:pPr>
    <w:rPr>
      <w:rFonts w:ascii="Calibri" w:hAnsi="Calibri" w:eastAsia="宋体" w:cs="Calibri"/>
      <w:color w:val="000000"/>
      <w:kern w:val="24"/>
      <w:sz w:val="24"/>
      <w:szCs w:val="24"/>
    </w:rPr>
  </w:style>
  <w:style w:type="paragraph" w:customStyle="1" w:styleId="63">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64">
    <w:name w:val="样式2"/>
    <w:basedOn w:val="65"/>
    <w:qFormat/>
    <w:uiPriority w:val="0"/>
    <w:pPr>
      <w:spacing w:line="560" w:lineRule="exact"/>
      <w:ind w:firstLine="643" w:firstLineChars="200"/>
      <w:jc w:val="both"/>
    </w:pPr>
    <w:rPr>
      <w:rFonts w:ascii="仿宋_GB2312" w:hAnsi="仿宋" w:eastAsia="仿宋_GB2312"/>
      <w:b/>
      <w:bCs/>
      <w:szCs w:val="32"/>
    </w:rPr>
  </w:style>
  <w:style w:type="paragraph" w:customStyle="1" w:styleId="65">
    <w:name w:val="@标题"/>
    <w:basedOn w:val="1"/>
    <w:next w:val="62"/>
    <w:qFormat/>
    <w:uiPriority w:val="0"/>
    <w:pPr>
      <w:keepNext/>
      <w:spacing w:before="50" w:beforeLines="50" w:after="50" w:afterLines="50"/>
      <w:jc w:val="center"/>
      <w:outlineLvl w:val="1"/>
    </w:pPr>
    <w:rPr>
      <w:rFonts w:ascii="Calibri" w:hAnsi="Calibri" w:eastAsia="黑体"/>
      <w:kern w:val="32"/>
      <w:sz w:val="32"/>
    </w:rPr>
  </w:style>
  <w:style w:type="paragraph" w:customStyle="1" w:styleId="66">
    <w:name w:val="List Paragraph11"/>
    <w:basedOn w:val="1"/>
    <w:qFormat/>
    <w:uiPriority w:val="34"/>
    <w:pPr>
      <w:ind w:firstLine="420" w:firstLineChars="200"/>
    </w:pPr>
    <w:rPr>
      <w:rFonts w:ascii="Calibri" w:hAnsi="Calibri" w:eastAsia="宋体" w:cs="Times New Roman"/>
    </w:rPr>
  </w:style>
  <w:style w:type="paragraph" w:customStyle="1" w:styleId="67">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kern w:val="0"/>
      <w:sz w:val="28"/>
    </w:rPr>
  </w:style>
  <w:style w:type="paragraph" w:customStyle="1" w:styleId="68">
    <w:name w:val="正文_0"/>
    <w:qFormat/>
    <w:uiPriority w:val="0"/>
    <w:pPr>
      <w:widowControl w:val="0"/>
      <w:jc w:val="both"/>
    </w:pPr>
    <w:rPr>
      <w:rFonts w:ascii="Calibri" w:hAnsi="Calibri" w:eastAsia="宋体" w:cs="Times New Roman"/>
      <w:kern w:val="2"/>
      <w:sz w:val="21"/>
      <w:lang w:val="en-US" w:eastAsia="zh-CN" w:bidi="ar-SA"/>
    </w:rPr>
  </w:style>
  <w:style w:type="paragraph" w:customStyle="1" w:styleId="69">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70">
    <w:name w:val=" Char2"/>
    <w:basedOn w:val="1"/>
    <w:qFormat/>
    <w:uiPriority w:val="0"/>
    <w:rPr>
      <w:rFonts w:ascii="Tahoma" w:hAnsi="Tahoma"/>
      <w:sz w:val="24"/>
    </w:rPr>
  </w:style>
  <w:style w:type="paragraph" w:customStyle="1" w:styleId="71">
    <w:name w:val="HTML 预设格式1"/>
    <w:basedOn w:val="1"/>
    <w:qFormat/>
    <w:uiPriority w:val="0"/>
    <w:rPr>
      <w:rFonts w:ascii="Courier New" w:hAnsi="Courier New"/>
      <w:sz w:val="20"/>
    </w:rPr>
  </w:style>
  <w:style w:type="paragraph" w:customStyle="1" w:styleId="72">
    <w:name w:val="(sun)正文一级"/>
    <w:basedOn w:val="1"/>
    <w:qFormat/>
    <w:uiPriority w:val="0"/>
    <w:pPr>
      <w:spacing w:after="120"/>
      <w:ind w:firstLine="480"/>
    </w:pPr>
    <w:rPr>
      <w:rFonts w:ascii="宋体" w:hAnsi="宋体"/>
      <w:kern w:val="28"/>
      <w:szCs w:val="20"/>
    </w:rPr>
  </w:style>
  <w:style w:type="paragraph" w:customStyle="1" w:styleId="73">
    <w:name w:val="_Style 72"/>
    <w:basedOn w:val="2"/>
    <w:next w:val="1"/>
    <w:qFormat/>
    <w:uiPriority w:val="39"/>
    <w:pPr>
      <w:keepLines/>
      <w:widowControl/>
      <w:spacing w:before="240" w:line="259" w:lineRule="auto"/>
      <w:jc w:val="left"/>
      <w:outlineLvl w:val="9"/>
    </w:pPr>
    <w:rPr>
      <w:rFonts w:ascii="等线 Light" w:hAnsi="等线 Light" w:eastAsia="等线 Light" w:cs="Times New Roman"/>
      <w:color w:val="2F5496"/>
      <w:kern w:val="0"/>
      <w:sz w:val="32"/>
      <w:szCs w:val="32"/>
    </w:rPr>
  </w:style>
  <w:style w:type="paragraph" w:customStyle="1" w:styleId="74">
    <w:name w:val="样式 10 磅"/>
    <w:qFormat/>
    <w:uiPriority w:val="0"/>
    <w:pPr>
      <w:widowControl w:val="0"/>
      <w:jc w:val="both"/>
    </w:pPr>
    <w:rPr>
      <w:rFonts w:ascii="Calibri" w:hAnsi="Calibri" w:eastAsia="宋体" w:cs="Times New Roman"/>
      <w:kern w:val="2"/>
      <w:sz w:val="21"/>
      <w:szCs w:val="24"/>
      <w:lang w:val="en-US" w:eastAsia="zh-CN" w:bidi="ar-SA"/>
    </w:rPr>
  </w:style>
  <w:style w:type="paragraph" w:customStyle="1" w:styleId="75">
    <w:name w:val="正文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76">
    <w:name w:val="1"/>
    <w:basedOn w:val="1"/>
    <w:next w:val="58"/>
    <w:qFormat/>
    <w:uiPriority w:val="34"/>
    <w:pPr>
      <w:ind w:firstLine="420" w:firstLineChars="200"/>
    </w:pPr>
  </w:style>
  <w:style w:type="paragraph" w:customStyle="1" w:styleId="77">
    <w:name w:val="~正文"/>
    <w:basedOn w:val="1"/>
    <w:next w:val="14"/>
    <w:qFormat/>
    <w:uiPriority w:val="0"/>
    <w:rPr>
      <w:rFonts w:ascii="Times New Roman" w:hAnsi="Times New Roman"/>
      <w:szCs w:val="28"/>
      <w:lang w:val="zh-CN"/>
    </w:rPr>
  </w:style>
  <w:style w:type="paragraph" w:customStyle="1" w:styleId="78">
    <w:name w:val="正文11"/>
    <w:basedOn w:val="10"/>
    <w:next w:val="1"/>
    <w:qFormat/>
    <w:uiPriority w:val="0"/>
    <w:pPr>
      <w:numPr>
        <w:ilvl w:val="0"/>
        <w:numId w:val="2"/>
      </w:numPr>
      <w:tabs>
        <w:tab w:val="left" w:pos="2220"/>
      </w:tabs>
      <w:spacing w:line="360" w:lineRule="auto"/>
    </w:pPr>
    <w:rPr>
      <w:rFonts w:ascii="宋体" w:hAnsi="宋体"/>
    </w:rPr>
  </w:style>
  <w:style w:type="paragraph" w:customStyle="1" w:styleId="79">
    <w:name w:val="List Paragraph1"/>
    <w:qFormat/>
    <w:uiPriority w:val="99"/>
    <w:pPr>
      <w:ind w:firstLine="420" w:firstLineChars="200"/>
    </w:pPr>
    <w:rPr>
      <w:rFonts w:ascii="Times New Roman" w:hAnsi="Times New Roman" w:eastAsia="宋体" w:cs="Times New Roman"/>
      <w:lang w:val="en-US" w:eastAsia="zh-CN" w:bidi="ar-SA"/>
    </w:rPr>
  </w:style>
  <w:style w:type="paragraph" w:customStyle="1" w:styleId="80">
    <w:name w:val="_Style 2"/>
    <w:basedOn w:val="1"/>
    <w:qFormat/>
    <w:uiPriority w:val="34"/>
    <w:pPr>
      <w:ind w:firstLine="420" w:firstLineChars="200"/>
    </w:pPr>
    <w:rPr>
      <w:rFonts w:ascii="Calibri" w:hAnsi="Calibri" w:eastAsia="宋体" w:cs="Times New Roman"/>
    </w:rPr>
  </w:style>
  <w:style w:type="paragraph" w:customStyle="1" w:styleId="81">
    <w:name w:val="正文 New New New New New New New New New New New New New New New12"/>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4"/>
      <w:lang w:val="en-US" w:eastAsia="zh-CN" w:bidi="ar"/>
    </w:rPr>
  </w:style>
  <w:style w:type="paragraph" w:customStyle="1" w:styleId="82">
    <w:name w:val="No Spacing"/>
    <w:qFormat/>
    <w:uiPriority w:val="0"/>
    <w:pPr>
      <w:widowControl w:val="0"/>
      <w:jc w:val="both"/>
    </w:pPr>
    <w:rPr>
      <w:rFonts w:ascii="Calibri" w:hAnsi="Calibri" w:eastAsia="宋体" w:cs="Times New Roman"/>
      <w:kern w:val="2"/>
      <w:sz w:val="21"/>
      <w:szCs w:val="22"/>
      <w:lang w:val="en-US" w:eastAsia="zh-CN" w:bidi="ar-SA"/>
    </w:rPr>
  </w:style>
  <w:style w:type="table" w:customStyle="1" w:styleId="83">
    <w:name w:val="Table Normal"/>
    <w:unhideWhenUsed/>
    <w:qFormat/>
    <w:uiPriority w:val="2"/>
    <w:rPr>
      <w:lang w:val="en-US" w:eastAsia="zh-CN" w:bidi="ar-SA"/>
    </w:rPr>
    <w:tblPr>
      <w:tblCellMar>
        <w:top w:w="0" w:type="dxa"/>
        <w:left w:w="0" w:type="dxa"/>
        <w:bottom w:w="0" w:type="dxa"/>
        <w:right w:w="0" w:type="dxa"/>
      </w:tblCellMar>
    </w:tblPr>
  </w:style>
  <w:style w:type="paragraph" w:customStyle="1" w:styleId="84">
    <w:name w:val="Table Paragraph"/>
    <w:basedOn w:val="1"/>
    <w:qFormat/>
    <w:uiPriority w:val="1"/>
  </w:style>
  <w:style w:type="paragraph" w:customStyle="1" w:styleId="85">
    <w:name w:val="3683"/>
    <w:basedOn w:val="34"/>
    <w:qFormat/>
    <w:uiPriority w:val="0"/>
    <w:rPr>
      <w:rFonts w:hint="eastAsia" w:ascii="宋体" w:hAnsi="宋体" w:eastAsia="宋体" w:cs="宋体"/>
      <w:bCs/>
      <w:color w:val="333333"/>
      <w:spacing w:val="0"/>
      <w:sz w:val="24"/>
      <w:szCs w:val="24"/>
      <w:shd w:val="clear" w:color="auto" w:fill="FFFFFF"/>
      <w:vertAlign w:val="baseline"/>
      <w:lang w:val="en-US" w:eastAsia="zh-CN"/>
    </w:rPr>
  </w:style>
  <w:style w:type="paragraph" w:customStyle="1" w:styleId="86">
    <w:name w:val="1982"/>
    <w:basedOn w:val="16"/>
    <w:qFormat/>
    <w:uiPriority w:val="0"/>
    <w:rPr>
      <w:rFonts w:hint="eastAsia" w:ascii="宋体" w:hAnsi="宋体" w:eastAsia="宋体" w:cs="Times New Roman"/>
      <w:kern w:val="0"/>
      <w:sz w:val="24"/>
      <w:szCs w:val="24"/>
      <w:highlight w:val="none"/>
      <w:lang w:val="en-US" w:eastAsia="zh-CN" w:bidi="ar-SA"/>
    </w:rPr>
  </w:style>
  <w:style w:type="paragraph" w:customStyle="1" w:styleId="87">
    <w:name w:val="null3"/>
    <w:qFormat/>
    <w:uiPriority w:val="0"/>
    <w:rPr>
      <w:rFonts w:hint="eastAsia" w:ascii="Calibri" w:hAnsi="Calibri" w:eastAsia="宋体" w:cs="Times New Roman"/>
      <w:lang w:val="en-US" w:eastAsia="zh-Hans" w:bidi="ar-SA"/>
    </w:rPr>
  </w:style>
  <w:style w:type="paragraph" w:customStyle="1" w:styleId="88">
    <w:name w:val="列出段落4"/>
    <w:basedOn w:val="1"/>
    <w:qFormat/>
    <w:uiPriority w:val="99"/>
    <w:pPr>
      <w:spacing w:line="360" w:lineRule="auto"/>
      <w:ind w:left="200" w:leftChars="200" w:firstLine="420" w:firstLineChars="200"/>
    </w:pPr>
    <w:rPr>
      <w:rFonts w:ascii="宋体" w:cs="宋体"/>
      <w:kern w:val="0"/>
    </w:rPr>
  </w:style>
  <w:style w:type="paragraph" w:customStyle="1" w:styleId="89">
    <w:name w:val="WPSOffice手动目录 1"/>
    <w:qFormat/>
    <w:uiPriority w:val="0"/>
    <w:rPr>
      <w:rFonts w:ascii="Times New Roman" w:hAnsi="Times New Roman" w:eastAsia="宋体" w:cs="Times New Roman"/>
      <w:lang w:val="en-US" w:eastAsia="zh-CN" w:bidi="ar-SA"/>
    </w:rPr>
  </w:style>
  <w:style w:type="paragraph" w:customStyle="1" w:styleId="90">
    <w:name w:val="null89"/>
    <w:hidden/>
    <w:qFormat/>
    <w:uiPriority w:val="0"/>
    <w:rPr>
      <w:rFonts w:hint="default" w:ascii="宋体" w:hAnsi="宋体" w:eastAsia="宋体" w:cs="宋体"/>
      <w:sz w:val="24"/>
      <w:szCs w:val="24"/>
      <w:lang w:val="en-US" w:eastAsia="zh-CN"/>
    </w:rPr>
  </w:style>
  <w:style w:type="paragraph" w:customStyle="1" w:styleId="91">
    <w:name w:val="null90"/>
    <w:hidden/>
    <w:qFormat/>
    <w:uiPriority w:val="0"/>
    <w:rPr>
      <w:rFonts w:hint="eastAsia" w:ascii="宋体" w:hAnsi="宋体" w:eastAsia="宋体" w:cs="Times New Roman"/>
      <w:kern w:val="0"/>
      <w:sz w:val="24"/>
      <w:szCs w:val="24"/>
      <w:highlight w:val="none"/>
      <w:lang w:val="en-US" w:eastAsia="zh-CN" w:bidi="ar-SA"/>
    </w:rPr>
  </w:style>
  <w:style w:type="paragraph" w:customStyle="1" w:styleId="92">
    <w:name w:val="null91"/>
    <w:hidden/>
    <w:qFormat/>
    <w:uiPriority w:val="0"/>
    <w:rPr>
      <w:rFonts w:hint="eastAsia" w:ascii="宋体" w:hAnsi="宋体" w:eastAsia="宋体" w:cs="Times New Roman"/>
      <w:kern w:val="0"/>
      <w:sz w:val="24"/>
      <w:szCs w:val="24"/>
      <w:highlight w:val="none"/>
      <w:lang w:val="en-US" w:eastAsia="zh-CN" w:bidi="ar-SA"/>
    </w:rPr>
  </w:style>
  <w:style w:type="paragraph" w:customStyle="1" w:styleId="93">
    <w:name w:val="null128"/>
    <w:hidden/>
    <w:qFormat/>
    <w:uiPriority w:val="0"/>
    <w:rPr>
      <w:rFonts w:hint="default" w:ascii="宋体" w:hAnsi="宋体" w:eastAsia="宋体" w:cs="宋体"/>
      <w:bCs/>
      <w:color w:val="auto"/>
      <w:kern w:val="2"/>
      <w:sz w:val="21"/>
      <w:szCs w:val="21"/>
      <w:highlight w:val="none"/>
      <w:vertAlign w:val="baseline"/>
      <w:lang w:val="en-US" w:eastAsia="zh-CN" w:bidi="ar-SA"/>
    </w:rPr>
  </w:style>
  <w:style w:type="paragraph" w:customStyle="1" w:styleId="94">
    <w:name w:val="Table Text"/>
    <w:basedOn w:val="1"/>
    <w:semiHidden/>
    <w:qFormat/>
    <w:uiPriority w:val="0"/>
    <w:rPr>
      <w:rFonts w:ascii="宋体" w:hAnsi="宋体" w:eastAsia="宋体" w:cs="宋体"/>
      <w:sz w:val="24"/>
      <w:szCs w:val="24"/>
      <w:lang w:val="en-US" w:eastAsia="en-US" w:bidi="ar-SA"/>
    </w:rPr>
  </w:style>
  <w:style w:type="paragraph" w:customStyle="1" w:styleId="95">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96">
    <w:name w:val="null98"/>
    <w:hidden/>
    <w:qFormat/>
    <w:uiPriority w:val="0"/>
    <w:rPr>
      <w:rFonts w:hint="eastAsia" w:ascii="宋体" w:hAnsi="宋体" w:eastAsia="宋体" w:cs="Times New Roman"/>
      <w:kern w:val="0"/>
      <w:sz w:val="24"/>
      <w:szCs w:val="24"/>
      <w:highlight w:val="none"/>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2.png"/><Relationship Id="rId24" Type="http://schemas.openxmlformats.org/officeDocument/2006/relationships/theme" Target="theme/theme1.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65</Pages>
  <Words>15311</Words>
  <Characters>16144</Characters>
  <Lines>298</Lines>
  <Paragraphs>83</Paragraphs>
  <TotalTime>156</TotalTime>
  <ScaleCrop>false</ScaleCrop>
  <LinksUpToDate>false</LinksUpToDate>
  <CharactersWithSpaces>16279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2018-02-02T09:45:00Z</dcterms:created>
  <dc:creator>User</dc:creator>
  <cp:lastModifiedBy>开瑞</cp:lastModifiedBy>
  <cp:lastPrinted>2024-03-18T10:09:00Z</cp:lastPrinted>
  <dcterms:modified xsi:type="dcterms:W3CDTF">2026-08-27T09:01:15Z</dcterms:modified>
  <dc:title>政府采购货物和服务项目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F788616B9B9446BBB4FA86EA87B71C79_13</vt:lpwstr>
  </property>
  <property fmtid="{D5CDD505-2E9C-101B-9397-08002B2CF9AE}" pid="4" name="KSOTemplateDocerSaveRecord">
    <vt:lpwstr>eyJoZGlkIjoiYTFkNmJlMjIyMjI5MWZmNTg5M2M1M2M2MzQwODY1OWUiLCJ1c2VySWQiOiI0NTc5ODEwMzIifQ==</vt:lpwstr>
  </property>
</Properties>
</file>