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版本号：SZT2026-SN-SC-ZC-HW-0439.1B120260603001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便携式脑光谱成像仪采购项目(二次)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SZT2026-SN-SC-ZC-HW-0439.1B1</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便携式脑光谱成像仪采购项目(二次)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SZT2026-SN-SC-ZC-HW-0439.1B1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便携式脑光谱成像仪采购项目(二次)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便携式脑光谱成像仪采购项目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1、法定代表人授权书：非法定代表人参加投标的，须提供法定代表人委托授权书及被授权人身份证复印件，法定代表人参加投标时,只需提供法定代表人身份证复印件</w:t>
      </w:r>
    </w:p>
    <w:p>
      <w:pPr>
        <w:pStyle w:val="null3"/>
      </w:pPr>
      <w:r>
        <w:rPr>
          <w:rFonts w:ascii="仿宋_GB2312" w:hAnsi="仿宋_GB2312" w:cs="仿宋_GB2312" w:eastAsia="仿宋_GB2312"/>
        </w:rPr>
        <w:t>2、本项目不接受联合体谈判：非联合体投标声明函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 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赵倩、李娜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2、本项目代理服务费按货物计取。3、代理费缴存账户：单位名称：陕西中技招标有限公司、开户银行：招商银行西安分行营业部、银行账号：129916812810001、转账时请备注：（项目编号后四位）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陕西中技招标有限公司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根据采购文件要求、谈判响应文件及合同约定执行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联系电话：029-88364979-856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便携式脑光谱成像仪采购项目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便携式脑光谱成像仪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标的名称：便携式脑光谱成像仪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一、硬件</w:t>
            </w:r>
          </w:p>
          <w:p>
            <w:pPr>
              <w:pStyle w:val="null3"/>
            </w:pPr>
            <w:r>
              <w:rPr>
                <w:rFonts w:ascii="仿宋_GB2312" w:hAnsi="仿宋_GB2312" w:cs="仿宋_GB2312" w:eastAsia="仿宋_GB2312"/>
              </w:rPr>
              <w:t>1、系统采用连续近红外光谱技术，标准配备双波长：760和850nm，其他波长可定制。</w:t>
            </w:r>
          </w:p>
          <w:p>
            <w:pPr>
              <w:pStyle w:val="null3"/>
            </w:pPr>
            <w:r>
              <w:rPr>
                <w:rFonts w:ascii="仿宋_GB2312" w:hAnsi="仿宋_GB2312" w:cs="仿宋_GB2312" w:eastAsia="仿宋_GB2312"/>
              </w:rPr>
              <w:t>★2、单通道最大采样率≥1000Hz，全通道最大采样频率≥60Hz（须提交采样参数说明），证明 1 s 内每通道可采集 ≥60 个有效数据点）；分辨率：≥24bit；</w:t>
            </w:r>
          </w:p>
          <w:p>
            <w:pPr>
              <w:pStyle w:val="null3"/>
            </w:pPr>
            <w:r>
              <w:rPr>
                <w:rFonts w:ascii="仿宋_GB2312" w:hAnsi="仿宋_GB2312" w:cs="仿宋_GB2312" w:eastAsia="仿宋_GB2312"/>
              </w:rPr>
              <w:t>★3主机设备重量≤250g，轻便一体化设计，整套系统全部在头部安放，无需连接设备携带背包或支架。</w:t>
            </w:r>
          </w:p>
          <w:p>
            <w:pPr>
              <w:pStyle w:val="null3"/>
            </w:pPr>
            <w:r>
              <w:rPr>
                <w:rFonts w:ascii="仿宋_GB2312" w:hAnsi="仿宋_GB2312" w:cs="仿宋_GB2312" w:eastAsia="仿宋_GB2312"/>
              </w:rPr>
              <w:t>★4、系统配备≥12个光源发射探头，≥12个接收探头;可组成最大通道数≥38通道。光极间距可调，光极可根据研究需求在整个脑部区域布置；</w:t>
            </w:r>
          </w:p>
          <w:p>
            <w:pPr>
              <w:pStyle w:val="null3"/>
            </w:pPr>
            <w:r>
              <w:rPr>
                <w:rFonts w:ascii="仿宋_GB2312" w:hAnsi="仿宋_GB2312" w:cs="仿宋_GB2312" w:eastAsia="仿宋_GB2312"/>
              </w:rPr>
              <w:t>5、设备为模块化设计配置灵活，2套≥38个通道的脑成像系统，可以组合为1套≥76个通道的脑成像系统；</w:t>
            </w:r>
          </w:p>
          <w:p>
            <w:pPr>
              <w:pStyle w:val="null3"/>
            </w:pPr>
            <w:r>
              <w:rPr>
                <w:rFonts w:ascii="仿宋_GB2312" w:hAnsi="仿宋_GB2312" w:cs="仿宋_GB2312" w:eastAsia="仿宋_GB2312"/>
              </w:rPr>
              <w:t>★6、系统设备内置≥9轴运动传感器，系统采用无线方式接收数据，支持无线实时不少于5.8G数据传输，配备专用数据接收器，接收器与设备自动配对；</w:t>
            </w:r>
          </w:p>
          <w:p>
            <w:pPr>
              <w:pStyle w:val="null3"/>
            </w:pPr>
            <w:r>
              <w:rPr>
                <w:rFonts w:ascii="仿宋_GB2312" w:hAnsi="仿宋_GB2312" w:cs="仿宋_GB2312" w:eastAsia="仿宋_GB2312"/>
              </w:rPr>
              <w:t>7、主机内存≥8GB，储存数据≥100小时。系统支持数据离线储存；</w:t>
            </w:r>
          </w:p>
          <w:p>
            <w:pPr>
              <w:pStyle w:val="null3"/>
            </w:pPr>
            <w:r>
              <w:rPr>
                <w:rFonts w:ascii="仿宋_GB2312" w:hAnsi="仿宋_GB2312" w:cs="仿宋_GB2312" w:eastAsia="仿宋_GB2312"/>
              </w:rPr>
              <w:t>8、系统配置快速充电电池，充电时间不超过30分钟，可记录数据时间≥3小时；</w:t>
            </w:r>
          </w:p>
          <w:p>
            <w:pPr>
              <w:pStyle w:val="null3"/>
            </w:pPr>
            <w:r>
              <w:rPr>
                <w:rFonts w:ascii="仿宋_GB2312" w:hAnsi="仿宋_GB2312" w:cs="仿宋_GB2312" w:eastAsia="仿宋_GB2312"/>
              </w:rPr>
              <w:t>9、多种尺寸光极帽可选；</w:t>
            </w:r>
          </w:p>
          <w:p>
            <w:pPr>
              <w:pStyle w:val="null3"/>
            </w:pPr>
            <w:r>
              <w:rPr>
                <w:rFonts w:ascii="仿宋_GB2312" w:hAnsi="仿宋_GB2312" w:cs="仿宋_GB2312" w:eastAsia="仿宋_GB2312"/>
              </w:rPr>
              <w:t>10、可与眼动仪、脑电、生理仪等设备实时同步使用。近红外信号对眼动、EEG、ECG、EMG，等信号无干扰；</w:t>
            </w:r>
          </w:p>
          <w:p>
            <w:pPr>
              <w:pStyle w:val="null3"/>
            </w:pPr>
            <w:r>
              <w:rPr>
                <w:rFonts w:ascii="仿宋_GB2312" w:hAnsi="仿宋_GB2312" w:cs="仿宋_GB2312" w:eastAsia="仿宋_GB2312"/>
              </w:rPr>
              <w:t>11、系统可直接读取来自眼动系统发送的Mark标记，做到单个或多个眼动仪与近红外系统的数据同步；</w:t>
            </w:r>
          </w:p>
          <w:p>
            <w:pPr>
              <w:pStyle w:val="null3"/>
            </w:pPr>
            <w:r>
              <w:rPr>
                <w:rFonts w:ascii="仿宋_GB2312" w:hAnsi="仿宋_GB2312" w:cs="仿宋_GB2312" w:eastAsia="仿宋_GB2312"/>
              </w:rPr>
              <w:t>12、系统可兼容多模态数据同步采集平台，通过该平台可实现包括视频、眼动仪、神经电生理、脑电等同步采集分析；</w:t>
            </w:r>
          </w:p>
          <w:p>
            <w:pPr>
              <w:pStyle w:val="null3"/>
            </w:pPr>
            <w:r>
              <w:rPr>
                <w:rFonts w:ascii="仿宋_GB2312" w:hAnsi="仿宋_GB2312" w:cs="仿宋_GB2312" w:eastAsia="仿宋_GB2312"/>
              </w:rPr>
              <w:t>13、光极探头与设备主体具有防汗设计；</w:t>
            </w:r>
          </w:p>
          <w:p>
            <w:pPr>
              <w:pStyle w:val="null3"/>
            </w:pPr>
            <w:r>
              <w:rPr>
                <w:rFonts w:ascii="仿宋_GB2312" w:hAnsi="仿宋_GB2312" w:cs="仿宋_GB2312" w:eastAsia="仿宋_GB2312"/>
              </w:rPr>
              <w:t>14、光极支持不少于三个安装高度，可调整头部压力；</w:t>
            </w:r>
          </w:p>
          <w:p>
            <w:pPr>
              <w:pStyle w:val="null3"/>
            </w:pPr>
            <w:r>
              <w:rPr>
                <w:rFonts w:ascii="仿宋_GB2312" w:hAnsi="仿宋_GB2312" w:cs="仿宋_GB2312" w:eastAsia="仿宋_GB2312"/>
              </w:rPr>
              <w:t>★15、每个光源的功率均可独立分级调节，可调节级数≥20；（须提交测试记录，证明各级亮度具有可量化输出差异）；</w:t>
            </w:r>
          </w:p>
          <w:p>
            <w:pPr>
              <w:pStyle w:val="null3"/>
            </w:pPr>
            <w:r>
              <w:rPr>
                <w:rFonts w:ascii="仿宋_GB2312" w:hAnsi="仿宋_GB2312" w:cs="仿宋_GB2312" w:eastAsia="仿宋_GB2312"/>
              </w:rPr>
              <w:t>16、内置惯性传感器：3轴加速度、3轴陀螺仪；</w:t>
            </w:r>
          </w:p>
          <w:p>
            <w:pPr>
              <w:pStyle w:val="null3"/>
            </w:pPr>
            <w:r>
              <w:rPr>
                <w:rFonts w:ascii="仿宋_GB2312" w:hAnsi="仿宋_GB2312" w:cs="仿宋_GB2312" w:eastAsia="仿宋_GB2312"/>
              </w:rPr>
              <w:t>★17、事件标记：通过无线自动打标器，结合E-prime等实验刺激软进行自动事件标记，自动打标时不需要任何线缆连接实验刺激电脑和收集采集电脑（提供截图证明，验收时需提供演示证明）；</w:t>
            </w:r>
          </w:p>
          <w:p>
            <w:pPr>
              <w:pStyle w:val="null3"/>
            </w:pPr>
            <w:r>
              <w:rPr>
                <w:rFonts w:ascii="仿宋_GB2312" w:hAnsi="仿宋_GB2312" w:cs="仿宋_GB2312" w:eastAsia="仿宋_GB2312"/>
              </w:rPr>
              <w:t>18、标配自动和手动无线打标器；</w:t>
            </w:r>
          </w:p>
          <w:p>
            <w:pPr>
              <w:pStyle w:val="null3"/>
            </w:pPr>
            <w:r>
              <w:rPr>
                <w:rFonts w:ascii="仿宋_GB2312" w:hAnsi="仿宋_GB2312" w:cs="仿宋_GB2312" w:eastAsia="仿宋_GB2312"/>
              </w:rPr>
              <w:t>19、主机上配有电源、连接状态等指示灯，接收器上有连接状态指示灯；</w:t>
            </w:r>
          </w:p>
          <w:p>
            <w:pPr>
              <w:pStyle w:val="null3"/>
            </w:pPr>
            <w:r>
              <w:rPr>
                <w:rFonts w:ascii="仿宋_GB2312" w:hAnsi="仿宋_GB2312" w:cs="仿宋_GB2312" w:eastAsia="仿宋_GB2312"/>
              </w:rPr>
              <w:t>★20、系统需配备独立的多模态环境参考模块。该模块需集成宽谱光电探测单元与多自由度惯性传感单元。光谱响应范围需覆盖400-1100nm，惯性传感单元≥±32g、支持动态量程、支持9轴空间姿态解算。该模块在非物理线缆连接状态下即可实现环境参量的同步连续采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二、软件</w:t>
            </w:r>
          </w:p>
          <w:p>
            <w:pPr>
              <w:pStyle w:val="null3"/>
            </w:pPr>
            <w:r>
              <w:rPr>
                <w:rFonts w:ascii="仿宋_GB2312" w:hAnsi="仿宋_GB2312" w:cs="仿宋_GB2312" w:eastAsia="仿宋_GB2312"/>
              </w:rPr>
              <w:t>1. 集实验设计和数据采集为一体，允许用户利用实验设计模块进行实验刺激编辑；</w:t>
            </w:r>
          </w:p>
          <w:p>
            <w:pPr>
              <w:pStyle w:val="null3"/>
            </w:pPr>
            <w:r>
              <w:rPr>
                <w:rFonts w:ascii="仿宋_GB2312" w:hAnsi="仿宋_GB2312" w:cs="仿宋_GB2312" w:eastAsia="仿宋_GB2312"/>
              </w:rPr>
              <w:t>★2.支持数据记录与采集、导入和导出，支持导出原始数据、OD数据和血氧数据，支持导出nirs,mat，csv，snirf和txt 格式数据；</w:t>
            </w:r>
          </w:p>
          <w:p>
            <w:pPr>
              <w:pStyle w:val="null3"/>
            </w:pPr>
            <w:r>
              <w:rPr>
                <w:rFonts w:ascii="仿宋_GB2312" w:hAnsi="仿宋_GB2312" w:cs="仿宋_GB2312" w:eastAsia="仿宋_GB2312"/>
              </w:rPr>
              <w:t>3.支持信号质量检测，可通过连接通道上的颜色查看信号质量；</w:t>
            </w:r>
          </w:p>
          <w:p>
            <w:pPr>
              <w:pStyle w:val="null3"/>
            </w:pPr>
            <w:r>
              <w:rPr>
                <w:rFonts w:ascii="仿宋_GB2312" w:hAnsi="仿宋_GB2312" w:cs="仿宋_GB2312" w:eastAsia="仿宋_GB2312"/>
              </w:rPr>
              <w:t>4.支持通过拖拽光源和接收器的对应按钮来快速自定义光极模板；</w:t>
            </w:r>
          </w:p>
          <w:p>
            <w:pPr>
              <w:pStyle w:val="null3"/>
            </w:pPr>
            <w:r>
              <w:rPr>
                <w:rFonts w:ascii="仿宋_GB2312" w:hAnsi="仿宋_GB2312" w:cs="仿宋_GB2312" w:eastAsia="仿宋_GB2312"/>
              </w:rPr>
              <w:t>★5.支持单独调节每个光源的功率，功率从1-100%可调</w:t>
            </w:r>
          </w:p>
          <w:p>
            <w:pPr>
              <w:pStyle w:val="null3"/>
            </w:pPr>
            <w:r>
              <w:rPr>
                <w:rFonts w:ascii="仿宋_GB2312" w:hAnsi="仿宋_GB2312" w:cs="仿宋_GB2312" w:eastAsia="仿宋_GB2312"/>
              </w:rPr>
              <w:t>6.同一套软件支持同时连接两套以上设备同时进行采集，数据在同一文件夹中导出；</w:t>
            </w:r>
          </w:p>
          <w:p>
            <w:pPr>
              <w:pStyle w:val="null3"/>
            </w:pPr>
            <w:r>
              <w:rPr>
                <w:rFonts w:ascii="仿宋_GB2312" w:hAnsi="仿宋_GB2312" w:cs="仿宋_GB2312" w:eastAsia="仿宋_GB2312"/>
              </w:rPr>
              <w:t>7.依照国际10-20系统进行光源/探测器布局，支持图形化显示光源/探测器布局，支持外接定位器进行定位功能，支持保存外接定位结果到模板；</w:t>
            </w:r>
          </w:p>
          <w:p>
            <w:pPr>
              <w:pStyle w:val="null3"/>
            </w:pPr>
            <w:r>
              <w:rPr>
                <w:rFonts w:ascii="仿宋_GB2312" w:hAnsi="仿宋_GB2312" w:cs="仿宋_GB2312" w:eastAsia="仿宋_GB2312"/>
              </w:rPr>
              <w:t>8. 支持无外接定位器，能依据光极位置自动计算每个通道的mni坐标，结果可在模板中同步输出（需提供截图证明）；</w:t>
            </w:r>
          </w:p>
          <w:p>
            <w:pPr>
              <w:pStyle w:val="null3"/>
            </w:pPr>
            <w:r>
              <w:rPr>
                <w:rFonts w:ascii="仿宋_GB2312" w:hAnsi="仿宋_GB2312" w:cs="仿宋_GB2312" w:eastAsia="仿宋_GB2312"/>
              </w:rPr>
              <w:t>9.导出nirs格式数据后，可以使用常见的fnirs数据处理工具包；</w:t>
            </w:r>
          </w:p>
          <w:p>
            <w:pPr>
              <w:pStyle w:val="null3"/>
            </w:pPr>
            <w:r>
              <w:rPr>
                <w:rFonts w:ascii="仿宋_GB2312" w:hAnsi="仿宋_GB2312" w:cs="仿宋_GB2312" w:eastAsia="仿宋_GB2312"/>
              </w:rPr>
              <w:t>10.支持快速实验模式，光极模板、端口设置等在一个实验中只需设置一次；</w:t>
            </w:r>
          </w:p>
          <w:p>
            <w:pPr>
              <w:pStyle w:val="null3"/>
            </w:pPr>
            <w:r>
              <w:rPr>
                <w:rFonts w:ascii="仿宋_GB2312" w:hAnsi="仿宋_GB2312" w:cs="仿宋_GB2312" w:eastAsia="仿宋_GB2312"/>
              </w:rPr>
              <w:t>11.软件提供LSL数据接口，可与其它设备如脑电、眼动等设备同步，支持实现BCI；</w:t>
            </w:r>
          </w:p>
          <w:p>
            <w:pPr>
              <w:pStyle w:val="null3"/>
            </w:pPr>
            <w:r>
              <w:rPr>
                <w:rFonts w:ascii="仿宋_GB2312" w:hAnsi="仿宋_GB2312" w:cs="仿宋_GB2312" w:eastAsia="仿宋_GB2312"/>
              </w:rPr>
              <w:t>12.支持在VR环境下与VR进行结合研究；</w:t>
            </w:r>
          </w:p>
          <w:p>
            <w:pPr>
              <w:pStyle w:val="null3"/>
            </w:pPr>
            <w:r>
              <w:rPr>
                <w:rFonts w:ascii="仿宋_GB2312" w:hAnsi="仿宋_GB2312" w:cs="仿宋_GB2312" w:eastAsia="仿宋_GB2312"/>
              </w:rPr>
              <w:t>13.提供同品牌数据分析软件，支持事件编辑，添加、删除和修改；</w:t>
            </w:r>
          </w:p>
          <w:p>
            <w:pPr>
              <w:pStyle w:val="null3"/>
            </w:pPr>
            <w:r>
              <w:rPr>
                <w:rFonts w:ascii="仿宋_GB2312" w:hAnsi="仿宋_GB2312" w:cs="仿宋_GB2312" w:eastAsia="仿宋_GB2312"/>
              </w:rPr>
              <w:t>14.数据分析软件支持数据预览，支持伪迹移除/校正，提供自动和手动2种识别运动伪迹方法；</w:t>
            </w:r>
          </w:p>
          <w:p>
            <w:pPr>
              <w:pStyle w:val="null3"/>
            </w:pPr>
            <w:r>
              <w:rPr>
                <w:rFonts w:ascii="仿宋_GB2312" w:hAnsi="仿宋_GB2312" w:cs="仿宋_GB2312" w:eastAsia="仿宋_GB2312"/>
              </w:rPr>
              <w:t>15.数据分析软件支持带通滤波和TDDR方法去运动伪迹；</w:t>
            </w:r>
          </w:p>
          <w:p>
            <w:pPr>
              <w:pStyle w:val="null3"/>
            </w:pPr>
            <w:r>
              <w:rPr>
                <w:rFonts w:ascii="仿宋_GB2312" w:hAnsi="仿宋_GB2312" w:cs="仿宋_GB2312" w:eastAsia="仿宋_GB2312"/>
              </w:rPr>
              <w:t>★16.数据分析软件支持ALFF分析（需提供截图证明）；</w:t>
            </w:r>
          </w:p>
          <w:p>
            <w:pPr>
              <w:pStyle w:val="null3"/>
            </w:pPr>
            <w:r>
              <w:rPr>
                <w:rFonts w:ascii="仿宋_GB2312" w:hAnsi="仿宋_GB2312" w:cs="仿宋_GB2312" w:eastAsia="仿宋_GB2312"/>
              </w:rPr>
              <w:t>★17.数据分析软件支持多条件的GLM系数估计；支持单样本T-test、双样本T-test、配对T-test、方差分析F-test数据分析；支持利用实验条件进行区分，进而进行群组数据分析；提供p值的FDR矫正（需提供截图证明）；</w:t>
            </w:r>
          </w:p>
          <w:p>
            <w:pPr>
              <w:pStyle w:val="null3"/>
            </w:pPr>
            <w:r>
              <w:rPr>
                <w:rFonts w:ascii="仿宋_GB2312" w:hAnsi="仿宋_GB2312" w:cs="仿宋_GB2312" w:eastAsia="仿宋_GB2312"/>
              </w:rPr>
              <w:t>★18.超扫描数据分析：支持利用WTC方法进行脑间同位及异位通道间的脑间神经同步性的计算；</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配置清单：</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配件名称</w:t>
                  </w:r>
                </w:p>
              </w:tc>
              <w:tc>
                <w:tcPr>
                  <w:tcW w:type="dxa" w:w="851"/>
                </w:tcPr>
                <w:p>
                  <w:pPr>
                    <w:pStyle w:val="null3"/>
                  </w:pPr>
                  <w:r>
                    <w:rPr>
                      <w:rFonts w:ascii="仿宋_GB2312" w:hAnsi="仿宋_GB2312" w:cs="仿宋_GB2312" w:eastAsia="仿宋_GB2312"/>
                    </w:rPr>
                    <w:t>数量&amp;单位</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一体化数据采集主机 （每台含12个光源12个接收器）</w:t>
                  </w:r>
                </w:p>
              </w:tc>
              <w:tc>
                <w:tcPr>
                  <w:tcW w:type="dxa" w:w="851"/>
                </w:tcPr>
                <w:p>
                  <w:pPr>
                    <w:pStyle w:val="null3"/>
                  </w:pPr>
                  <w:r>
                    <w:rPr>
                      <w:rFonts w:ascii="仿宋_GB2312" w:hAnsi="仿宋_GB2312" w:cs="仿宋_GB2312" w:eastAsia="仿宋_GB2312"/>
                    </w:rPr>
                    <w:t>1台</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信号接收器</w:t>
                  </w:r>
                </w:p>
              </w:tc>
              <w:tc>
                <w:tcPr>
                  <w:tcW w:type="dxa" w:w="851"/>
                </w:tcPr>
                <w:p>
                  <w:pPr>
                    <w:pStyle w:val="null3"/>
                  </w:pPr>
                  <w:r>
                    <w:rPr>
                      <w:rFonts w:ascii="仿宋_GB2312" w:hAnsi="仿宋_GB2312" w:cs="仿宋_GB2312" w:eastAsia="仿宋_GB2312"/>
                    </w:rPr>
                    <w:t>1个</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自动打标器</w:t>
                  </w:r>
                </w:p>
              </w:tc>
              <w:tc>
                <w:tcPr>
                  <w:tcW w:type="dxa" w:w="851"/>
                </w:tcPr>
                <w:p>
                  <w:pPr>
                    <w:pStyle w:val="null3"/>
                  </w:pPr>
                  <w:r>
                    <w:rPr>
                      <w:rFonts w:ascii="仿宋_GB2312" w:hAnsi="仿宋_GB2312" w:cs="仿宋_GB2312" w:eastAsia="仿宋_GB2312"/>
                    </w:rPr>
                    <w:t>2个</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手动打标器</w:t>
                  </w:r>
                </w:p>
              </w:tc>
              <w:tc>
                <w:tcPr>
                  <w:tcW w:type="dxa" w:w="851"/>
                </w:tcPr>
                <w:p>
                  <w:pPr>
                    <w:pStyle w:val="null3"/>
                  </w:pPr>
                  <w:r>
                    <w:rPr>
                      <w:rFonts w:ascii="仿宋_GB2312" w:hAnsi="仿宋_GB2312" w:cs="仿宋_GB2312" w:eastAsia="仿宋_GB2312"/>
                    </w:rPr>
                    <w:t>1个</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近红外全脑帽</w:t>
                  </w:r>
                </w:p>
              </w:tc>
              <w:tc>
                <w:tcPr>
                  <w:tcW w:type="dxa" w:w="851"/>
                </w:tcPr>
                <w:p>
                  <w:pPr>
                    <w:pStyle w:val="null3"/>
                  </w:pPr>
                  <w:r>
                    <w:rPr>
                      <w:rFonts w:ascii="仿宋_GB2312" w:hAnsi="仿宋_GB2312" w:cs="仿宋_GB2312" w:eastAsia="仿宋_GB2312"/>
                    </w:rPr>
                    <w:t>3顶</w:t>
                  </w:r>
                </w:p>
              </w:tc>
            </w:tr>
            <w:tr>
              <w:tc>
                <w:tcPr>
                  <w:tcW w:type="dxa" w:w="851"/>
                </w:tcPr>
                <w:p>
                  <w:pPr>
                    <w:pStyle w:val="null3"/>
                  </w:pPr>
                  <w:r>
                    <w:rPr>
                      <w:rFonts w:ascii="仿宋_GB2312" w:hAnsi="仿宋_GB2312" w:cs="仿宋_GB2312" w:eastAsia="仿宋_GB2312"/>
                    </w:rPr>
                    <w:t>6</w:t>
                  </w:r>
                </w:p>
              </w:tc>
              <w:tc>
                <w:tcPr>
                  <w:tcW w:type="dxa" w:w="851"/>
                </w:tcPr>
                <w:p>
                  <w:pPr>
                    <w:pStyle w:val="null3"/>
                  </w:pPr>
                  <w:r>
                    <w:rPr>
                      <w:rFonts w:ascii="仿宋_GB2312" w:hAnsi="仿宋_GB2312" w:cs="仿宋_GB2312" w:eastAsia="仿宋_GB2312"/>
                    </w:rPr>
                    <w:t>遮光帽</w:t>
                  </w:r>
                </w:p>
              </w:tc>
              <w:tc>
                <w:tcPr>
                  <w:tcW w:type="dxa" w:w="851"/>
                </w:tcPr>
                <w:p>
                  <w:pPr>
                    <w:pStyle w:val="null3"/>
                  </w:pPr>
                  <w:r>
                    <w:rPr>
                      <w:rFonts w:ascii="仿宋_GB2312" w:hAnsi="仿宋_GB2312" w:cs="仿宋_GB2312" w:eastAsia="仿宋_GB2312"/>
                    </w:rPr>
                    <w:t>1顶</w:t>
                  </w:r>
                </w:p>
              </w:tc>
            </w:tr>
            <w:tr>
              <w:tc>
                <w:tcPr>
                  <w:tcW w:type="dxa" w:w="851"/>
                </w:tcPr>
                <w:p>
                  <w:pPr>
                    <w:pStyle w:val="null3"/>
                  </w:pPr>
                  <w:r>
                    <w:rPr>
                      <w:rFonts w:ascii="仿宋_GB2312" w:hAnsi="仿宋_GB2312" w:cs="仿宋_GB2312" w:eastAsia="仿宋_GB2312"/>
                    </w:rPr>
                    <w:t>7</w:t>
                  </w:r>
                </w:p>
              </w:tc>
              <w:tc>
                <w:tcPr>
                  <w:tcW w:type="dxa" w:w="851"/>
                </w:tcPr>
                <w:p>
                  <w:pPr>
                    <w:pStyle w:val="null3"/>
                  </w:pPr>
                  <w:r>
                    <w:rPr>
                      <w:rFonts w:ascii="仿宋_GB2312" w:hAnsi="仿宋_GB2312" w:cs="仿宋_GB2312" w:eastAsia="仿宋_GB2312"/>
                    </w:rPr>
                    <w:t>光极卡扣</w:t>
                  </w:r>
                </w:p>
              </w:tc>
              <w:tc>
                <w:tcPr>
                  <w:tcW w:type="dxa" w:w="851"/>
                </w:tcPr>
                <w:p>
                  <w:pPr>
                    <w:pStyle w:val="null3"/>
                  </w:pPr>
                  <w:r>
                    <w:rPr>
                      <w:rFonts w:ascii="仿宋_GB2312" w:hAnsi="仿宋_GB2312" w:cs="仿宋_GB2312" w:eastAsia="仿宋_GB2312"/>
                    </w:rPr>
                    <w:t>24个</w:t>
                  </w:r>
                </w:p>
              </w:tc>
            </w:tr>
            <w:tr>
              <w:tc>
                <w:tcPr>
                  <w:tcW w:type="dxa" w:w="851"/>
                </w:tcPr>
                <w:p>
                  <w:pPr>
                    <w:pStyle w:val="null3"/>
                  </w:pPr>
                  <w:r>
                    <w:rPr>
                      <w:rFonts w:ascii="仿宋_GB2312" w:hAnsi="仿宋_GB2312" w:cs="仿宋_GB2312" w:eastAsia="仿宋_GB2312"/>
                    </w:rPr>
                    <w:t>8</w:t>
                  </w:r>
                </w:p>
              </w:tc>
              <w:tc>
                <w:tcPr>
                  <w:tcW w:type="dxa" w:w="851"/>
                </w:tcPr>
                <w:p>
                  <w:pPr>
                    <w:pStyle w:val="null3"/>
                  </w:pPr>
                  <w:r>
                    <w:rPr>
                      <w:rFonts w:ascii="仿宋_GB2312" w:hAnsi="仿宋_GB2312" w:cs="仿宋_GB2312" w:eastAsia="仿宋_GB2312"/>
                    </w:rPr>
                    <w:t>电池</w:t>
                  </w:r>
                </w:p>
              </w:tc>
              <w:tc>
                <w:tcPr>
                  <w:tcW w:type="dxa" w:w="851"/>
                </w:tcPr>
                <w:p>
                  <w:pPr>
                    <w:pStyle w:val="null3"/>
                  </w:pPr>
                  <w:r>
                    <w:rPr>
                      <w:rFonts w:ascii="仿宋_GB2312" w:hAnsi="仿宋_GB2312" w:cs="仿宋_GB2312" w:eastAsia="仿宋_GB2312"/>
                    </w:rPr>
                    <w:t>2块</w:t>
                  </w:r>
                </w:p>
              </w:tc>
            </w:tr>
            <w:tr>
              <w:tc>
                <w:tcPr>
                  <w:tcW w:type="dxa" w:w="851"/>
                </w:tcPr>
                <w:p>
                  <w:pPr>
                    <w:pStyle w:val="null3"/>
                  </w:pPr>
                  <w:r>
                    <w:rPr>
                      <w:rFonts w:ascii="仿宋_GB2312" w:hAnsi="仿宋_GB2312" w:cs="仿宋_GB2312" w:eastAsia="仿宋_GB2312"/>
                    </w:rPr>
                    <w:t>9</w:t>
                  </w:r>
                </w:p>
              </w:tc>
              <w:tc>
                <w:tcPr>
                  <w:tcW w:type="dxa" w:w="851"/>
                </w:tcPr>
                <w:p>
                  <w:pPr>
                    <w:pStyle w:val="null3"/>
                  </w:pPr>
                  <w:r>
                    <w:rPr>
                      <w:rFonts w:ascii="仿宋_GB2312" w:hAnsi="仿宋_GB2312" w:cs="仿宋_GB2312" w:eastAsia="仿宋_GB2312"/>
                    </w:rPr>
                    <w:t>手提箱</w:t>
                  </w:r>
                </w:p>
              </w:tc>
              <w:tc>
                <w:tcPr>
                  <w:tcW w:type="dxa" w:w="851"/>
                </w:tcPr>
                <w:p>
                  <w:pPr>
                    <w:pStyle w:val="null3"/>
                  </w:pPr>
                  <w:r>
                    <w:rPr>
                      <w:rFonts w:ascii="仿宋_GB2312" w:hAnsi="仿宋_GB2312" w:cs="仿宋_GB2312" w:eastAsia="仿宋_GB2312"/>
                    </w:rPr>
                    <w:t>1个</w:t>
                  </w:r>
                </w:p>
              </w:tc>
            </w:tr>
            <w:tr>
              <w:tc>
                <w:tcPr>
                  <w:tcW w:type="dxa" w:w="851"/>
                </w:tcPr>
                <w:p>
                  <w:pPr>
                    <w:pStyle w:val="null3"/>
                  </w:pPr>
                  <w:r>
                    <w:rPr>
                      <w:rFonts w:ascii="仿宋_GB2312" w:hAnsi="仿宋_GB2312" w:cs="仿宋_GB2312" w:eastAsia="仿宋_GB2312"/>
                    </w:rPr>
                    <w:t>10</w:t>
                  </w:r>
                </w:p>
              </w:tc>
              <w:tc>
                <w:tcPr>
                  <w:tcW w:type="dxa" w:w="851"/>
                </w:tcPr>
                <w:p>
                  <w:pPr>
                    <w:pStyle w:val="null3"/>
                  </w:pPr>
                  <w:r>
                    <w:rPr>
                      <w:rFonts w:ascii="仿宋_GB2312" w:hAnsi="仿宋_GB2312" w:cs="仿宋_GB2312" w:eastAsia="仿宋_GB2312"/>
                    </w:rPr>
                    <w:t>近红外采集分析软件</w:t>
                  </w:r>
                </w:p>
              </w:tc>
              <w:tc>
                <w:tcPr>
                  <w:tcW w:type="dxa" w:w="851"/>
                </w:tcPr>
                <w:p>
                  <w:pPr>
                    <w:pStyle w:val="null3"/>
                  </w:pPr>
                  <w:r>
                    <w:rPr>
                      <w:rFonts w:ascii="仿宋_GB2312" w:hAnsi="仿宋_GB2312" w:cs="仿宋_GB2312" w:eastAsia="仿宋_GB2312"/>
                    </w:rPr>
                    <w:t>1套</w:t>
                  </w:r>
                </w:p>
              </w:tc>
            </w:tr>
            <w:tr>
              <w:tc>
                <w:tcPr>
                  <w:tcW w:type="dxa" w:w="851"/>
                </w:tcPr>
                <w:p>
                  <w:pPr>
                    <w:pStyle w:val="null3"/>
                  </w:pPr>
                  <w:r>
                    <w:rPr>
                      <w:rFonts w:ascii="仿宋_GB2312" w:hAnsi="仿宋_GB2312" w:cs="仿宋_GB2312" w:eastAsia="仿宋_GB2312"/>
                    </w:rPr>
                    <w:t>11</w:t>
                  </w:r>
                </w:p>
              </w:tc>
              <w:tc>
                <w:tcPr>
                  <w:tcW w:type="dxa" w:w="851"/>
                </w:tcPr>
                <w:p>
                  <w:pPr>
                    <w:pStyle w:val="null3"/>
                  </w:pPr>
                  <w:r>
                    <w:rPr>
                      <w:rFonts w:ascii="仿宋_GB2312" w:hAnsi="仿宋_GB2312" w:cs="仿宋_GB2312" w:eastAsia="仿宋_GB2312"/>
                    </w:rPr>
                    <w:t>USB扩展坞</w:t>
                  </w:r>
                </w:p>
              </w:tc>
              <w:tc>
                <w:tcPr>
                  <w:tcW w:type="dxa" w:w="851"/>
                </w:tcPr>
                <w:p>
                  <w:pPr>
                    <w:pStyle w:val="null3"/>
                  </w:pPr>
                  <w:r>
                    <w:rPr>
                      <w:rFonts w:ascii="仿宋_GB2312" w:hAnsi="仿宋_GB2312" w:cs="仿宋_GB2312" w:eastAsia="仿宋_GB2312"/>
                    </w:rPr>
                    <w:t>1个</w:t>
                  </w:r>
                </w:p>
              </w:tc>
            </w:tr>
            <w:tr>
              <w:tc>
                <w:tcPr>
                  <w:tcW w:type="dxa" w:w="851"/>
                </w:tcPr>
                <w:p>
                  <w:pPr>
                    <w:pStyle w:val="null3"/>
                  </w:pPr>
                  <w:r>
                    <w:rPr>
                      <w:rFonts w:ascii="仿宋_GB2312" w:hAnsi="仿宋_GB2312" w:cs="仿宋_GB2312" w:eastAsia="仿宋_GB2312"/>
                    </w:rPr>
                    <w:t>12</w:t>
                  </w:r>
                </w:p>
              </w:tc>
              <w:tc>
                <w:tcPr>
                  <w:tcW w:type="dxa" w:w="851"/>
                </w:tcPr>
                <w:p>
                  <w:pPr>
                    <w:pStyle w:val="null3"/>
                  </w:pPr>
                  <w:r>
                    <w:rPr>
                      <w:rFonts w:ascii="仿宋_GB2312" w:hAnsi="仿宋_GB2312" w:cs="仿宋_GB2312" w:eastAsia="仿宋_GB2312"/>
                    </w:rPr>
                    <w:t>头模</w:t>
                  </w:r>
                </w:p>
              </w:tc>
              <w:tc>
                <w:tcPr>
                  <w:tcW w:type="dxa" w:w="851"/>
                </w:tcPr>
                <w:p>
                  <w:pPr>
                    <w:pStyle w:val="null3"/>
                  </w:pPr>
                  <w:r>
                    <w:rPr>
                      <w:rFonts w:ascii="仿宋_GB2312" w:hAnsi="仿宋_GB2312" w:cs="仿宋_GB2312" w:eastAsia="仿宋_GB2312"/>
                    </w:rPr>
                    <w:t>1个</w:t>
                  </w:r>
                </w:p>
              </w:tc>
            </w:tr>
            <w:tr>
              <w:tc>
                <w:tcPr>
                  <w:tcW w:type="dxa" w:w="851"/>
                </w:tcPr>
                <w:p>
                  <w:pPr>
                    <w:pStyle w:val="null3"/>
                  </w:pPr>
                  <w:r>
                    <w:rPr>
                      <w:rFonts w:ascii="仿宋_GB2312" w:hAnsi="仿宋_GB2312" w:cs="仿宋_GB2312" w:eastAsia="仿宋_GB2312"/>
                    </w:rPr>
                    <w:t>13</w:t>
                  </w:r>
                </w:p>
              </w:tc>
              <w:tc>
                <w:tcPr>
                  <w:tcW w:type="dxa" w:w="851"/>
                </w:tcPr>
                <w:p>
                  <w:pPr>
                    <w:pStyle w:val="null3"/>
                  </w:pPr>
                  <w:r>
                    <w:rPr>
                      <w:rFonts w:ascii="仿宋_GB2312" w:hAnsi="仿宋_GB2312" w:cs="仿宋_GB2312" w:eastAsia="仿宋_GB2312"/>
                    </w:rPr>
                    <w:t>拨头发工具</w:t>
                  </w:r>
                </w:p>
              </w:tc>
              <w:tc>
                <w:tcPr>
                  <w:tcW w:type="dxa" w:w="851"/>
                </w:tcPr>
                <w:p>
                  <w:pPr>
                    <w:pStyle w:val="null3"/>
                  </w:pPr>
                  <w:r>
                    <w:rPr>
                      <w:rFonts w:ascii="仿宋_GB2312" w:hAnsi="仿宋_GB2312" w:cs="仿宋_GB2312" w:eastAsia="仿宋_GB2312"/>
                    </w:rPr>
                    <w:t>2个</w:t>
                  </w:r>
                </w:p>
              </w:tc>
            </w:tr>
            <w:tr>
              <w:tc>
                <w:tcPr>
                  <w:tcW w:type="dxa" w:w="851"/>
                </w:tcPr>
                <w:p>
                  <w:pPr>
                    <w:pStyle w:val="null3"/>
                  </w:pPr>
                  <w:r>
                    <w:rPr>
                      <w:rFonts w:ascii="仿宋_GB2312" w:hAnsi="仿宋_GB2312" w:cs="仿宋_GB2312" w:eastAsia="仿宋_GB2312"/>
                    </w:rPr>
                    <w:t>14</w:t>
                  </w:r>
                </w:p>
              </w:tc>
              <w:tc>
                <w:tcPr>
                  <w:tcW w:type="dxa" w:w="851"/>
                </w:tcPr>
                <w:p>
                  <w:pPr>
                    <w:pStyle w:val="null3"/>
                  </w:pPr>
                  <w:r>
                    <w:rPr>
                      <w:rFonts w:ascii="仿宋_GB2312" w:hAnsi="仿宋_GB2312" w:cs="仿宋_GB2312" w:eastAsia="仿宋_GB2312"/>
                    </w:rPr>
                    <w:t>多模态环境参考模块</w:t>
                  </w:r>
                </w:p>
              </w:tc>
              <w:tc>
                <w:tcPr>
                  <w:tcW w:type="dxa" w:w="851"/>
                </w:tcPr>
                <w:p>
                  <w:pPr>
                    <w:pStyle w:val="null3"/>
                  </w:pPr>
                  <w:r>
                    <w:rPr>
                      <w:rFonts w:ascii="仿宋_GB2312" w:hAnsi="仿宋_GB2312" w:cs="仿宋_GB2312" w:eastAsia="仿宋_GB2312"/>
                    </w:rPr>
                    <w:t>1个</w:t>
                  </w:r>
                </w:p>
              </w:tc>
            </w:tr>
          </w:tbl>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注：</w:t>
            </w:r>
          </w:p>
          <w:p>
            <w:pPr>
              <w:pStyle w:val="null3"/>
            </w:pPr>
            <w:r>
              <w:rPr>
                <w:rFonts w:ascii="仿宋_GB2312" w:hAnsi="仿宋_GB2312" w:cs="仿宋_GB2312" w:eastAsia="仿宋_GB2312"/>
              </w:rPr>
              <w:t>1.标“★”项：以上技术参数与性能指标标“★”项不允许负偏离，任意一项负偏离按无效谈判处理。需提供佐证材料（3.3技术要求序号1、2）：①指标项有明确要求的：须按照指标项要求提供对应证明材料；②指标要求未做说明的，佐证材料不限于产品彩页、检测报告、官网功能截图、生产厂家加盖公章的技术参数与性能指标证明材料等，未提供或提供的证明材料低于文件规定的相应技术参数时视为负偏离 。</w:t>
            </w:r>
          </w:p>
          <w:p>
            <w:pPr>
              <w:pStyle w:val="null3"/>
            </w:pPr>
            <w:r>
              <w:rPr>
                <w:rFonts w:ascii="仿宋_GB2312" w:hAnsi="仿宋_GB2312" w:cs="仿宋_GB2312" w:eastAsia="仿宋_GB2312"/>
              </w:rPr>
              <w:t>2.非标“★”项：偏离数量超过10项，按无效谈判处理，响应情况以技术指标偏差表响应为准。</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培训要求：</w:t>
            </w:r>
          </w:p>
          <w:p>
            <w:pPr>
              <w:pStyle w:val="null3"/>
            </w:pPr>
            <w:r>
              <w:rPr>
                <w:rFonts w:ascii="仿宋_GB2312" w:hAnsi="仿宋_GB2312" w:cs="仿宋_GB2312" w:eastAsia="仿宋_GB2312"/>
              </w:rPr>
              <w:t>培训内容及要求:设备原理，制样，仪器操作，数据处理，培训不再额外收取任何费用。</w:t>
            </w:r>
          </w:p>
          <w:p>
            <w:pPr>
              <w:pStyle w:val="null3"/>
            </w:pPr>
            <w:r>
              <w:rPr>
                <w:rFonts w:ascii="仿宋_GB2312" w:hAnsi="仿宋_GB2312" w:cs="仿宋_GB2312" w:eastAsia="仿宋_GB2312"/>
              </w:rPr>
              <w:t>其他要求：</w:t>
            </w:r>
          </w:p>
          <w:p>
            <w:pPr>
              <w:pStyle w:val="null3"/>
            </w:pPr>
            <w:r>
              <w:rPr>
                <w:rFonts w:ascii="仿宋_GB2312" w:hAnsi="仿宋_GB2312" w:cs="仿宋_GB2312" w:eastAsia="仿宋_GB2312"/>
              </w:rPr>
              <w:t>提供产品使用寿命承诺书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合同签订之日起30个日历日内完成交付、安装及调试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采购人指定实验室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其他，签订合同后15日内，乙方提供经甲方认可的合同金额100%的预付款保函或双方认可的其他担保措施，支付合同金额的100%，达到付款条件起10个工作日内，支付合同总金额的100.0%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验收合格通过之日起3年。2、售后服务响应时间(质保期内)：即时响应(包括电话响应);电话响应无法解决24小时内到达现场。修复时间48小时内解决;如在48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1、核心产品：便携式脑光谱成像仪 2、中标（成交）结果发布后，中标（成交）供应商在2个工作日内向采购代理机构提供一正一副（和上传文件保持一致的）纸质投标（响应）文件用于备案及档案保存。 3、谈判保证金以电子保函形式递交需在谈判截止时间前发送一份扫描件至526159856@qq.com。 4.本项目落实《国务院办公厅关于在政府采购中实施本国产品标准及相关政策的通知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 5、因系统原因，最终签订合同的付款方式是：签订合同后15日内，乙方提供经甲方认可的合同金额100%的预付款保函或双方认可的其他担保措施，支付合同金额的100%。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 ： 1、有效的主体资格证明：提供合法有效的统一社会信用代码营业执照（事业单位提供事业单位法人证书，自然人应提供身份证）； 2、税收缴纳证明：提供2025年5月1日以来任意时间段的依法缴纳税收的相关凭据（时间以税款所属时期为准），凭据应有税务机关或代收机关的公章或业务专用章。依法免税或无须缴纳税收的供应商，应提供相应证明文件； 3、社会保障资金缴纳证明：提供2025年5月1日以来任意时间段的社会保障资金缴存单据或社保机构开具的社会保险参保缴费情况证明。依法不需要缴纳社会保障资金的供应商应提供相关文件证明；4、具有履行合同所必需的设备和专业技术能力的书面声明：具有履行合同所必需的设备和专业技术能力的书面声明； 5、书面声明：参加政府采购活动前3年内在经营活动中没有重大违法记录的书面声明。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02-资格要求证明资料.pdf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经审计完整的财务审计报告（审计报告须具有注册会计师行业统一监管平台https://acc.mof.gov.cn赋予的验证码）（成立时间至提交响应文件截止时间不足一年的可提供成立后任意时段的资产负债表），或其谈判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02-资格要求证明资料.pdf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02-资格要求证明资料.pdf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非法定代表人参加投标的，须提供法定代表人委托授权书及被授权人身份证复印件，法定代表人参加投标时,只需提供法定代表人身份证复印件</w:t>
            </w:r>
          </w:p>
        </w:tc>
        <w:tc>
          <w:tcPr>
            <w:tcW w:type="dxa" w:w="1661"/>
          </w:tcPr>
          <w:p>
            <w:pPr>
              <w:pStyle w:val="null3"/>
            </w:pPr>
            <w:r>
              <w:rPr>
                <w:rFonts w:ascii="仿宋_GB2312" w:hAnsi="仿宋_GB2312" w:cs="仿宋_GB2312" w:eastAsia="仿宋_GB2312"/>
              </w:rPr>
              <w:t>02-资格要求证明资料.pdf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非联合体投标声明函</w:t>
            </w:r>
          </w:p>
        </w:tc>
        <w:tc>
          <w:tcPr>
            <w:tcW w:type="dxa" w:w="1661"/>
          </w:tcPr>
          <w:p>
            <w:pPr>
              <w:pStyle w:val="null3"/>
            </w:pPr>
            <w:r>
              <w:rPr>
                <w:rFonts w:ascii="仿宋_GB2312" w:hAnsi="仿宋_GB2312" w:cs="仿宋_GB2312" w:eastAsia="仿宋_GB2312"/>
              </w:rPr>
              <w:t>02-资格要求证明资料.pdf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评审环节审查）</w:t>
            </w:r>
          </w:p>
        </w:tc>
        <w:tc>
          <w:tcPr>
            <w:tcW w:type="dxa" w:w="1661"/>
          </w:tcPr>
          <w:p>
            <w:pPr>
              <w:pStyle w:val="null3"/>
            </w:pPr>
            <w:r>
              <w:rPr>
                <w:rFonts w:ascii="仿宋_GB2312" w:hAnsi="仿宋_GB2312" w:cs="仿宋_GB2312" w:eastAsia="仿宋_GB2312"/>
              </w:rPr>
              <w:t>标的清单 04-分项报价表.pdf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 效响应处理：(1)响应文件未按照采购文件规定要求签署、盖章； (2)不满足本谈判文件中“交货时间、交货地点、采购资金的支付方式及约定、质量保修范围和保修期”的实质性条款要求； (3)谈判有效期不足或无有效期； (4)报价超过谈判文件中规定的采购预算或最高限价； (5)保证金交纳不符合谈判文件要求；（6）不满足本谈判文件中标注“★”的实质性条款要求的(7)法律、法规和谈判文件规定的其他无效情形。</w:t>
            </w:r>
          </w:p>
        </w:tc>
        <w:tc>
          <w:tcPr>
            <w:tcW w:type="dxa" w:w="1661"/>
          </w:tcPr>
          <w:p>
            <w:pPr>
              <w:pStyle w:val="null3"/>
            </w:pPr>
            <w:r>
              <w:rPr>
                <w:rFonts w:ascii="仿宋_GB2312" w:hAnsi="仿宋_GB2312" w:cs="仿宋_GB2312" w:eastAsia="仿宋_GB2312"/>
              </w:rPr>
              <w:t>11-产品使用寿命承诺书.pdf 响应文件封面 08-拒绝商业贿赂承诺书.pdf 10-谈判保证金.pdf 07-谈判响应方案说明.pdf 04-分项报价表.pdf 05-服务承诺.pdf 09-商务条款响应说明.pdf 03-诚信承诺书.pdf 02-资格要求证明资料.pdf 06-技术指标偏差表.pdf</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按照最后评审报价由低到高的顺序推荐。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详见附件：02-资格要求证明资料.pdf</w:t>
      </w:r>
    </w:p>
    <w:p>
      <w:pPr>
        <w:pStyle w:val="null3"/>
        <w:ind w:firstLine="960"/>
      </w:pPr>
      <w:r>
        <w:rPr>
          <w:rFonts w:ascii="仿宋_GB2312" w:hAnsi="仿宋_GB2312" w:cs="仿宋_GB2312" w:eastAsia="仿宋_GB2312"/>
        </w:rPr>
        <w:t>详见附件：03-诚信承诺书.pdf</w:t>
      </w:r>
    </w:p>
    <w:p>
      <w:pPr>
        <w:pStyle w:val="null3"/>
        <w:ind w:firstLine="960"/>
      </w:pPr>
      <w:r>
        <w:rPr>
          <w:rFonts w:ascii="仿宋_GB2312" w:hAnsi="仿宋_GB2312" w:cs="仿宋_GB2312" w:eastAsia="仿宋_GB2312"/>
        </w:rPr>
        <w:t>详见附件：04-分项报价表.pdf</w:t>
      </w:r>
    </w:p>
    <w:p>
      <w:pPr>
        <w:pStyle w:val="null3"/>
        <w:ind w:firstLine="960"/>
      </w:pPr>
      <w:r>
        <w:rPr>
          <w:rFonts w:ascii="仿宋_GB2312" w:hAnsi="仿宋_GB2312" w:cs="仿宋_GB2312" w:eastAsia="仿宋_GB2312"/>
        </w:rPr>
        <w:t>详见附件：05-服务承诺.pdf</w:t>
      </w:r>
    </w:p>
    <w:p>
      <w:pPr>
        <w:pStyle w:val="null3"/>
        <w:ind w:firstLine="960"/>
      </w:pPr>
      <w:r>
        <w:rPr>
          <w:rFonts w:ascii="仿宋_GB2312" w:hAnsi="仿宋_GB2312" w:cs="仿宋_GB2312" w:eastAsia="仿宋_GB2312"/>
        </w:rPr>
        <w:t>详见附件：06-技术指标偏差表.pdf</w:t>
      </w:r>
    </w:p>
    <w:p>
      <w:pPr>
        <w:pStyle w:val="null3"/>
        <w:ind w:firstLine="960"/>
      </w:pPr>
      <w:r>
        <w:rPr>
          <w:rFonts w:ascii="仿宋_GB2312" w:hAnsi="仿宋_GB2312" w:cs="仿宋_GB2312" w:eastAsia="仿宋_GB2312"/>
        </w:rPr>
        <w:t>详见附件：07-谈判响应方案说明.pdf</w:t>
      </w:r>
    </w:p>
    <w:p>
      <w:pPr>
        <w:pStyle w:val="null3"/>
        <w:ind w:firstLine="960"/>
      </w:pPr>
      <w:r>
        <w:rPr>
          <w:rFonts w:ascii="仿宋_GB2312" w:hAnsi="仿宋_GB2312" w:cs="仿宋_GB2312" w:eastAsia="仿宋_GB2312"/>
        </w:rPr>
        <w:t>详见附件：08-拒绝商业贿赂承诺书.pdf</w:t>
      </w:r>
    </w:p>
    <w:p>
      <w:pPr>
        <w:pStyle w:val="null3"/>
        <w:ind w:firstLine="960"/>
      </w:pPr>
      <w:r>
        <w:rPr>
          <w:rFonts w:ascii="仿宋_GB2312" w:hAnsi="仿宋_GB2312" w:cs="仿宋_GB2312" w:eastAsia="仿宋_GB2312"/>
        </w:rPr>
        <w:t>详见附件：09-商务条款响应说明.pdf</w:t>
      </w:r>
    </w:p>
    <w:p>
      <w:pPr>
        <w:pStyle w:val="null3"/>
        <w:ind w:firstLine="960"/>
      </w:pPr>
      <w:r>
        <w:rPr>
          <w:rFonts w:ascii="仿宋_GB2312" w:hAnsi="仿宋_GB2312" w:cs="仿宋_GB2312" w:eastAsia="仿宋_GB2312"/>
        </w:rPr>
        <w:t>详见附件：10-谈判保证金.pdf</w:t>
      </w:r>
    </w:p>
    <w:p>
      <w:pPr>
        <w:pStyle w:val="null3"/>
        <w:ind w:firstLine="960"/>
      </w:pPr>
      <w:r>
        <w:rPr>
          <w:rFonts w:ascii="仿宋_GB2312" w:hAnsi="仿宋_GB2312" w:cs="仿宋_GB2312" w:eastAsia="仿宋_GB2312"/>
        </w:rPr>
        <w:t>详见附件：11-产品使用寿命承诺书.pdf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详见附件：01-合同文本.docx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