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版本号：XMZB-202600820260528001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2025年大中型水库移民后期扶持资金绩效评价项目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XMZB-2026008</w:t>
      </w:r>
      <w:r>
        <w:br/>
      </w:r>
      <w:r>
        <w:br/>
      </w:r>
      <w:r>
        <w:br/>
      </w:r>
    </w:p>
    <w:p>
      <w:pPr>
        <w:pStyle w:val="null3"/>
        <w:jc w:val="center"/>
        <w:outlineLvl w:val="2"/>
      </w:pPr>
      <w:r>
        <w:rPr>
          <w:rFonts w:ascii="仿宋_GB2312" w:hAnsi="仿宋_GB2312" w:cs="仿宋_GB2312" w:eastAsia="仿宋_GB2312"/>
          <w:sz w:val="28"/>
          <w:b/>
        </w:rPr>
        <w:t>陕西省水土保持和移民工作中心</w:t>
      </w:r>
    </w:p>
    <w:p>
      <w:pPr>
        <w:pStyle w:val="null3"/>
        <w:jc w:val="center"/>
        <w:outlineLvl w:val="2"/>
      </w:pPr>
      <w:r>
        <w:rPr>
          <w:rFonts w:ascii="仿宋_GB2312" w:hAnsi="仿宋_GB2312" w:cs="仿宋_GB2312" w:eastAsia="仿宋_GB2312"/>
          <w:sz w:val="28"/>
          <w:b/>
        </w:rPr>
        <w:t>陕西雄迈工程项目管理有限公司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陕西雄迈工程项目管理有限公司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陕西省水土保持和移民工作中心</w:t>
      </w:r>
      <w:r>
        <w:rPr>
          <w:rFonts w:ascii="仿宋_GB2312" w:hAnsi="仿宋_GB2312" w:cs="仿宋_GB2312" w:eastAsia="仿宋_GB2312"/>
        </w:rPr>
        <w:t>委托，拟对</w:t>
      </w:r>
      <w:r>
        <w:rPr>
          <w:rFonts w:ascii="仿宋_GB2312" w:hAnsi="仿宋_GB2312" w:cs="仿宋_GB2312" w:eastAsia="仿宋_GB2312"/>
        </w:rPr>
        <w:t>2025年大中型水库移民后期扶持资金绩效评价项目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XMZB-2026008</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2025年大中型水库移民后期扶持资金绩效评价项目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对全省涉及水库移民后期扶持资金使用的10个市（市、区）、104个县（市、区）2024年度预算资金绩效目标的实现情况进行综合评价。对各市为促进后期扶持政策实施和实现年度绩效目标而开展的相关管理工作进行综合评价，包括政策制度、项目管理和资金管理等情况；从提高绩效的角度查找并分析产生的问题，提出针对性的措施和建议。需满足财政部、水利部、国家发展改革委《中央水库移民扶持基金绩效管理暂行办法》（财农〔2018〕174号）和财政部《大中型水库移民后期扶持基金项目资金管理办法》（财农〔2017〕128号）及《陕西省水库移民扶持基金绩效管理实施细则》（陕财办农〔2019〕67号）要求。</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p>
    <w:p>
      <w:pPr>
        <w:pStyle w:val="null3"/>
      </w:pPr>
      <w:r>
        <w:rPr>
          <w:rFonts w:ascii="仿宋_GB2312" w:hAnsi="仿宋_GB2312" w:cs="仿宋_GB2312" w:eastAsia="仿宋_GB2312"/>
        </w:rPr>
        <w:t>2、财务状况报告：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p>
    <w:p>
      <w:pPr>
        <w:pStyle w:val="null3"/>
      </w:pPr>
      <w:r>
        <w:rPr>
          <w:rFonts w:ascii="仿宋_GB2312" w:hAnsi="仿宋_GB2312" w:cs="仿宋_GB2312" w:eastAsia="仿宋_GB2312"/>
        </w:rPr>
        <w:t>3、社保缴纳证明：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p>
    <w:p>
      <w:pPr>
        <w:pStyle w:val="null3"/>
      </w:pPr>
      <w:r>
        <w:rPr>
          <w:rFonts w:ascii="仿宋_GB2312" w:hAnsi="仿宋_GB2312" w:cs="仿宋_GB2312" w:eastAsia="仿宋_GB2312"/>
        </w:rPr>
        <w:t>4、税收缴纳证明：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p>
    <w:p>
      <w:pPr>
        <w:pStyle w:val="null3"/>
      </w:pPr>
      <w:r>
        <w:rPr>
          <w:rFonts w:ascii="仿宋_GB2312" w:hAnsi="仿宋_GB2312" w:cs="仿宋_GB2312" w:eastAsia="仿宋_GB2312"/>
        </w:rPr>
        <w:t>5、具有履行本合同所必需的设备和专业技术能力：具有履行合同所必需的设备和专业技术能力，提供承诺书：供应商在项目电子化交易系统中按要求上传提供承诺书并进行电子签章；</w:t>
      </w:r>
    </w:p>
    <w:p>
      <w:pPr>
        <w:pStyle w:val="null3"/>
      </w:pPr>
      <w:r>
        <w:rPr>
          <w:rFonts w:ascii="仿宋_GB2312" w:hAnsi="仿宋_GB2312" w:cs="仿宋_GB2312" w:eastAsia="仿宋_GB2312"/>
        </w:rPr>
        <w:t>6、参加政府采购活动前三年内，在经营活动中没有重大违法记录：参加政府采购活动前3年内，在经营活动中没有重大违法记录的书面声明：供应商需在项目电子化交易系统中按要求上传书面声明并进行电子签章；</w:t>
      </w:r>
    </w:p>
    <w:p>
      <w:pPr>
        <w:pStyle w:val="null3"/>
      </w:pPr>
      <w:r>
        <w:rPr>
          <w:rFonts w:ascii="仿宋_GB2312" w:hAnsi="仿宋_GB2312" w:cs="仿宋_GB2312" w:eastAsia="仿宋_GB2312"/>
        </w:rPr>
        <w:t>7、信用查询：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8、授权委托人身份证明：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陕西省水土保持和移民工作中心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西一路73#</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王烽火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87382507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陕西雄迈工程项目管理有限公司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电子三路西京国际电气中心A座906室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刘畅</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029-68969891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采购包1：762,100.00元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代理服务费收费标准：本项目收取代理服务费 代理服务费用收取对象：中标/成交供应商 代理服务费收费标准：采购代理服务费参照原国家计委《招标代理服务收费管理暂行办法》 (计价格[2002]1980号）文件计取。</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陕西省水土保持和移民工作中心</w:t>
      </w:r>
      <w:r>
        <w:rPr>
          <w:rFonts w:ascii="仿宋_GB2312" w:hAnsi="仿宋_GB2312" w:cs="仿宋_GB2312" w:eastAsia="仿宋_GB2312"/>
        </w:rPr>
        <w:t>和</w:t>
      </w:r>
      <w:r>
        <w:rPr>
          <w:rFonts w:ascii="仿宋_GB2312" w:hAnsi="仿宋_GB2312" w:cs="仿宋_GB2312" w:eastAsia="仿宋_GB2312"/>
        </w:rPr>
        <w:t>陕西雄迈工程项目管理有限公司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陕西省水土保持和移民工作中心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陕西雄迈工程项目管理有限公司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陕西省水土保持和移民工作中心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陕西雄迈工程项目管理有限公司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满足2025年大中型水库移民后期扶持资金绩效评价项目及国家移民后扶有关政策的要求。</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陕西雄迈工程项目管理有限公司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联系人：王伟</w:t>
      </w:r>
    </w:p>
    <w:p>
      <w:pPr>
        <w:pStyle w:val="null3"/>
      </w:pPr>
      <w:r>
        <w:rPr>
          <w:rFonts w:ascii="仿宋_GB2312" w:hAnsi="仿宋_GB2312" w:cs="仿宋_GB2312" w:eastAsia="仿宋_GB2312"/>
        </w:rPr>
        <w:t>联系电话：029-68969891</w:t>
      </w:r>
    </w:p>
    <w:p>
      <w:pPr>
        <w:pStyle w:val="null3"/>
      </w:pPr>
      <w:r>
        <w:rPr>
          <w:rFonts w:ascii="仿宋_GB2312" w:hAnsi="仿宋_GB2312" w:cs="仿宋_GB2312" w:eastAsia="仿宋_GB2312"/>
        </w:rPr>
        <w:t>地址：电子三路西京国际电气中心A座906室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对全省涉及水库移民后期扶持资金使用的10个市（市、区）、104个县（市、区）2024年度预算资金绩效目标的实现情况进行综合评价。对各市为促进后期扶持政策实施和实现年度绩效目标而开展的相关管理工作进行综合评价，包括政策制度、项目管理和资金管理等情况；从提高绩效的角度查找并分析产生的问题，提出针对性的措施和建议。需满足财政部、水利部、国家发展改革委《中央水库移民扶持基金绩效管理暂行办法》（财农〔2018〕174号）和财政部《大中型水库移民后期扶持基金项目资金管理办法》（财农〔2017〕128号）及《陕西省水库移民扶持基金绩效管理实施细则》（陕财办农〔2019〕67号）要求。</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762,100.00</w:t>
      </w:r>
    </w:p>
    <w:p>
      <w:pPr>
        <w:pStyle w:val="null3"/>
      </w:pPr>
      <w:r>
        <w:rPr>
          <w:rFonts w:ascii="仿宋_GB2312" w:hAnsi="仿宋_GB2312" w:cs="仿宋_GB2312" w:eastAsia="仿宋_GB2312"/>
        </w:rPr>
        <w:t>采购包最高限价（元）: 762,100.00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2025年大中型水库移民后期扶持资金绩效评价项目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762,100.00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标的名称：2025年大中型水库移民后期扶持资金绩效评价项目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w:t>
            </w:r>
            <w:r>
              <w:rPr>
                <w:rFonts w:ascii="仿宋_GB2312" w:hAnsi="仿宋_GB2312" w:cs="仿宋_GB2312" w:eastAsia="仿宋_GB2312"/>
                <w:sz w:val="21"/>
                <w:b/>
              </w:rPr>
              <w:t>、采购项目概况</w:t>
            </w:r>
          </w:p>
          <w:p>
            <w:pPr>
              <w:pStyle w:val="null3"/>
              <w:ind w:firstLine="420"/>
            </w:pPr>
            <w:r>
              <w:rPr>
                <w:rFonts w:ascii="仿宋_GB2312" w:hAnsi="仿宋_GB2312" w:cs="仿宋_GB2312" w:eastAsia="仿宋_GB2312"/>
                <w:sz w:val="21"/>
              </w:rPr>
              <w:t>对全省涉及水库移民后期扶持资金使用的</w:t>
            </w:r>
            <w:r>
              <w:rPr>
                <w:rFonts w:ascii="仿宋_GB2312" w:hAnsi="仿宋_GB2312" w:cs="仿宋_GB2312" w:eastAsia="仿宋_GB2312"/>
                <w:sz w:val="21"/>
              </w:rPr>
              <w:t>10个市（市、区）、104个县（市、区）2024年度预算资金绩效目标的实现情况进行综合评价。对各市为促进后期扶持政策实施和实现年度绩效目标而开展的相关管理工作进行综合评价，包括政策制度、项目管理和资金管理等情况；从提高绩效的角度查找并分析产生的问题，提出针对性的措施和建议。需满足财政部、水利部、国家发展改革委《中央水库移民扶持基金绩效管理暂行办法》（财农〔2018〕174号）和财政部《大中型水库移民后期扶持基金项目资金管理办法》（财农〔2017〕128号）及《陕西省水库移民扶持基金绩效管理实施细则》（陕财办农〔2019〕67号）要求。</w:t>
            </w:r>
            <w:r>
              <w:rPr>
                <w:rFonts w:ascii="仿宋_GB2312" w:hAnsi="仿宋_GB2312" w:cs="仿宋_GB2312" w:eastAsia="仿宋_GB2312"/>
                <w:sz w:val="21"/>
              </w:rPr>
              <w:t>需满足财政部、水利部、国家发展改革委《中央水库移民扶持基金绩效管理暂行办法》（财农〔</w:t>
            </w:r>
            <w:r>
              <w:rPr>
                <w:rFonts w:ascii="仿宋_GB2312" w:hAnsi="仿宋_GB2312" w:cs="仿宋_GB2312" w:eastAsia="仿宋_GB2312"/>
                <w:sz w:val="21"/>
              </w:rPr>
              <w:t>2018〕174号）和财政部《大中型水库移民后期扶持基金项目资金管理办法》（财农〔2017〕128号）及《陕西省水库移民扶持基金绩效管理实施细则》（陕财办农〔2019〕67号）要求</w:t>
            </w:r>
            <w:r>
              <w:rPr>
                <w:rFonts w:ascii="仿宋_GB2312" w:hAnsi="仿宋_GB2312" w:cs="仿宋_GB2312" w:eastAsia="仿宋_GB2312"/>
                <w:sz w:val="21"/>
              </w:rPr>
              <w:t>。</w:t>
            </w:r>
          </w:p>
          <w:p>
            <w:pPr>
              <w:pStyle w:val="null3"/>
            </w:pPr>
            <w:r>
              <w:rPr>
                <w:rFonts w:ascii="仿宋_GB2312" w:hAnsi="仿宋_GB2312" w:cs="仿宋_GB2312" w:eastAsia="仿宋_GB2312"/>
                <w:sz w:val="21"/>
                <w:b/>
              </w:rPr>
              <w:t>二、服务内容及服务要求</w:t>
            </w:r>
          </w:p>
          <w:p>
            <w:pPr>
              <w:pStyle w:val="null3"/>
              <w:ind w:firstLine="480"/>
              <w:jc w:val="left"/>
            </w:pPr>
            <w:r>
              <w:rPr>
                <w:rFonts w:ascii="仿宋_GB2312" w:hAnsi="仿宋_GB2312" w:cs="仿宋_GB2312" w:eastAsia="仿宋_GB2312"/>
                <w:sz w:val="21"/>
              </w:rPr>
              <w:t>对全省涉及水库移民后期扶持资金使用的</w:t>
            </w:r>
            <w:r>
              <w:rPr>
                <w:rFonts w:ascii="仿宋_GB2312" w:hAnsi="仿宋_GB2312" w:cs="仿宋_GB2312" w:eastAsia="仿宋_GB2312"/>
                <w:sz w:val="21"/>
              </w:rPr>
              <w:t>10个市（市、区）、104个县（市、区）2024年度预算资金绩效目标的实现情况进行综合评价</w:t>
            </w:r>
            <w:r>
              <w:rPr>
                <w:rFonts w:ascii="仿宋_GB2312" w:hAnsi="仿宋_GB2312" w:cs="仿宋_GB2312" w:eastAsia="仿宋_GB2312"/>
                <w:sz w:val="21"/>
              </w:rPr>
              <w:t>。</w:t>
            </w:r>
          </w:p>
          <w:p>
            <w:pPr>
              <w:pStyle w:val="null3"/>
            </w:pPr>
            <w:r>
              <w:rPr>
                <w:rFonts w:ascii="仿宋_GB2312" w:hAnsi="仿宋_GB2312" w:cs="仿宋_GB2312" w:eastAsia="仿宋_GB2312"/>
                <w:sz w:val="21"/>
                <w:b/>
              </w:rPr>
              <w:t>三、编制依据</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1）相关行业标准及技术规范等；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2）各市、县（市、区）后期扶持政策实施及相关政策文件；</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3）各市、县（市、区）年度项目计划下达文件，财务会计资料及年度决算报告；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4）各县（市、区）年度项目档案建设管理有关资料和数据等；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5）</w:t>
            </w:r>
            <w:r>
              <w:rPr>
                <w:rFonts w:ascii="仿宋_GB2312" w:hAnsi="仿宋_GB2312" w:cs="仿宋_GB2312" w:eastAsia="仿宋_GB2312"/>
                <w:sz w:val="21"/>
              </w:rPr>
              <w:t>检查时间范围内已形成的验收、审计、决算、监测评估、统计、工作总结等报告；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6）经批准的各级水库移民后期扶持“十四五”规划及其他专项规划等；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7）202</w:t>
            </w:r>
            <w:r>
              <w:rPr>
                <w:rFonts w:ascii="仿宋_GB2312" w:hAnsi="仿宋_GB2312" w:cs="仿宋_GB2312" w:eastAsia="仿宋_GB2312"/>
                <w:sz w:val="21"/>
              </w:rPr>
              <w:t>4</w:t>
            </w:r>
            <w:r>
              <w:rPr>
                <w:rFonts w:ascii="仿宋_GB2312" w:hAnsi="仿宋_GB2312" w:cs="仿宋_GB2312" w:eastAsia="仿宋_GB2312"/>
                <w:sz w:val="21"/>
              </w:rPr>
              <w:t>年度实施的所有年度计划、资金预算和统计报表等；</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8）上年度监测评估报告；</w:t>
            </w:r>
          </w:p>
          <w:p>
            <w:pPr>
              <w:pStyle w:val="null3"/>
              <w:ind w:firstLine="240"/>
              <w:jc w:val="left"/>
            </w:pPr>
            <w:r>
              <w:rPr>
                <w:rFonts w:ascii="仿宋_GB2312" w:hAnsi="仿宋_GB2312" w:cs="仿宋_GB2312" w:eastAsia="仿宋_GB2312"/>
                <w:sz w:val="21"/>
              </w:rPr>
              <w:t>（</w:t>
            </w:r>
            <w:r>
              <w:rPr>
                <w:rFonts w:ascii="仿宋_GB2312" w:hAnsi="仿宋_GB2312" w:cs="仿宋_GB2312" w:eastAsia="仿宋_GB2312"/>
                <w:sz w:val="21"/>
              </w:rPr>
              <w:t>9）涉及县（区、市）项目、资金管理办法等；</w:t>
            </w:r>
          </w:p>
          <w:p>
            <w:pPr>
              <w:pStyle w:val="null3"/>
              <w:ind w:firstLine="240"/>
            </w:pPr>
            <w:r>
              <w:rPr>
                <w:rFonts w:ascii="仿宋_GB2312" w:hAnsi="仿宋_GB2312" w:cs="仿宋_GB2312" w:eastAsia="仿宋_GB2312"/>
                <w:sz w:val="21"/>
              </w:rPr>
              <w:t>（</w:t>
            </w:r>
            <w:r>
              <w:rPr>
                <w:rFonts w:ascii="仿宋_GB2312" w:hAnsi="仿宋_GB2312" w:cs="仿宋_GB2312" w:eastAsia="仿宋_GB2312"/>
                <w:sz w:val="21"/>
              </w:rPr>
              <w:t>10）水利部、省、市近年开展的审计、专项督导等检查工作报告以及整改落实报告等。</w:t>
            </w:r>
          </w:p>
          <w:p>
            <w:pPr>
              <w:pStyle w:val="null3"/>
            </w:pPr>
            <w:r>
              <w:rPr>
                <w:rFonts w:ascii="仿宋_GB2312" w:hAnsi="仿宋_GB2312" w:cs="仿宋_GB2312" w:eastAsia="仿宋_GB2312"/>
                <w:sz w:val="21"/>
                <w:b/>
              </w:rPr>
              <w:t>四、技术要求</w:t>
            </w:r>
          </w:p>
          <w:p>
            <w:pPr>
              <w:pStyle w:val="null3"/>
              <w:ind w:firstLine="511"/>
              <w:jc w:val="both"/>
            </w:pPr>
            <w:r>
              <w:rPr>
                <w:rFonts w:ascii="仿宋_GB2312" w:hAnsi="仿宋_GB2312" w:cs="仿宋_GB2312" w:eastAsia="仿宋_GB2312"/>
                <w:sz w:val="21"/>
              </w:rPr>
              <w:t>对全省涉及水库移民后期对各市为促进后期扶持政策实施和实现年度绩效目标而开展的相关管理工作进行综合评价，包括政策制度、项目管理和资金管理等情况；从提高绩效的角度查找并分析产生的问题，提出针对性的措施和建议。需满足财政部、水利部、国家发展改革委《中央水库移民扶持基金绩效管理暂行办法》（财农〔</w:t>
            </w:r>
            <w:r>
              <w:rPr>
                <w:rFonts w:ascii="仿宋_GB2312" w:hAnsi="仿宋_GB2312" w:cs="仿宋_GB2312" w:eastAsia="仿宋_GB2312"/>
                <w:sz w:val="21"/>
              </w:rPr>
              <w:t>2018〕174号）和财政部《大中型水库移民后期扶持基金项目资金管理办法》（财农〔2017〕128号）及《陕西省水库移民扶持基金绩效管理实施细则》（陕财办农〔2019〕67号）要求。需满足财政部、水利部、国家发展改革委《中央水库移民扶持基金绩效管理暂行办法》（财农〔2018〕174号）和财政部《大中型水库移民后期扶持基金项目资金管理办法》（财农〔2017〕128号）及《陕西省水库移民扶持基金绩效管理实施细则》（陕财办农〔2019〕67号）要求</w:t>
            </w:r>
            <w:r>
              <w:rPr>
                <w:rFonts w:ascii="仿宋_GB2312" w:hAnsi="仿宋_GB2312" w:cs="仿宋_GB2312" w:eastAsia="仿宋_GB2312"/>
                <w:sz w:val="21"/>
              </w:rPr>
              <w:t>。具体评价内容如下：</w:t>
            </w:r>
          </w:p>
          <w:p>
            <w:pPr>
              <w:pStyle w:val="null3"/>
              <w:ind w:firstLine="511"/>
              <w:jc w:val="both"/>
            </w:pPr>
            <w:r>
              <w:rPr>
                <w:rFonts w:ascii="仿宋_GB2312" w:hAnsi="仿宋_GB2312" w:cs="仿宋_GB2312" w:eastAsia="仿宋_GB2312"/>
                <w:sz w:val="21"/>
              </w:rPr>
              <w:t>（一）项目决策情况。</w:t>
            </w:r>
          </w:p>
          <w:p>
            <w:pPr>
              <w:pStyle w:val="null3"/>
              <w:ind w:firstLine="511"/>
              <w:jc w:val="both"/>
            </w:pPr>
            <w:r>
              <w:rPr>
                <w:rFonts w:ascii="仿宋_GB2312" w:hAnsi="仿宋_GB2312" w:cs="仿宋_GB2312" w:eastAsia="仿宋_GB2312"/>
                <w:sz w:val="21"/>
              </w:rPr>
              <w:t>包括资金分配是否符合相关要求，是否及时分解下达到位，支出方向是否符合相关管理办法等。</w:t>
            </w:r>
          </w:p>
          <w:p>
            <w:pPr>
              <w:pStyle w:val="null3"/>
              <w:ind w:firstLine="511"/>
              <w:jc w:val="both"/>
            </w:pPr>
            <w:r>
              <w:rPr>
                <w:rFonts w:ascii="仿宋_GB2312" w:hAnsi="仿宋_GB2312" w:cs="仿宋_GB2312" w:eastAsia="仿宋_GB2312"/>
                <w:sz w:val="21"/>
              </w:rPr>
              <w:t>（二）项目管理情况。包括组织实施、资金安全、信息统计、绩效管理等。</w:t>
            </w:r>
          </w:p>
          <w:p>
            <w:pPr>
              <w:pStyle w:val="null3"/>
              <w:ind w:firstLine="511"/>
              <w:jc w:val="both"/>
            </w:pPr>
            <w:r>
              <w:rPr>
                <w:rFonts w:ascii="仿宋_GB2312" w:hAnsi="仿宋_GB2312" w:cs="仿宋_GB2312" w:eastAsia="仿宋_GB2312"/>
                <w:sz w:val="21"/>
              </w:rPr>
              <w:t>1、组织实施。包括组织机构是否健全，职能分工是否明确；是否严格按照国家要求制定后期扶持人口核定和动态管理、项目管理、资金管理及财务规章制度等配套政策；直补到人建档立卡是否完整，能核定到人的扶持人口是否严格实行动态管理。</w:t>
            </w:r>
          </w:p>
          <w:p>
            <w:pPr>
              <w:pStyle w:val="null3"/>
              <w:ind w:firstLine="511"/>
              <w:jc w:val="both"/>
            </w:pPr>
            <w:r>
              <w:rPr>
                <w:rFonts w:ascii="仿宋_GB2312" w:hAnsi="仿宋_GB2312" w:cs="仿宋_GB2312" w:eastAsia="仿宋_GB2312"/>
                <w:sz w:val="21"/>
              </w:rPr>
              <w:t>2、资金安全。补助资金发放对象、时限和程序是否合规，项目资金拨付程序和使用范围是否合规，预决算及财务会计工作是否规范，是否存在弄虚作假或截留、挤占、挪用资金等违规问题；项目实施过程中是否实行公开公示、移民参与和监督，政府采购和建设管理项目法人负责制、招标承包制、工程建设监理制和合同管理制等“四制”执行、档案管理是否符合制度规定。</w:t>
            </w:r>
          </w:p>
          <w:p>
            <w:pPr>
              <w:pStyle w:val="null3"/>
              <w:ind w:firstLine="511"/>
              <w:jc w:val="both"/>
            </w:pPr>
            <w:r>
              <w:rPr>
                <w:rFonts w:ascii="仿宋_GB2312" w:hAnsi="仿宋_GB2312" w:cs="仿宋_GB2312" w:eastAsia="仿宋_GB2312"/>
                <w:sz w:val="21"/>
              </w:rPr>
              <w:t>3、</w:t>
            </w:r>
            <w:r>
              <w:rPr>
                <w:rFonts w:ascii="仿宋_GB2312" w:hAnsi="仿宋_GB2312" w:cs="仿宋_GB2312" w:eastAsia="仿宋_GB2312"/>
                <w:sz w:val="21"/>
              </w:rPr>
              <w:t>监测评估。</w:t>
            </w:r>
            <w:r>
              <w:rPr>
                <w:rFonts w:ascii="仿宋_GB2312" w:hAnsi="仿宋_GB2312" w:cs="仿宋_GB2312" w:eastAsia="仿宋_GB2312"/>
                <w:sz w:val="21"/>
              </w:rPr>
              <w:t>是否按规定开展监测评估工作并按时报送成果，监测评估成果质量高低以及是否得到有效运用。</w:t>
            </w:r>
          </w:p>
          <w:p>
            <w:pPr>
              <w:pStyle w:val="null3"/>
              <w:ind w:firstLine="511"/>
              <w:jc w:val="both"/>
            </w:pPr>
            <w:r>
              <w:rPr>
                <w:rFonts w:ascii="仿宋_GB2312" w:hAnsi="仿宋_GB2312" w:cs="仿宋_GB2312" w:eastAsia="仿宋_GB2312"/>
                <w:sz w:val="21"/>
              </w:rPr>
              <w:t>4、信息统计。是否按规定开展后期扶持实施情况统计工作并按时报送统计报表，填报内容是否完整，信息系统数据是否及时更新，是否按要求按时报送各种材料，是否受到县级以上文件、媒体或简报宣传。</w:t>
            </w:r>
          </w:p>
          <w:p>
            <w:pPr>
              <w:pStyle w:val="null3"/>
              <w:ind w:firstLine="511"/>
              <w:jc w:val="both"/>
            </w:pPr>
            <w:r>
              <w:rPr>
                <w:rFonts w:ascii="仿宋_GB2312" w:hAnsi="仿宋_GB2312" w:cs="仿宋_GB2312" w:eastAsia="仿宋_GB2312"/>
                <w:sz w:val="21"/>
              </w:rPr>
              <w:t>5、绩效管理。绩效指标填报是否准确、完整，是否在规定时间内报送绩效目标和自评材料。</w:t>
            </w:r>
          </w:p>
          <w:p>
            <w:pPr>
              <w:pStyle w:val="null3"/>
              <w:ind w:firstLine="511"/>
              <w:jc w:val="both"/>
            </w:pPr>
            <w:r>
              <w:rPr>
                <w:rFonts w:ascii="仿宋_GB2312" w:hAnsi="仿宋_GB2312" w:cs="仿宋_GB2312" w:eastAsia="仿宋_GB2312"/>
                <w:sz w:val="21"/>
              </w:rPr>
              <w:t>（三）项目产出情况。</w:t>
            </w:r>
          </w:p>
          <w:p>
            <w:pPr>
              <w:pStyle w:val="null3"/>
              <w:ind w:firstLine="511"/>
              <w:jc w:val="both"/>
            </w:pPr>
            <w:r>
              <w:rPr>
                <w:rFonts w:ascii="仿宋_GB2312" w:hAnsi="仿宋_GB2312" w:cs="仿宋_GB2312" w:eastAsia="仿宋_GB2312"/>
                <w:sz w:val="21"/>
              </w:rPr>
              <w:t>包括产出数量、质量、时效、成本情况等指标是否达到绩效目标。</w:t>
            </w:r>
          </w:p>
          <w:p>
            <w:pPr>
              <w:pStyle w:val="null3"/>
              <w:ind w:firstLine="511"/>
              <w:jc w:val="both"/>
            </w:pPr>
            <w:r>
              <w:rPr>
                <w:rFonts w:ascii="仿宋_GB2312" w:hAnsi="仿宋_GB2312" w:cs="仿宋_GB2312" w:eastAsia="仿宋_GB2312"/>
                <w:sz w:val="21"/>
              </w:rPr>
              <w:t>（四）项目效益情况。</w:t>
            </w:r>
          </w:p>
          <w:p>
            <w:pPr>
              <w:pStyle w:val="null3"/>
              <w:ind w:firstLine="511"/>
              <w:jc w:val="both"/>
            </w:pPr>
            <w:r>
              <w:rPr>
                <w:rFonts w:ascii="仿宋_GB2312" w:hAnsi="仿宋_GB2312" w:cs="仿宋_GB2312" w:eastAsia="仿宋_GB2312"/>
                <w:sz w:val="21"/>
              </w:rPr>
              <w:t>包括经济效益、社会效益、生态效益、可持续影响等指标是否达到绩效目标。</w:t>
            </w:r>
          </w:p>
          <w:p>
            <w:pPr>
              <w:pStyle w:val="null3"/>
              <w:ind w:firstLine="511"/>
              <w:jc w:val="both"/>
            </w:pPr>
            <w:r>
              <w:rPr>
                <w:rFonts w:ascii="仿宋_GB2312" w:hAnsi="仿宋_GB2312" w:cs="仿宋_GB2312" w:eastAsia="仿宋_GB2312"/>
                <w:sz w:val="21"/>
              </w:rPr>
              <w:t>（五）满意度情况。</w:t>
            </w:r>
          </w:p>
          <w:p>
            <w:pPr>
              <w:pStyle w:val="null3"/>
              <w:ind w:firstLine="511"/>
              <w:jc w:val="both"/>
            </w:pPr>
            <w:r>
              <w:rPr>
                <w:rFonts w:ascii="仿宋_GB2312" w:hAnsi="仿宋_GB2312" w:cs="仿宋_GB2312" w:eastAsia="仿宋_GB2312"/>
                <w:sz w:val="21"/>
              </w:rPr>
              <w:t>包括移民满意度、信访及处理等服务对象满意度指标是否达到绩效目标。</w:t>
            </w:r>
          </w:p>
          <w:p>
            <w:pPr>
              <w:pStyle w:val="null3"/>
              <w:ind w:firstLine="511"/>
              <w:jc w:val="both"/>
            </w:pPr>
            <w:r>
              <w:rPr>
                <w:rFonts w:ascii="仿宋_GB2312" w:hAnsi="仿宋_GB2312" w:cs="仿宋_GB2312" w:eastAsia="仿宋_GB2312"/>
                <w:sz w:val="21"/>
              </w:rPr>
              <w:t>（六）指标体系。</w:t>
            </w:r>
          </w:p>
          <w:p>
            <w:pPr>
              <w:pStyle w:val="null3"/>
              <w:ind w:firstLine="511"/>
              <w:jc w:val="both"/>
            </w:pPr>
            <w:r>
              <w:rPr>
                <w:rFonts w:ascii="仿宋_GB2312" w:hAnsi="仿宋_GB2312" w:cs="仿宋_GB2312" w:eastAsia="仿宋_GB2312"/>
                <w:sz w:val="21"/>
              </w:rPr>
              <w:t>绩效评价指标体系包括一级指标、二级指标和三级指标，其中，一级指标包括项目决策、项目管理、产出指标、效益指标和满意度指标</w:t>
            </w:r>
            <w:r>
              <w:rPr>
                <w:rFonts w:ascii="仿宋_GB2312" w:hAnsi="仿宋_GB2312" w:cs="仿宋_GB2312" w:eastAsia="仿宋_GB2312"/>
                <w:sz w:val="21"/>
              </w:rPr>
              <w:t>5个，分别占6%、34%、36%、19%和5%的权重；5个一级指标下面共包括14个二级指标；二级指标下面一般分为36个三级指标，可根据年度预算安排情况适当调整完善。</w:t>
            </w:r>
          </w:p>
          <w:p>
            <w:pPr>
              <w:pStyle w:val="null3"/>
            </w:pPr>
            <w:r>
              <w:rPr>
                <w:rFonts w:ascii="仿宋_GB2312" w:hAnsi="仿宋_GB2312" w:cs="仿宋_GB2312" w:eastAsia="仿宋_GB2312"/>
                <w:sz w:val="21"/>
                <w:b/>
              </w:rPr>
              <w:t>五、实施目标</w:t>
            </w:r>
          </w:p>
          <w:p>
            <w:pPr>
              <w:pStyle w:val="null3"/>
              <w:ind w:firstLine="480"/>
              <w:jc w:val="left"/>
            </w:pPr>
            <w:r>
              <w:rPr>
                <w:rFonts w:ascii="仿宋_GB2312" w:hAnsi="仿宋_GB2312" w:cs="仿宋_GB2312" w:eastAsia="仿宋_GB2312"/>
                <w:sz w:val="21"/>
              </w:rPr>
              <w:t>对各市为促进后期扶持政策实施和实现年度绩效目标而开展的相关管理工作进行综合评价，</w:t>
            </w:r>
            <w:r>
              <w:rPr>
                <w:rFonts w:ascii="仿宋_GB2312" w:hAnsi="仿宋_GB2312" w:cs="仿宋_GB2312" w:eastAsia="仿宋_GB2312"/>
                <w:sz w:val="21"/>
              </w:rPr>
              <w:t>包括政策制度、项目管理和资金</w:t>
            </w:r>
            <w:r>
              <w:rPr>
                <w:rFonts w:ascii="仿宋_GB2312" w:hAnsi="仿宋_GB2312" w:cs="仿宋_GB2312" w:eastAsia="仿宋_GB2312"/>
                <w:sz w:val="21"/>
              </w:rPr>
              <w:t>管理等情况；从提高绩效的角度查找并分析产生的问题，提出针对性的措施和建议。</w:t>
            </w:r>
          </w:p>
          <w:p>
            <w:pPr>
              <w:pStyle w:val="null3"/>
            </w:pPr>
            <w:r>
              <w:rPr>
                <w:rFonts w:ascii="仿宋_GB2312" w:hAnsi="仿宋_GB2312" w:cs="仿宋_GB2312" w:eastAsia="仿宋_GB2312"/>
                <w:sz w:val="21"/>
                <w:b/>
              </w:rPr>
              <w:t>六、编制主要成果</w:t>
            </w:r>
          </w:p>
          <w:p>
            <w:pPr>
              <w:pStyle w:val="null3"/>
              <w:ind w:firstLine="511"/>
              <w:jc w:val="both"/>
            </w:pPr>
            <w:r>
              <w:rPr>
                <w:rFonts w:ascii="仿宋_GB2312" w:hAnsi="仿宋_GB2312" w:cs="仿宋_GB2312" w:eastAsia="仿宋_GB2312"/>
                <w:sz w:val="21"/>
                <w:color w:val="000000"/>
              </w:rPr>
              <w:t>①、审核汇总陕西省202</w:t>
            </w:r>
            <w:r>
              <w:rPr>
                <w:rFonts w:ascii="仿宋_GB2312" w:hAnsi="仿宋_GB2312" w:cs="仿宋_GB2312" w:eastAsia="仿宋_GB2312"/>
                <w:sz w:val="21"/>
                <w:color w:val="000000"/>
              </w:rPr>
              <w:t>4</w:t>
            </w:r>
            <w:r>
              <w:rPr>
                <w:rFonts w:ascii="仿宋_GB2312" w:hAnsi="仿宋_GB2312" w:cs="仿宋_GB2312" w:eastAsia="仿宋_GB2312"/>
                <w:sz w:val="21"/>
                <w:color w:val="000000"/>
              </w:rPr>
              <w:t>年度绩效目标审核表；</w:t>
            </w:r>
          </w:p>
          <w:p>
            <w:pPr>
              <w:pStyle w:val="null3"/>
              <w:ind w:firstLine="511"/>
              <w:jc w:val="both"/>
            </w:pPr>
            <w:r>
              <w:rPr>
                <w:rFonts w:ascii="仿宋_GB2312" w:hAnsi="仿宋_GB2312" w:cs="仿宋_GB2312" w:eastAsia="仿宋_GB2312"/>
                <w:sz w:val="21"/>
                <w:color w:val="000000"/>
              </w:rPr>
              <w:t>②、对我省</w:t>
            </w:r>
            <w:r>
              <w:rPr>
                <w:rFonts w:ascii="仿宋_GB2312" w:hAnsi="仿宋_GB2312" w:cs="仿宋_GB2312" w:eastAsia="仿宋_GB2312"/>
                <w:sz w:val="21"/>
                <w:color w:val="000000"/>
              </w:rPr>
              <w:t>1</w:t>
            </w:r>
            <w:r>
              <w:rPr>
                <w:rFonts w:ascii="仿宋_GB2312" w:hAnsi="仿宋_GB2312" w:cs="仿宋_GB2312" w:eastAsia="仿宋_GB2312"/>
                <w:sz w:val="21"/>
                <w:color w:val="000000"/>
              </w:rPr>
              <w:t>0个市（市、区）、104个县（市、区）</w:t>
            </w:r>
            <w:r>
              <w:rPr>
                <w:rFonts w:ascii="仿宋_GB2312" w:hAnsi="仿宋_GB2312" w:cs="仿宋_GB2312" w:eastAsia="仿宋_GB2312"/>
                <w:sz w:val="21"/>
                <w:color w:val="000000"/>
              </w:rPr>
              <w:t>202</w:t>
            </w:r>
            <w:r>
              <w:rPr>
                <w:rFonts w:ascii="仿宋_GB2312" w:hAnsi="仿宋_GB2312" w:cs="仿宋_GB2312" w:eastAsia="仿宋_GB2312"/>
                <w:sz w:val="21"/>
                <w:color w:val="000000"/>
              </w:rPr>
              <w:t>4</w:t>
            </w:r>
            <w:r>
              <w:rPr>
                <w:rFonts w:ascii="仿宋_GB2312" w:hAnsi="仿宋_GB2312" w:cs="仿宋_GB2312" w:eastAsia="仿宋_GB2312"/>
                <w:sz w:val="21"/>
                <w:color w:val="000000"/>
              </w:rPr>
              <w:t>年度大中型水库移民后期扶持资金开展绩效评价，形成</w:t>
            </w:r>
            <w:r>
              <w:rPr>
                <w:rFonts w:ascii="仿宋_GB2312" w:hAnsi="仿宋_GB2312" w:cs="仿宋_GB2312" w:eastAsia="仿宋_GB2312"/>
                <w:sz w:val="21"/>
                <w:color w:val="000000"/>
              </w:rPr>
              <w:t>11个市绩效复核打分表；</w:t>
            </w:r>
          </w:p>
          <w:p>
            <w:pPr>
              <w:pStyle w:val="null3"/>
              <w:ind w:firstLine="511"/>
              <w:jc w:val="both"/>
            </w:pPr>
            <w:r>
              <w:rPr>
                <w:rFonts w:ascii="仿宋_GB2312" w:hAnsi="仿宋_GB2312" w:cs="仿宋_GB2312" w:eastAsia="仿宋_GB2312"/>
                <w:sz w:val="21"/>
                <w:color w:val="000000"/>
              </w:rPr>
              <w:t>③、汇总编制《陕西省202</w:t>
            </w:r>
            <w:r>
              <w:rPr>
                <w:rFonts w:ascii="仿宋_GB2312" w:hAnsi="仿宋_GB2312" w:cs="仿宋_GB2312" w:eastAsia="仿宋_GB2312"/>
                <w:sz w:val="21"/>
                <w:color w:val="000000"/>
              </w:rPr>
              <w:t>4</w:t>
            </w:r>
            <w:r>
              <w:rPr>
                <w:rFonts w:ascii="仿宋_GB2312" w:hAnsi="仿宋_GB2312" w:cs="仿宋_GB2312" w:eastAsia="仿宋_GB2312"/>
                <w:sz w:val="21"/>
                <w:color w:val="000000"/>
              </w:rPr>
              <w:t>年度大中型水库移民后期扶持资金绩效评价报告》；</w:t>
            </w:r>
          </w:p>
          <w:p>
            <w:pPr>
              <w:pStyle w:val="null3"/>
              <w:ind w:firstLine="511"/>
              <w:jc w:val="both"/>
            </w:pPr>
            <w:r>
              <w:rPr>
                <w:rFonts w:ascii="仿宋_GB2312" w:hAnsi="仿宋_GB2312" w:cs="仿宋_GB2312" w:eastAsia="仿宋_GB2312"/>
                <w:sz w:val="21"/>
                <w:color w:val="000000"/>
              </w:rPr>
              <w:t>④、汇总形成《陕西省202</w:t>
            </w:r>
            <w:r>
              <w:rPr>
                <w:rFonts w:ascii="仿宋_GB2312" w:hAnsi="仿宋_GB2312" w:cs="仿宋_GB2312" w:eastAsia="仿宋_GB2312"/>
                <w:sz w:val="21"/>
                <w:color w:val="000000"/>
              </w:rPr>
              <w:t>4</w:t>
            </w:r>
            <w:r>
              <w:rPr>
                <w:rFonts w:ascii="仿宋_GB2312" w:hAnsi="仿宋_GB2312" w:cs="仿宋_GB2312" w:eastAsia="仿宋_GB2312"/>
                <w:sz w:val="21"/>
                <w:color w:val="000000"/>
              </w:rPr>
              <w:t>年度大中型水库移民后期扶持资金绩效评价附表》。</w:t>
            </w:r>
          </w:p>
          <w:p>
            <w:pPr>
              <w:pStyle w:val="null3"/>
            </w:pPr>
            <w:r>
              <w:rPr>
                <w:rFonts w:ascii="仿宋_GB2312" w:hAnsi="仿宋_GB2312" w:cs="仿宋_GB2312" w:eastAsia="仿宋_GB2312"/>
                <w:sz w:val="21"/>
                <w:b/>
              </w:rPr>
              <w:t>七、其他要求</w:t>
            </w:r>
          </w:p>
          <w:p>
            <w:pPr>
              <w:pStyle w:val="null3"/>
            </w:pPr>
            <w:r>
              <w:rPr>
                <w:rFonts w:ascii="仿宋_GB2312" w:hAnsi="仿宋_GB2312" w:cs="仿宋_GB2312" w:eastAsia="仿宋_GB2312"/>
                <w:sz w:val="21"/>
              </w:rPr>
              <w:t>无</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供应商根据单位自身情况及项目实际情况自主配置。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满足2025年大中型水库移民后期扶持资金绩效评价项目及国家移民后扶有关政策的要求。</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进度款，签订合同后，达到付款条件起15个工作日内，支付合同总金额的40.0%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进度款，在成果通过技术审查后，达到付款条件起15个工作日内，支付合同总金额的50.0%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进度款，合同验收合格后，达到付款条件起15个工作日内，支付合同总金额的10.0%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 发包人或编制人违反合同规定造成损失的应承担违约责任；2 因成果报告深度不够、资料不足而被要求返工从而造成问题的，除由编制人负责继续完善报告外，甲方还可视造成的时间延误和费用损失，计扣编制人合同价 1 %～ 3 %的违约金。3 由于编制人自身原因，延误了成果交付时间，视延误情况酌情扣除费用的1%～3%。</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供应商应为具有独立承担民事责任能力的企业法人、事业法人、其他组织或自然人，企业法人须提供统一社会信用代码的营业执照、事业单位须提供事业单位法人证、组织机构代码证等证明文件、其他组织应提供合法证明文件、自然人参与的提供其身份证：供应商在项目电子化交易系统中按要求上传提供统一社会信用代码的营业执照、事业单位须提供事业单位法人证、组织机构代码证等证明文件、其他组织应提供合法证明文件、自然人参与的提供其身份证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的经会计师事务所审计的财务报告复印件，或其开标前三个月内基本存款账户开户银行出具的资信证明及基本存款账户开户信息，其他组织和自然人提供银行出具的资信证明或财务报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响应文件递交截止时间前六个月内任意一月已缴存的社会保障资金缴费证明或参保证明，依法不需要缴纳社会保障资金的供应商应提供相关证明文件：供应商需在项目电子化交易系统中按要求上传提供响应文件递交截止时间前六个月内任意一月已缴存的社会保障资金缴费证明或参保证明，依法不需要缴纳社会保障资金的供应商应提供相关证明文件。相应证明文件需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响应文件递交截止时间前六个月内任意一月已缴纳的纳税证明或完税证明，依法免税的供应商应提供相关证明文件：供应商在项目电子化交易系统中按要求上传提供响应文件递交截止时间前六个月内任意一月已缴纳的纳税证明或完税证明，依法免税的供应商应提供相关证明文件。相应证明文件需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具有履行本合同所必需的设备和专业技术能力</w:t>
            </w:r>
          </w:p>
        </w:tc>
        <w:tc>
          <w:tcPr>
            <w:tcW w:type="dxa" w:w="3322"/>
          </w:tcPr>
          <w:p>
            <w:pPr>
              <w:pStyle w:val="null3"/>
            </w:pPr>
            <w:r>
              <w:rPr>
                <w:rFonts w:ascii="仿宋_GB2312" w:hAnsi="仿宋_GB2312" w:cs="仿宋_GB2312" w:eastAsia="仿宋_GB2312"/>
              </w:rPr>
              <w:t>具有履行合同所必需的设备和专业技术能力，提供承诺书：供应商在项目电子化交易系统中按要求上传提供承诺书并进行电子签章；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参加政府采购活动前三年内，在经营活动中没有重大违法记录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参加政府采购活动前3年内，在经营活动中没有重大违法记录的书面声明：供应商需在项目电子化交易系统中按要求上传书面声明并进行电子签章；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供应商不得为“信用中国”网站（www.creditchina.gov.cn）中列入重大税收违法失信主体名单的供应商、不得为“中国执行信息公开网”网站（zxgk.court.gov.cn）中列入失信被执行人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供应商应提交的相关资格证明材料 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授权委托人身份证明</w:t>
            </w:r>
          </w:p>
        </w:tc>
        <w:tc>
          <w:tcPr>
            <w:tcW w:type="dxa" w:w="3322"/>
          </w:tcPr>
          <w:p>
            <w:pPr>
              <w:pStyle w:val="null3"/>
            </w:pPr>
            <w:r>
              <w:rPr>
                <w:rFonts w:ascii="仿宋_GB2312" w:hAnsi="仿宋_GB2312" w:cs="仿宋_GB2312" w:eastAsia="仿宋_GB2312"/>
              </w:rPr>
              <w:t>供应商应授权合法的人员参加磋商，法定代表人（或单位负责人）直接参加的，须出具法定代表人（或单位负责人）身份证明及身份证，并与营业执照上信息一致；授权代表参加的，须出具法定代表人（或单位负责人）授权委托书及被授权人身份证：供应商在项目电子化交易系统中按要求上传提供法定代表人（或单位负责人）身份证明及身份证或法定代表人（或单位负责人）授权委托书及被授权人身份证并进行电子签章。</w:t>
            </w:r>
          </w:p>
        </w:tc>
        <w:tc>
          <w:tcPr>
            <w:tcW w:type="dxa" w:w="1661"/>
          </w:tcPr>
          <w:p>
            <w:pPr>
              <w:pStyle w:val="null3"/>
            </w:pPr>
            <w:r>
              <w:rPr>
                <w:rFonts w:ascii="仿宋_GB2312" w:hAnsi="仿宋_GB2312" w:cs="仿宋_GB2312" w:eastAsia="仿宋_GB2312"/>
              </w:rPr>
              <w:t>供应商应提交的相关资格证明材料 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磋商响应文件格式</w:t>
            </w:r>
          </w:p>
        </w:tc>
        <w:tc>
          <w:tcPr>
            <w:tcW w:type="dxa" w:w="3322"/>
          </w:tcPr>
          <w:p>
            <w:pPr>
              <w:pStyle w:val="null3"/>
            </w:pPr>
            <w:r>
              <w:rPr>
                <w:rFonts w:ascii="仿宋_GB2312" w:hAnsi="仿宋_GB2312" w:cs="仿宋_GB2312" w:eastAsia="仿宋_GB2312"/>
              </w:rPr>
              <w:t>符合“磋商响应文件格式”的规定</w:t>
            </w:r>
          </w:p>
        </w:tc>
        <w:tc>
          <w:tcPr>
            <w:tcW w:type="dxa" w:w="1661"/>
          </w:tcPr>
          <w:p>
            <w:pPr>
              <w:pStyle w:val="null3"/>
            </w:pPr>
            <w:r>
              <w:rPr>
                <w:rFonts w:ascii="仿宋_GB2312" w:hAnsi="仿宋_GB2312" w:cs="仿宋_GB2312" w:eastAsia="仿宋_GB2312"/>
              </w:rPr>
              <w:t>业绩.docx 服务内容及服务邀请应答表 中小企业声明函 项目团队.docx 商务应答表 供应商应提交的相关资格证明材料 报价表 响应文件封面 绩效评价分项报价表.docx 残疾人福利性单位声明函 服务方案 标的清单 资格证明材料.docx 项目负责人简况表.docx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磋商响应文件的签署盖章</w:t>
            </w:r>
          </w:p>
        </w:tc>
        <w:tc>
          <w:tcPr>
            <w:tcW w:type="dxa" w:w="3322"/>
          </w:tcPr>
          <w:p>
            <w:pPr>
              <w:pStyle w:val="null3"/>
            </w:pPr>
            <w:r>
              <w:rPr>
                <w:rFonts w:ascii="仿宋_GB2312" w:hAnsi="仿宋_GB2312" w:cs="仿宋_GB2312" w:eastAsia="仿宋_GB2312"/>
              </w:rPr>
              <w:t>响应文件格式中要求法定代表人或被授权人的签字处，签字齐全，响应文件加盖电子印章。</w:t>
            </w:r>
          </w:p>
        </w:tc>
        <w:tc>
          <w:tcPr>
            <w:tcW w:type="dxa" w:w="1661"/>
          </w:tcPr>
          <w:p>
            <w:pPr>
              <w:pStyle w:val="null3"/>
            </w:pPr>
            <w:r>
              <w:rPr>
                <w:rFonts w:ascii="仿宋_GB2312" w:hAnsi="仿宋_GB2312" w:cs="仿宋_GB2312" w:eastAsia="仿宋_GB2312"/>
              </w:rPr>
              <w:t>业绩.docx 服务内容及服务邀请应答表 中小企业声明函 项目团队.docx 商务应答表 供应商应提交的相关资格证明材料 报价表 响应文件封面 绩效评价分项报价表.docx 残疾人福利性单位声明函 服务方案 标的清单 项目负责人简况表.docx 资格证明材料.docx 响应函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报价的符合性</w:t>
            </w:r>
          </w:p>
        </w:tc>
        <w:tc>
          <w:tcPr>
            <w:tcW w:type="dxa" w:w="3322"/>
          </w:tcPr>
          <w:p>
            <w:pPr>
              <w:pStyle w:val="null3"/>
            </w:pPr>
            <w:r>
              <w:rPr>
                <w:rFonts w:ascii="仿宋_GB2312" w:hAnsi="仿宋_GB2312" w:cs="仿宋_GB2312" w:eastAsia="仿宋_GB2312"/>
              </w:rPr>
              <w:t>只能有一个报价，且不超过采购预算（最高限价）</w:t>
            </w:r>
          </w:p>
        </w:tc>
        <w:tc>
          <w:tcPr>
            <w:tcW w:type="dxa" w:w="1661"/>
          </w:tcPr>
          <w:p>
            <w:pPr>
              <w:pStyle w:val="null3"/>
            </w:pPr>
            <w:r>
              <w:rPr>
                <w:rFonts w:ascii="仿宋_GB2312" w:hAnsi="仿宋_GB2312" w:cs="仿宋_GB2312" w:eastAsia="仿宋_GB2312"/>
              </w:rPr>
              <w:t>绩效评价分项报价表.docx 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从提交首次响应文件截止之日起不少于90天。</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合同履行期限</w:t>
            </w:r>
          </w:p>
        </w:tc>
        <w:tc>
          <w:tcPr>
            <w:tcW w:type="dxa" w:w="3322"/>
          </w:tcPr>
          <w:p>
            <w:pPr>
              <w:pStyle w:val="null3"/>
            </w:pPr>
            <w:r>
              <w:rPr>
                <w:rFonts w:ascii="仿宋_GB2312" w:hAnsi="仿宋_GB2312" w:cs="仿宋_GB2312" w:eastAsia="仿宋_GB2312"/>
              </w:rPr>
              <w:t>自合同签订之日起60天</w:t>
            </w:r>
          </w:p>
        </w:tc>
        <w:tc>
          <w:tcPr>
            <w:tcW w:type="dxa" w:w="1661"/>
          </w:tcPr>
          <w:p>
            <w:pPr>
              <w:pStyle w:val="null3"/>
            </w:pPr>
            <w:r>
              <w:rPr>
                <w:rFonts w:ascii="仿宋_GB2312" w:hAnsi="仿宋_GB2312" w:cs="仿宋_GB2312" w:eastAsia="仿宋_GB2312"/>
              </w:rPr>
              <w:t>商务应答表</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项目背景及需求分析的准确性</w:t>
            </w:r>
          </w:p>
        </w:tc>
        <w:tc>
          <w:tcPr>
            <w:tcW w:type="dxa" w:w="2492"/>
          </w:tcPr>
          <w:p>
            <w:pPr>
              <w:pStyle w:val="null3"/>
            </w:pPr>
            <w:r>
              <w:rPr>
                <w:rFonts w:ascii="仿宋_GB2312" w:hAnsi="仿宋_GB2312" w:cs="仿宋_GB2312" w:eastAsia="仿宋_GB2312"/>
              </w:rPr>
              <w:t>一、评审内容 供应商针对本项目工作的项目背景及需求分析的准确性。 二、评审标准 1.完整性：分析须全面，对评审内容中的各项要求有详细描述； 2.可实施性：切合本项目实际情况，实施步骤清晰、合理； 3.针对性：分析能够紧扣项目实际情况，内容科学合理。 三、赋分标准 以上评审内容，满足一项得3分，每有一子项有缺陷或不完全满足扣0.5分，不得负分，缺项不得分。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工作方案</w:t>
            </w:r>
          </w:p>
        </w:tc>
        <w:tc>
          <w:tcPr>
            <w:tcW w:type="dxa" w:w="2492"/>
          </w:tcPr>
          <w:p>
            <w:pPr>
              <w:pStyle w:val="null3"/>
            </w:pPr>
            <w:r>
              <w:rPr>
                <w:rFonts w:ascii="仿宋_GB2312" w:hAnsi="仿宋_GB2312" w:cs="仿宋_GB2312" w:eastAsia="仿宋_GB2312"/>
              </w:rPr>
              <w:t>一、评审内容 供应商针对本项目工作方案及内容，内容包含： ①工作思路及理念；②工作依据及原则；③工作范围；④工作方法；⑤工作内容；⑥培训计划。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以上评审内容，满足一项得4分，每有一项有缺陷或不完全满足扣2分，不得负分，缺项不得分。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报告编制结构框架及内容</w:t>
            </w:r>
          </w:p>
        </w:tc>
        <w:tc>
          <w:tcPr>
            <w:tcW w:type="dxa" w:w="2492"/>
          </w:tcPr>
          <w:p>
            <w:pPr>
              <w:pStyle w:val="null3"/>
            </w:pPr>
            <w:r>
              <w:rPr>
                <w:rFonts w:ascii="仿宋_GB2312" w:hAnsi="仿宋_GB2312" w:cs="仿宋_GB2312" w:eastAsia="仿宋_GB2312"/>
              </w:rPr>
              <w:t>一、评审内容 供应商针对本项目报告编制结构框架及内容，内容包含： ①报告编制结构框架； ②报告编制内容。 二、评审标准 1、完整性：报告必须全面，对评审内容中的各项要求有详细描述； 2、可实施性：切合本项目实际情况，提出步骤清晰、合理的方案； 3、针对性：方案能够紧扣项目实际情况，内容科学合理； 三、赋分标准 以上评审内容，满足一项得5分，每有一子项有缺陷或不完全满足扣2分，不得负分，缺项不得分。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对本项工作的合理化建议和改进措施</w:t>
            </w:r>
          </w:p>
        </w:tc>
        <w:tc>
          <w:tcPr>
            <w:tcW w:type="dxa" w:w="2492"/>
          </w:tcPr>
          <w:p>
            <w:pPr>
              <w:pStyle w:val="null3"/>
            </w:pPr>
            <w:r>
              <w:rPr>
                <w:rFonts w:ascii="仿宋_GB2312" w:hAnsi="仿宋_GB2312" w:cs="仿宋_GB2312" w:eastAsia="仿宋_GB2312"/>
              </w:rPr>
              <w:t>一、评审内容 供应商针对本项目工作的合理化建议和改进措施，内容包含：①合理化建议②改进措施。 二、评审标准 1、完整性：意见或建议必须全面，有详细描述； 2、可实施性：切合本项目实际情况，提出步骤清晰、合理的方案； 3、针对性：意见能够紧扣项目实际情况，内容科学合理； 三、赋分标准 以上评审内容，完全满足得4分，有缺陷或不完全满足扣2分，缺项不得分。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项目进度计划及保证措施</w:t>
            </w:r>
          </w:p>
        </w:tc>
        <w:tc>
          <w:tcPr>
            <w:tcW w:type="dxa" w:w="2492"/>
          </w:tcPr>
          <w:p>
            <w:pPr>
              <w:pStyle w:val="null3"/>
            </w:pPr>
            <w:r>
              <w:rPr>
                <w:rFonts w:ascii="仿宋_GB2312" w:hAnsi="仿宋_GB2312" w:cs="仿宋_GB2312" w:eastAsia="仿宋_GB2312"/>
              </w:rPr>
              <w:t>一、评审内容 供应商针对本项目工作进度计划及保证措施，内容包含： ①工作进度计划； ②保证措施。 二、评审标准 1、完整性：工作进度计划条理、节点清晰，对评审内容中的各项要求有详细描述； 2、可实施性：切合本项目实际情况，提出步骤清晰、合理的方案； 3、针对性：措施能够紧扣项目实际情况，内容科学合理； 三、赋分标准 以上评审内容，满足一项得3分，每有一子项有缺陷或不完全满足扣1分，不得负分，缺项不得分。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成果质量及服务保证措施</w:t>
            </w:r>
          </w:p>
        </w:tc>
        <w:tc>
          <w:tcPr>
            <w:tcW w:type="dxa" w:w="2492"/>
          </w:tcPr>
          <w:p>
            <w:pPr>
              <w:pStyle w:val="null3"/>
            </w:pPr>
            <w:r>
              <w:rPr>
                <w:rFonts w:ascii="仿宋_GB2312" w:hAnsi="仿宋_GB2312" w:cs="仿宋_GB2312" w:eastAsia="仿宋_GB2312"/>
              </w:rPr>
              <w:t>一、评审内容 供应商针对本项目编制成果质量管理体系及保证措施，内容包含： ①成果质量管理体系和组织措施；（质量目标、质量管理体系及职责、质量管理制度） ②质量保证措施。（质量保证措施、问题预防措施） 二、评审标准 1、完整性：方案必须全面，对评审内容中的各项要求有详细描述； 2、可实施性：切合本项目实际情况，提出步骤清晰、合理的方案； 3、针对性：方案能够紧扣项目实际情况，内容科学合理。 三、赋分标准 以上评审内容，满足一项得5分，每有一子项有缺陷或不完全满足扣2分，不得负分，缺项不得分。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保密保障方案</w:t>
            </w:r>
          </w:p>
        </w:tc>
        <w:tc>
          <w:tcPr>
            <w:tcW w:type="dxa" w:w="2492"/>
          </w:tcPr>
          <w:p>
            <w:pPr>
              <w:pStyle w:val="null3"/>
            </w:pPr>
            <w:r>
              <w:rPr>
                <w:rFonts w:ascii="仿宋_GB2312" w:hAnsi="仿宋_GB2312" w:cs="仿宋_GB2312" w:eastAsia="仿宋_GB2312"/>
              </w:rPr>
              <w:t>一、评审内容 供应商针对本项目保密保障方案，内容包含： ①可能涉及的失泄密风险评估； ②保密管理制度 ③保密保障措施。 二、评审标准 1、完整性：意见或建议必须全面，有详细描述； 2、可实施性：切合本项目实际情况，提出步骤清晰、合理的方案； 3、针对性：意见能够紧扣项目实际情况，内容科学合理； 三、赋分标准 以上评审内容，满足一项得1分，每有一子项有缺陷或不完全满足扣0.5分，不得负分，缺项不得分。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项目负责人具有水利类高级职称，得2分；否则不得分；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项目负责人简况表.docx</w:t>
            </w:r>
          </w:p>
        </w:tc>
      </w:tr>
      <w:tr>
        <w:tc>
          <w:tcPr>
            <w:tcW w:type="dxa" w:w="831"/>
            <w:vMerge/>
          </w:tcPr>
          <w:p/>
        </w:tc>
        <w:tc>
          <w:tcPr>
            <w:tcW w:type="dxa" w:w="1661"/>
          </w:tcPr>
          <w:p>
            <w:pPr>
              <w:pStyle w:val="null3"/>
            </w:pPr>
            <w:r>
              <w:rPr>
                <w:rFonts w:ascii="仿宋_GB2312" w:hAnsi="仿宋_GB2312" w:cs="仿宋_GB2312" w:eastAsia="仿宋_GB2312"/>
              </w:rPr>
              <w:t>团队人员配套</w:t>
            </w:r>
          </w:p>
        </w:tc>
        <w:tc>
          <w:tcPr>
            <w:tcW w:type="dxa" w:w="2492"/>
          </w:tcPr>
          <w:p>
            <w:pPr>
              <w:pStyle w:val="null3"/>
            </w:pPr>
            <w:r>
              <w:rPr>
                <w:rFonts w:ascii="仿宋_GB2312" w:hAnsi="仿宋_GB2312" w:cs="仿宋_GB2312" w:eastAsia="仿宋_GB2312"/>
              </w:rPr>
              <w:t>团队其他人员具有水利相关专业高级或以上职称每1人得1分，中级职称每一人得0.5分，其余不得分。总分：6分。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项目团队.docx</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自2022年1月1日以来，具有类似项目业绩，每具有一个得2分，最高10分。 注：提供合同复印件加盖公章，未提供不得分。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绩效评价分项报价表.docx</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2.采用低价优先法计算，即满足磋商文件要求且报价最低的磋商报价为基准价，其价格分为满分15分。 3.磋商报价得分=（磋商基准价/最后磋商报价）×15分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绩效评价分项报价表.docx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绩效评价分项报价表.docx</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详见附件：资格证明材料.docx</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详见附件：绩效评价分项报价表.docx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详见附件：项目负责人简况表.docx</w:t>
      </w:r>
    </w:p>
    <w:p>
      <w:pPr>
        <w:pStyle w:val="null3"/>
        <w:ind w:firstLine="960"/>
      </w:pPr>
      <w:r>
        <w:rPr>
          <w:rFonts w:ascii="仿宋_GB2312" w:hAnsi="仿宋_GB2312" w:cs="仿宋_GB2312" w:eastAsia="仿宋_GB2312"/>
        </w:rPr>
        <w:t>详见附件：项目团队.docx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