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9BDA4">
      <w:pPr>
        <w:adjustRightInd w:val="0"/>
        <w:snapToGrid w:val="0"/>
        <w:jc w:val="center"/>
        <w:rPr>
          <w:rFonts w:hint="eastAsia" w:ascii="宋体" w:hAnsi="宋体" w:cs="Tahoma"/>
          <w:b/>
          <w:color w:val="000000" w:themeColor="text1"/>
          <w:spacing w:val="20"/>
          <w:sz w:val="52"/>
          <w:szCs w:val="36"/>
          <w14:textFill>
            <w14:solidFill>
              <w14:schemeClr w14:val="tx1"/>
            </w14:solidFill>
          </w14:textFill>
        </w:rPr>
      </w:pPr>
      <w:r>
        <w:rPr>
          <w:rFonts w:hint="eastAsia" w:ascii="宋体" w:hAnsi="宋体" w:cs="Tahoma"/>
          <w:b/>
          <w:color w:val="000000" w:themeColor="text1"/>
          <w:spacing w:val="20"/>
          <w:sz w:val="52"/>
          <w:szCs w:val="36"/>
          <w14:textFill>
            <w14:solidFill>
              <w14:schemeClr w14:val="tx1"/>
            </w14:solidFill>
          </w14:textFill>
        </w:rPr>
        <w:t>陕西国防工业职业技术学院</w:t>
      </w:r>
    </w:p>
    <w:p w14:paraId="7F2FF9EE">
      <w:pPr>
        <w:spacing w:line="480" w:lineRule="exact"/>
        <w:jc w:val="center"/>
        <w:rPr>
          <w:rFonts w:ascii="宋体" w:hAnsi="宋体" w:cs="宋体"/>
          <w:color w:val="000000" w:themeColor="text1"/>
          <w:sz w:val="28"/>
          <w:szCs w:val="24"/>
          <w14:textFill>
            <w14:solidFill>
              <w14:schemeClr w14:val="tx1"/>
            </w14:solidFill>
          </w14:textFill>
        </w:rPr>
      </w:pPr>
      <w:r>
        <w:rPr>
          <w:rFonts w:hint="eastAsia" w:ascii="宋体" w:hAnsi="宋体" w:cs="宋体"/>
          <w:color w:val="000000" w:themeColor="text1"/>
          <w:sz w:val="20"/>
          <w:szCs w:val="24"/>
          <w14:textFill>
            <w14:solidFill>
              <w14:schemeClr w14:val="tx1"/>
            </w14:solidFill>
          </w14:textFill>
        </w:rPr>
        <w:t>（本模板为合同样稿，正式稿由双方依据</w:t>
      </w:r>
      <w:r>
        <w:rPr>
          <w:rFonts w:hint="eastAsia" w:ascii="宋体" w:hAnsi="宋体" w:cs="宋体"/>
          <w:color w:val="000000" w:themeColor="text1"/>
          <w:sz w:val="20"/>
          <w:szCs w:val="24"/>
          <w:lang w:eastAsia="zh-CN"/>
          <w14:textFill>
            <w14:solidFill>
              <w14:schemeClr w14:val="tx1"/>
            </w14:solidFill>
          </w14:textFill>
        </w:rPr>
        <w:t>公开</w:t>
      </w:r>
      <w:r>
        <w:rPr>
          <w:rFonts w:hint="eastAsia" w:ascii="宋体" w:hAnsi="宋体" w:cs="宋体"/>
          <w:color w:val="000000" w:themeColor="text1"/>
          <w:sz w:val="20"/>
          <w:szCs w:val="24"/>
          <w14:textFill>
            <w14:solidFill>
              <w14:schemeClr w14:val="tx1"/>
            </w14:solidFill>
          </w14:textFill>
        </w:rPr>
        <w:t>文件及</w:t>
      </w:r>
      <w:r>
        <w:rPr>
          <w:rFonts w:hint="eastAsia" w:ascii="宋体" w:hAnsi="宋体" w:cs="宋体"/>
          <w:color w:val="000000" w:themeColor="text1"/>
          <w:sz w:val="20"/>
          <w:szCs w:val="24"/>
          <w:lang w:eastAsia="zh-CN"/>
          <w14:textFill>
            <w14:solidFill>
              <w14:schemeClr w14:val="tx1"/>
            </w14:solidFill>
          </w14:textFill>
        </w:rPr>
        <w:t>投标</w:t>
      </w:r>
      <w:r>
        <w:rPr>
          <w:rFonts w:hint="eastAsia" w:ascii="宋体" w:hAnsi="宋体" w:cs="宋体"/>
          <w:color w:val="000000" w:themeColor="text1"/>
          <w:sz w:val="20"/>
          <w:szCs w:val="24"/>
          <w14:textFill>
            <w14:solidFill>
              <w14:schemeClr w14:val="tx1"/>
            </w14:solidFill>
          </w14:textFill>
        </w:rPr>
        <w:t>文件制定）</w:t>
      </w:r>
    </w:p>
    <w:p w14:paraId="0877B48A">
      <w:pPr>
        <w:pStyle w:val="6"/>
        <w:rPr>
          <w:color w:val="000000" w:themeColor="text1"/>
          <w14:textFill>
            <w14:solidFill>
              <w14:schemeClr w14:val="tx1"/>
            </w14:solidFill>
          </w14:textFill>
        </w:rPr>
      </w:pPr>
    </w:p>
    <w:p w14:paraId="6ADA938B">
      <w:pPr>
        <w:adjustRightInd w:val="0"/>
        <w:snapToGrid w:val="0"/>
        <w:jc w:val="center"/>
        <w:rPr>
          <w:rFonts w:ascii="宋体" w:hAnsi="宋体" w:cs="Tahoma"/>
          <w:b/>
          <w:color w:val="000000" w:themeColor="text1"/>
          <w:spacing w:val="20"/>
          <w:sz w:val="52"/>
          <w:szCs w:val="36"/>
          <w14:textFill>
            <w14:solidFill>
              <w14:schemeClr w14:val="tx1"/>
            </w14:solidFill>
          </w14:textFill>
        </w:rPr>
      </w:pPr>
      <w:r>
        <w:rPr>
          <w:rFonts w:hint="eastAsia" w:ascii="宋体" w:hAnsi="宋体" w:cs="Tahoma"/>
          <w:b/>
          <w:color w:val="000000" w:themeColor="text1"/>
          <w:spacing w:val="20"/>
          <w:sz w:val="52"/>
          <w:szCs w:val="36"/>
          <w14:textFill>
            <w14:solidFill>
              <w14:schemeClr w14:val="tx1"/>
            </w14:solidFill>
          </w14:textFill>
        </w:rPr>
        <w:t>采购项目合同书</w:t>
      </w:r>
    </w:p>
    <w:p w14:paraId="3A470C9E">
      <w:pPr>
        <w:adjustRightInd w:val="0"/>
        <w:snapToGrid w:val="0"/>
        <w:ind w:left="2100" w:leftChars="1000"/>
        <w:rPr>
          <w:rFonts w:ascii="宋体" w:hAnsi="宋体" w:cs="Tahoma"/>
          <w:b/>
          <w:color w:val="000000" w:themeColor="text1"/>
          <w:sz w:val="28"/>
          <w:szCs w:val="28"/>
          <w14:textFill>
            <w14:solidFill>
              <w14:schemeClr w14:val="tx1"/>
            </w14:solidFill>
          </w14:textFill>
        </w:rPr>
      </w:pPr>
    </w:p>
    <w:p w14:paraId="60F4F260">
      <w:pPr>
        <w:adjustRightInd w:val="0"/>
        <w:snapToGrid w:val="0"/>
        <w:jc w:val="center"/>
        <w:rPr>
          <w:rFonts w:ascii="Tahoma" w:hAnsi="Tahoma" w:cs="Tahoma"/>
          <w:b/>
          <w:color w:val="000000" w:themeColor="text1"/>
          <w:sz w:val="32"/>
          <w14:textFill>
            <w14:solidFill>
              <w14:schemeClr w14:val="tx1"/>
            </w14:solidFill>
          </w14:textFill>
        </w:rPr>
      </w:pPr>
    </w:p>
    <w:p w14:paraId="3480F738">
      <w:pPr>
        <w:adjustRightInd w:val="0"/>
        <w:snapToGrid w:val="0"/>
        <w:jc w:val="center"/>
        <w:rPr>
          <w:rFonts w:ascii="Tahoma" w:hAnsi="Tahoma" w:cs="Tahoma"/>
          <w:b/>
          <w:color w:val="000000" w:themeColor="text1"/>
          <w:sz w:val="32"/>
          <w14:textFill>
            <w14:solidFill>
              <w14:schemeClr w14:val="tx1"/>
            </w14:solidFill>
          </w14:textFill>
        </w:rPr>
      </w:pPr>
    </w:p>
    <w:p w14:paraId="5CD13E1F">
      <w:pPr>
        <w:adjustRightInd w:val="0"/>
        <w:snapToGrid w:val="0"/>
        <w:jc w:val="center"/>
        <w:rPr>
          <w:rFonts w:hint="eastAsia" w:ascii="Tahoma" w:hAnsi="Tahoma" w:cs="Tahoma"/>
          <w:b/>
          <w:color w:val="000000" w:themeColor="text1"/>
          <w:sz w:val="32"/>
          <w14:textFill>
            <w14:solidFill>
              <w14:schemeClr w14:val="tx1"/>
            </w14:solidFill>
          </w14:textFill>
        </w:rPr>
      </w:pPr>
    </w:p>
    <w:p w14:paraId="2D6DED5D">
      <w:pPr>
        <w:pStyle w:val="6"/>
        <w:rPr>
          <w:rFonts w:hint="eastAsia"/>
          <w:color w:val="000000" w:themeColor="text1"/>
          <w:lang w:eastAsia="zh-CN"/>
          <w14:textFill>
            <w14:solidFill>
              <w14:schemeClr w14:val="tx1"/>
            </w14:solidFill>
          </w14:textFill>
        </w:rPr>
      </w:pPr>
    </w:p>
    <w:p w14:paraId="531BE39C">
      <w:pPr>
        <w:pStyle w:val="6"/>
        <w:rPr>
          <w:rFonts w:hint="eastAsia"/>
          <w:color w:val="000000" w:themeColor="text1"/>
          <w:lang w:eastAsia="zh-CN"/>
          <w14:textFill>
            <w14:solidFill>
              <w14:schemeClr w14:val="tx1"/>
            </w14:solidFill>
          </w14:textFill>
        </w:rPr>
      </w:pPr>
    </w:p>
    <w:p w14:paraId="66E58EB2">
      <w:pPr>
        <w:pStyle w:val="6"/>
        <w:rPr>
          <w:rFonts w:hint="eastAsia"/>
          <w:color w:val="000000" w:themeColor="text1"/>
          <w:lang w:eastAsia="zh-CN"/>
          <w14:textFill>
            <w14:solidFill>
              <w14:schemeClr w14:val="tx1"/>
            </w14:solidFill>
          </w14:textFill>
        </w:rPr>
      </w:pPr>
    </w:p>
    <w:p w14:paraId="71B0BC86">
      <w:pPr>
        <w:pStyle w:val="6"/>
        <w:rPr>
          <w:rFonts w:hint="eastAsia"/>
          <w:color w:val="000000" w:themeColor="text1"/>
          <w:lang w:eastAsia="zh-CN"/>
          <w14:textFill>
            <w14:solidFill>
              <w14:schemeClr w14:val="tx1"/>
            </w14:solidFill>
          </w14:textFill>
        </w:rPr>
      </w:pPr>
    </w:p>
    <w:p w14:paraId="33FA6625">
      <w:pPr>
        <w:pStyle w:val="6"/>
        <w:rPr>
          <w:rFonts w:hint="eastAsia"/>
          <w:color w:val="000000" w:themeColor="text1"/>
          <w:lang w:eastAsia="zh-CN"/>
          <w14:textFill>
            <w14:solidFill>
              <w14:schemeClr w14:val="tx1"/>
            </w14:solidFill>
          </w14:textFill>
        </w:rPr>
      </w:pPr>
    </w:p>
    <w:p w14:paraId="20153165">
      <w:pPr>
        <w:pStyle w:val="6"/>
        <w:rPr>
          <w:rFonts w:hint="eastAsia"/>
          <w:color w:val="000000" w:themeColor="text1"/>
          <w:lang w:eastAsia="zh-CN"/>
          <w14:textFill>
            <w14:solidFill>
              <w14:schemeClr w14:val="tx1"/>
            </w14:solidFill>
          </w14:textFill>
        </w:rPr>
      </w:pPr>
    </w:p>
    <w:p w14:paraId="4E3BDB3D">
      <w:pPr>
        <w:pStyle w:val="6"/>
        <w:rPr>
          <w:rFonts w:hint="eastAsia"/>
          <w:color w:val="000000" w:themeColor="text1"/>
          <w:lang w:eastAsia="zh-CN"/>
          <w14:textFill>
            <w14:solidFill>
              <w14:schemeClr w14:val="tx1"/>
            </w14:solidFill>
          </w14:textFill>
        </w:rPr>
      </w:pPr>
    </w:p>
    <w:p w14:paraId="26667575">
      <w:pPr>
        <w:pStyle w:val="6"/>
        <w:rPr>
          <w:rFonts w:hint="eastAsia"/>
          <w:color w:val="000000" w:themeColor="text1"/>
          <w:lang w:eastAsia="zh-CN"/>
          <w14:textFill>
            <w14:solidFill>
              <w14:schemeClr w14:val="tx1"/>
            </w14:solidFill>
          </w14:textFill>
        </w:rPr>
      </w:pPr>
    </w:p>
    <w:p w14:paraId="3D7A9EDF">
      <w:pPr>
        <w:pStyle w:val="6"/>
        <w:rPr>
          <w:rFonts w:hint="eastAsia"/>
          <w:color w:val="000000" w:themeColor="text1"/>
          <w:lang w:eastAsia="zh-CN"/>
          <w14:textFill>
            <w14:solidFill>
              <w14:schemeClr w14:val="tx1"/>
            </w14:solidFill>
          </w14:textFill>
        </w:rPr>
      </w:pPr>
    </w:p>
    <w:p w14:paraId="3FCE9292">
      <w:pPr>
        <w:adjustRightInd w:val="0"/>
        <w:snapToGrid w:val="0"/>
        <w:ind w:left="1680" w:leftChars="800"/>
        <w:jc w:val="center"/>
        <w:rPr>
          <w:rFonts w:ascii="Tahoma" w:hAnsi="Tahoma" w:cs="Tahoma"/>
          <w:b/>
          <w:color w:val="000000" w:themeColor="text1"/>
          <w:sz w:val="32"/>
          <w14:textFill>
            <w14:solidFill>
              <w14:schemeClr w14:val="tx1"/>
            </w14:solidFill>
          </w14:textFill>
        </w:rPr>
      </w:pPr>
    </w:p>
    <w:p w14:paraId="6FD28FF6">
      <w:pPr>
        <w:adjustRightInd w:val="0"/>
        <w:snapToGrid w:val="0"/>
        <w:spacing w:line="360" w:lineRule="auto"/>
        <w:ind w:firstLine="1405" w:firstLineChars="500"/>
        <w:rPr>
          <w:rFonts w:ascii="宋体" w:hAnsi="宋体" w:cs="Tahoma"/>
          <w:b/>
          <w:color w:val="000000" w:themeColor="text1"/>
          <w:sz w:val="28"/>
          <w:szCs w:val="28"/>
          <w14:textFill>
            <w14:solidFill>
              <w14:schemeClr w14:val="tx1"/>
            </w14:solidFill>
          </w14:textFill>
        </w:rPr>
      </w:pPr>
      <w:r>
        <w:rPr>
          <w:rFonts w:hint="eastAsia" w:ascii="宋体" w:hAnsi="宋体" w:cs="Tahoma"/>
          <w:b/>
          <w:color w:val="000000" w:themeColor="text1"/>
          <w:sz w:val="28"/>
          <w:szCs w:val="28"/>
          <w14:textFill>
            <w14:solidFill>
              <w14:schemeClr w14:val="tx1"/>
            </w14:solidFill>
          </w14:textFill>
        </w:rPr>
        <w:t>甲    方：</w:t>
      </w:r>
      <w:r>
        <w:rPr>
          <w:rFonts w:hint="eastAsia" w:ascii="宋体" w:hAnsi="宋体"/>
          <w:b/>
          <w:bCs/>
          <w:color w:val="000000" w:themeColor="text1"/>
          <w:sz w:val="28"/>
          <w:szCs w:val="28"/>
          <w:u w:val="single"/>
          <w14:textFill>
            <w14:solidFill>
              <w14:schemeClr w14:val="tx1"/>
            </w14:solidFill>
          </w14:textFill>
        </w:rPr>
        <w:t xml:space="preserve">陕西国防工业职业技术学院 </w:t>
      </w:r>
    </w:p>
    <w:p w14:paraId="01CA2E2B">
      <w:pPr>
        <w:adjustRightInd w:val="0"/>
        <w:snapToGrid w:val="0"/>
        <w:spacing w:line="360" w:lineRule="auto"/>
        <w:ind w:firstLine="1405" w:firstLineChars="500"/>
        <w:rPr>
          <w:rFonts w:ascii="宋体" w:hAnsi="宋体" w:cs="Tahoma"/>
          <w:b/>
          <w:color w:val="000000" w:themeColor="text1"/>
          <w:sz w:val="28"/>
          <w:szCs w:val="28"/>
          <w14:textFill>
            <w14:solidFill>
              <w14:schemeClr w14:val="tx1"/>
            </w14:solidFill>
          </w14:textFill>
        </w:rPr>
      </w:pPr>
      <w:r>
        <w:rPr>
          <w:rFonts w:hint="eastAsia" w:ascii="宋体" w:hAnsi="宋体" w:cs="Tahoma"/>
          <w:b/>
          <w:color w:val="000000" w:themeColor="text1"/>
          <w:sz w:val="28"/>
          <w:szCs w:val="28"/>
          <w14:textFill>
            <w14:solidFill>
              <w14:schemeClr w14:val="tx1"/>
            </w14:solidFill>
          </w14:textFill>
        </w:rPr>
        <w:t>乙    方：</w:t>
      </w:r>
      <w:r>
        <w:rPr>
          <w:rFonts w:hint="eastAsia" w:ascii="宋体" w:hAnsi="宋体"/>
          <w:b/>
          <w:bCs/>
          <w:color w:val="000000" w:themeColor="text1"/>
          <w:sz w:val="28"/>
          <w:szCs w:val="28"/>
          <w:u w:val="single"/>
          <w14:textFill>
            <w14:solidFill>
              <w14:schemeClr w14:val="tx1"/>
            </w14:solidFill>
          </w14:textFill>
        </w:rPr>
        <w:t xml:space="preserve">                         </w:t>
      </w:r>
    </w:p>
    <w:p w14:paraId="66BD3AEE">
      <w:pPr>
        <w:adjustRightInd w:val="0"/>
        <w:snapToGrid w:val="0"/>
        <w:spacing w:line="360" w:lineRule="auto"/>
        <w:ind w:firstLine="1405" w:firstLineChars="500"/>
        <w:rPr>
          <w:rFonts w:hint="eastAsia" w:ascii="宋体" w:hAnsi="宋体" w:cs="Tahoma"/>
          <w:b/>
          <w:color w:val="000000" w:themeColor="text1"/>
          <w:sz w:val="28"/>
          <w:szCs w:val="28"/>
          <w:u w:val="single"/>
          <w14:textFill>
            <w14:solidFill>
              <w14:schemeClr w14:val="tx1"/>
            </w14:solidFill>
          </w14:textFill>
        </w:rPr>
      </w:pPr>
      <w:r>
        <w:rPr>
          <w:rFonts w:hint="eastAsia" w:ascii="宋体" w:hAnsi="宋体" w:cs="Tahoma"/>
          <w:b/>
          <w:color w:val="000000" w:themeColor="text1"/>
          <w:sz w:val="28"/>
          <w:szCs w:val="28"/>
          <w14:textFill>
            <w14:solidFill>
              <w14:schemeClr w14:val="tx1"/>
            </w14:solidFill>
          </w14:textFill>
        </w:rPr>
        <w:t>合同签订时间：</w:t>
      </w:r>
      <w:r>
        <w:rPr>
          <w:rFonts w:hint="eastAsia" w:ascii="宋体" w:hAnsi="宋体" w:cs="Tahoma"/>
          <w:b/>
          <w:color w:val="000000" w:themeColor="text1"/>
          <w:sz w:val="28"/>
          <w:szCs w:val="28"/>
          <w:u w:val="single"/>
          <w14:textFill>
            <w14:solidFill>
              <w14:schemeClr w14:val="tx1"/>
            </w14:solidFill>
          </w14:textFill>
        </w:rPr>
        <w:t xml:space="preserve">      202</w:t>
      </w:r>
      <w:r>
        <w:rPr>
          <w:rFonts w:hint="eastAsia" w:ascii="宋体" w:hAnsi="宋体" w:cs="Tahoma"/>
          <w:b/>
          <w:color w:val="000000" w:themeColor="text1"/>
          <w:sz w:val="28"/>
          <w:szCs w:val="28"/>
          <w:u w:val="single"/>
          <w:lang w:val="en-US" w:eastAsia="zh-CN"/>
          <w14:textFill>
            <w14:solidFill>
              <w14:schemeClr w14:val="tx1"/>
            </w14:solidFill>
          </w14:textFill>
        </w:rPr>
        <w:t>6</w:t>
      </w:r>
      <w:r>
        <w:rPr>
          <w:rFonts w:hint="eastAsia" w:ascii="宋体" w:hAnsi="宋体" w:cs="Tahoma"/>
          <w:b/>
          <w:color w:val="000000" w:themeColor="text1"/>
          <w:sz w:val="28"/>
          <w:szCs w:val="28"/>
          <w:u w:val="single"/>
          <w14:textFill>
            <w14:solidFill>
              <w14:schemeClr w14:val="tx1"/>
            </w14:solidFill>
          </w14:textFill>
        </w:rPr>
        <w:t xml:space="preserve">年  月  日    </w:t>
      </w:r>
    </w:p>
    <w:p w14:paraId="2F82464F">
      <w:pPr>
        <w:rPr>
          <w:rFonts w:hint="eastAsia" w:ascii="宋体" w:hAnsi="宋体" w:cs="Tahoma"/>
          <w:b/>
          <w:color w:val="000000" w:themeColor="text1"/>
          <w:sz w:val="28"/>
          <w:szCs w:val="28"/>
          <w:u w:val="single"/>
          <w14:textFill>
            <w14:solidFill>
              <w14:schemeClr w14:val="tx1"/>
            </w14:solidFill>
          </w14:textFill>
        </w:rPr>
      </w:pPr>
      <w:r>
        <w:rPr>
          <w:rFonts w:hint="eastAsia" w:ascii="宋体" w:hAnsi="宋体" w:cs="Tahoma"/>
          <w:b/>
          <w:color w:val="000000" w:themeColor="text1"/>
          <w:sz w:val="28"/>
          <w:szCs w:val="28"/>
          <w:u w:val="single"/>
          <w14:textFill>
            <w14:solidFill>
              <w14:schemeClr w14:val="tx1"/>
            </w14:solidFill>
          </w14:textFill>
        </w:rPr>
        <w:br w:type="page"/>
      </w:r>
    </w:p>
    <w:p w14:paraId="69D1D9D6">
      <w:pPr>
        <w:spacing w:line="520" w:lineRule="exact"/>
        <w:ind w:firstLine="562" w:firstLineChars="200"/>
        <w:rPr>
          <w:rFonts w:ascii="宋体"/>
          <w:sz w:val="28"/>
          <w:szCs w:val="28"/>
        </w:rPr>
      </w:pPr>
      <w:r>
        <w:rPr>
          <w:rFonts w:hint="eastAsia" w:ascii="宋体" w:hAnsi="宋体"/>
          <w:b/>
          <w:sz w:val="28"/>
          <w:szCs w:val="28"/>
        </w:rPr>
        <w:t>甲方：</w:t>
      </w:r>
    </w:p>
    <w:p w14:paraId="4C58B4F2">
      <w:pPr>
        <w:spacing w:line="520" w:lineRule="exact"/>
        <w:ind w:firstLine="562" w:firstLineChars="200"/>
        <w:rPr>
          <w:rFonts w:ascii="宋体"/>
          <w:sz w:val="28"/>
          <w:szCs w:val="28"/>
        </w:rPr>
      </w:pPr>
      <w:r>
        <w:rPr>
          <w:rFonts w:hint="eastAsia" w:ascii="宋体" w:hAnsi="宋体"/>
          <w:b/>
          <w:sz w:val="28"/>
          <w:szCs w:val="28"/>
        </w:rPr>
        <w:t>乙方：</w:t>
      </w:r>
    </w:p>
    <w:p w14:paraId="1245D9EF">
      <w:pPr>
        <w:tabs>
          <w:tab w:val="left" w:pos="5670"/>
        </w:tabs>
        <w:autoSpaceDE w:val="0"/>
        <w:autoSpaceDN w:val="0"/>
        <w:adjustRightInd w:val="0"/>
        <w:snapToGrid w:val="0"/>
        <w:spacing w:line="520" w:lineRule="exact"/>
        <w:ind w:firstLine="280" w:firstLineChars="100"/>
        <w:jc w:val="left"/>
        <w:rPr>
          <w:rFonts w:ascii="宋体"/>
          <w:sz w:val="28"/>
          <w:szCs w:val="28"/>
        </w:rPr>
      </w:pPr>
    </w:p>
    <w:p w14:paraId="7C76ACFA">
      <w:pPr>
        <w:tabs>
          <w:tab w:val="left" w:pos="5670"/>
        </w:tabs>
        <w:autoSpaceDE w:val="0"/>
        <w:autoSpaceDN w:val="0"/>
        <w:adjustRightInd w:val="0"/>
        <w:snapToGrid w:val="0"/>
        <w:spacing w:line="520" w:lineRule="exact"/>
        <w:ind w:firstLine="480" w:firstLineChars="200"/>
        <w:jc w:val="left"/>
        <w:rPr>
          <w:rFonts w:hint="eastAsia" w:ascii="宋体" w:hAnsi="宋体"/>
          <w:sz w:val="24"/>
          <w:szCs w:val="24"/>
        </w:rPr>
      </w:pPr>
      <w:r>
        <w:rPr>
          <w:rFonts w:hint="eastAsia" w:ascii="宋体" w:hAnsi="宋体"/>
          <w:sz w:val="24"/>
          <w:szCs w:val="24"/>
        </w:rPr>
        <w:t>根据《中华人民共和国政府采购法》、《中华人民共和国招标投标法》、《中华人民共和国民法典》、《中华人民共和国产品质量法》等相关法律、法规以及</w:t>
      </w:r>
      <w:r>
        <w:rPr>
          <w:rFonts w:hint="eastAsia" w:ascii="宋体" w:hAnsi="宋体"/>
          <w:sz w:val="24"/>
          <w:szCs w:val="24"/>
          <w:u w:val="single"/>
        </w:rPr>
        <w:t xml:space="preserve">                           </w:t>
      </w:r>
      <w:r>
        <w:rPr>
          <w:rFonts w:hint="eastAsia" w:ascii="宋体" w:hAnsi="宋体"/>
          <w:sz w:val="24"/>
          <w:szCs w:val="24"/>
        </w:rPr>
        <w:t>项目招标文件，由</w:t>
      </w:r>
      <w:r>
        <w:rPr>
          <w:rFonts w:hint="eastAsia" w:ascii="宋体" w:hAnsi="宋体"/>
          <w:sz w:val="24"/>
          <w:szCs w:val="24"/>
          <w:u w:val="single"/>
          <w:lang w:eastAsia="zh-CN"/>
        </w:rPr>
        <w:t>陕西中经招标有限公司</w:t>
      </w:r>
      <w:r>
        <w:rPr>
          <w:rFonts w:hint="eastAsia" w:ascii="宋体" w:hAnsi="宋体"/>
          <w:sz w:val="24"/>
          <w:szCs w:val="24"/>
        </w:rPr>
        <w:t>组织</w:t>
      </w:r>
      <w:r>
        <w:rPr>
          <w:rFonts w:hint="eastAsia" w:ascii="宋体" w:hAnsi="宋体"/>
          <w:sz w:val="24"/>
          <w:szCs w:val="24"/>
          <w:u w:val="single"/>
        </w:rPr>
        <w:t xml:space="preserve"> </w:t>
      </w:r>
      <w:r>
        <w:rPr>
          <w:rFonts w:hint="eastAsia" w:ascii="宋体" w:hAnsi="宋体"/>
          <w:sz w:val="24"/>
          <w:szCs w:val="24"/>
          <w:u w:val="single"/>
          <w:lang w:val="en-US" w:eastAsia="zh-CN"/>
        </w:rPr>
        <w:t>公开招标</w:t>
      </w:r>
      <w:r>
        <w:rPr>
          <w:rFonts w:hint="eastAsia" w:ascii="宋体" w:hAnsi="宋体"/>
          <w:sz w:val="24"/>
          <w:szCs w:val="24"/>
          <w:u w:val="single"/>
        </w:rPr>
        <w:t xml:space="preserve"> </w:t>
      </w:r>
      <w:r>
        <w:rPr>
          <w:rFonts w:hint="eastAsia" w:ascii="宋体" w:hAnsi="宋体"/>
          <w:sz w:val="24"/>
          <w:szCs w:val="24"/>
        </w:rPr>
        <w:t>(采购方式)，经甲方确认，选定乙方为</w:t>
      </w:r>
      <w:r>
        <w:rPr>
          <w:rFonts w:hint="eastAsia" w:ascii="宋体" w:hAnsi="宋体"/>
          <w:sz w:val="24"/>
          <w:szCs w:val="24"/>
          <w:u w:val="single"/>
        </w:rPr>
        <w:t xml:space="preserve">                   </w:t>
      </w:r>
      <w:r>
        <w:rPr>
          <w:rFonts w:hint="eastAsia" w:ascii="宋体" w:hAnsi="宋体"/>
          <w:sz w:val="24"/>
          <w:szCs w:val="24"/>
        </w:rPr>
        <w:t>项目的成交单位。甲、乙双方经平等协商，自愿达成如下合同条款。</w:t>
      </w:r>
    </w:p>
    <w:p w14:paraId="0F31BC0D">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 xml:space="preserve">一、产品名称、数量、价格：                         </w:t>
      </w:r>
    </w:p>
    <w:tbl>
      <w:tblPr>
        <w:tblStyle w:val="7"/>
        <w:tblpPr w:leftFromText="180" w:rightFromText="180" w:vertAnchor="text" w:horzAnchor="margin" w:tblpXSpec="center" w:tblpY="15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759"/>
        <w:gridCol w:w="1370"/>
        <w:gridCol w:w="900"/>
        <w:gridCol w:w="1260"/>
        <w:gridCol w:w="900"/>
        <w:gridCol w:w="1080"/>
        <w:gridCol w:w="1260"/>
      </w:tblGrid>
      <w:tr w14:paraId="5594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646" w:type="dxa"/>
            <w:shd w:val="clear" w:color="auto" w:fill="D9D9D9"/>
            <w:vAlign w:val="center"/>
          </w:tcPr>
          <w:p w14:paraId="2A1310A5">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序号</w:t>
            </w:r>
          </w:p>
        </w:tc>
        <w:tc>
          <w:tcPr>
            <w:tcW w:w="1759" w:type="dxa"/>
            <w:shd w:val="clear" w:color="auto" w:fill="D9D9D9"/>
            <w:vAlign w:val="center"/>
          </w:tcPr>
          <w:p w14:paraId="23EBDA17">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货物名称</w:t>
            </w:r>
          </w:p>
        </w:tc>
        <w:tc>
          <w:tcPr>
            <w:tcW w:w="1370" w:type="dxa"/>
            <w:shd w:val="clear" w:color="auto" w:fill="D9D9D9"/>
            <w:vAlign w:val="center"/>
          </w:tcPr>
          <w:p w14:paraId="6ADDFDBF">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规格型号</w:t>
            </w:r>
          </w:p>
        </w:tc>
        <w:tc>
          <w:tcPr>
            <w:tcW w:w="900" w:type="dxa"/>
            <w:shd w:val="clear" w:color="auto" w:fill="D9D9D9"/>
            <w:vAlign w:val="center"/>
          </w:tcPr>
          <w:p w14:paraId="51FD14A2">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品牌</w:t>
            </w:r>
          </w:p>
        </w:tc>
        <w:tc>
          <w:tcPr>
            <w:tcW w:w="1260" w:type="dxa"/>
            <w:shd w:val="clear" w:color="auto" w:fill="D9D9D9"/>
            <w:vAlign w:val="center"/>
          </w:tcPr>
          <w:p w14:paraId="1BFEE8A9">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生产厂家</w:t>
            </w:r>
          </w:p>
        </w:tc>
        <w:tc>
          <w:tcPr>
            <w:tcW w:w="900" w:type="dxa"/>
            <w:shd w:val="clear" w:color="auto" w:fill="D9D9D9"/>
            <w:vAlign w:val="center"/>
          </w:tcPr>
          <w:p w14:paraId="43F69A36">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数量</w:t>
            </w:r>
          </w:p>
        </w:tc>
        <w:tc>
          <w:tcPr>
            <w:tcW w:w="1080" w:type="dxa"/>
            <w:shd w:val="clear" w:color="auto" w:fill="D9D9D9"/>
            <w:vAlign w:val="center"/>
          </w:tcPr>
          <w:p w14:paraId="326C7FED">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单价(元)</w:t>
            </w:r>
          </w:p>
        </w:tc>
        <w:tc>
          <w:tcPr>
            <w:tcW w:w="1260" w:type="dxa"/>
            <w:shd w:val="clear" w:color="auto" w:fill="D9D9D9"/>
            <w:vAlign w:val="center"/>
          </w:tcPr>
          <w:p w14:paraId="0BD55A55">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合计( 元)</w:t>
            </w:r>
          </w:p>
        </w:tc>
      </w:tr>
      <w:tr w14:paraId="392D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554D46B2">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759" w:type="dxa"/>
            <w:vAlign w:val="center"/>
          </w:tcPr>
          <w:p w14:paraId="3430E6FF">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63722E9D">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tcPr>
          <w:p w14:paraId="2F807BD6">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3F1C1943">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4CB2EB38">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1EBC0B2B">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069AAD85">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r>
      <w:tr w14:paraId="466B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14C5D289">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1759" w:type="dxa"/>
            <w:vAlign w:val="center"/>
          </w:tcPr>
          <w:p w14:paraId="6B20B433">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3F5EA3D6">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tcPr>
          <w:p w14:paraId="7DD99F47">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0F9DAEB8">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330D5A6D">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3A38AC7E">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7FFD8E02">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r>
      <w:tr w14:paraId="52A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46" w:type="dxa"/>
            <w:vAlign w:val="center"/>
          </w:tcPr>
          <w:p w14:paraId="06BC57C9">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759" w:type="dxa"/>
            <w:vAlign w:val="center"/>
          </w:tcPr>
          <w:p w14:paraId="28205D3F">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370" w:type="dxa"/>
            <w:vAlign w:val="center"/>
          </w:tcPr>
          <w:p w14:paraId="7CD519F5">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tcPr>
          <w:p w14:paraId="5D54FF6D">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76E1C83B">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900" w:type="dxa"/>
            <w:vAlign w:val="center"/>
          </w:tcPr>
          <w:p w14:paraId="061C84FE">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080" w:type="dxa"/>
            <w:vAlign w:val="center"/>
          </w:tcPr>
          <w:p w14:paraId="2186AE21">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c>
          <w:tcPr>
            <w:tcW w:w="1260" w:type="dxa"/>
            <w:vAlign w:val="center"/>
          </w:tcPr>
          <w:p w14:paraId="4833BB74">
            <w:pPr>
              <w:adjustRightInd w:val="0"/>
              <w:snapToGrid w:val="0"/>
              <w:spacing w:line="360" w:lineRule="auto"/>
              <w:jc w:val="center"/>
              <w:rPr>
                <w:rFonts w:hint="eastAsia" w:ascii="宋体" w:hAnsi="宋体" w:cs="宋体"/>
                <w:color w:val="000000" w:themeColor="text1"/>
                <w:sz w:val="24"/>
                <w:szCs w:val="24"/>
                <w14:textFill>
                  <w14:solidFill>
                    <w14:schemeClr w14:val="tx1"/>
                  </w14:solidFill>
                </w14:textFill>
              </w:rPr>
            </w:pPr>
          </w:p>
        </w:tc>
      </w:tr>
      <w:tr w14:paraId="03FB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646" w:type="dxa"/>
            <w:vAlign w:val="center"/>
          </w:tcPr>
          <w:p w14:paraId="485AB68B">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合计</w:t>
            </w:r>
          </w:p>
        </w:tc>
        <w:tc>
          <w:tcPr>
            <w:tcW w:w="7269" w:type="dxa"/>
            <w:gridSpan w:val="6"/>
            <w:vAlign w:val="center"/>
          </w:tcPr>
          <w:p w14:paraId="37B022AD">
            <w:pPr>
              <w:adjustRightInd w:val="0"/>
              <w:snapToGrid w:val="0"/>
              <w:spacing w:line="360"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 xml:space="preserve">大写：                                      </w:t>
            </w:r>
          </w:p>
        </w:tc>
        <w:tc>
          <w:tcPr>
            <w:tcW w:w="1260" w:type="dxa"/>
            <w:vAlign w:val="center"/>
          </w:tcPr>
          <w:p w14:paraId="5F60118F">
            <w:pPr>
              <w:adjustRightInd w:val="0"/>
              <w:snapToGrid w:val="0"/>
              <w:spacing w:line="360" w:lineRule="auto"/>
              <w:jc w:val="center"/>
              <w:rPr>
                <w:rFonts w:hint="eastAsia" w:ascii="宋体" w:hAnsi="宋体" w:cs="宋体"/>
                <w:b/>
                <w:color w:val="000000" w:themeColor="text1"/>
                <w:sz w:val="24"/>
                <w:szCs w:val="24"/>
                <w14:textFill>
                  <w14:solidFill>
                    <w14:schemeClr w14:val="tx1"/>
                  </w14:solidFill>
                </w14:textFill>
              </w:rPr>
            </w:pPr>
          </w:p>
        </w:tc>
      </w:tr>
    </w:tbl>
    <w:p w14:paraId="038F0194">
      <w:pPr>
        <w:spacing w:line="360" w:lineRule="auto"/>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 xml:space="preserve"> 合同总金额包括</w:t>
      </w:r>
      <w:r>
        <w:rPr>
          <w:rFonts w:hint="eastAsia" w:ascii="宋体" w:hAnsi="宋体" w:cs="宋体"/>
          <w:color w:val="000000" w:themeColor="text1"/>
          <w:sz w:val="24"/>
          <w:szCs w:val="24"/>
          <w14:textFill>
            <w14:solidFill>
              <w14:schemeClr w14:val="tx1"/>
            </w14:solidFill>
          </w14:textFill>
        </w:rPr>
        <w:t>设备、安装、调试、技术服务、培训、验收、保修、税金等交钥匙</w:t>
      </w:r>
      <w:r>
        <w:rPr>
          <w:rFonts w:hint="eastAsia" w:ascii="宋体" w:hAnsi="宋体" w:cs="宋体"/>
          <w:color w:val="000000" w:themeColor="text1"/>
          <w:kern w:val="0"/>
          <w:sz w:val="24"/>
          <w:szCs w:val="24"/>
          <w14:textFill>
            <w14:solidFill>
              <w14:schemeClr w14:val="tx1"/>
            </w14:solidFill>
          </w14:textFill>
        </w:rPr>
        <w:t>全部费用</w:t>
      </w:r>
      <w:r>
        <w:rPr>
          <w:rFonts w:hint="eastAsia" w:ascii="宋体" w:hAnsi="宋体" w:cs="宋体"/>
          <w:color w:val="000000" w:themeColor="text1"/>
          <w:kern w:val="0"/>
          <w:sz w:val="24"/>
          <w:szCs w:val="24"/>
          <w:lang w:eastAsia="zh-CN"/>
          <w14:textFill>
            <w14:solidFill>
              <w14:schemeClr w14:val="tx1"/>
            </w14:solidFill>
          </w14:textFill>
        </w:rPr>
        <w:t>、</w:t>
      </w:r>
    </w:p>
    <w:p w14:paraId="5F5D8453">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二、质量标准：</w:t>
      </w:r>
    </w:p>
    <w:p w14:paraId="59764FB0">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1.乙方提供的产品必须是设计科学、技术成熟、工艺优良，是用优质材料制造的、原厂生产的未曾使用过的全新的合格产品。</w:t>
      </w:r>
    </w:p>
    <w:p w14:paraId="00B71B89">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2.设计技术专利、外形专利等均应符合中华人民共和国有关法律及行业标准，凡因以上问题与第三方发生的任何纠纷均与甲方无关。</w:t>
      </w:r>
    </w:p>
    <w:p w14:paraId="5FECC88A">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3.货物参数指标必须与其标示的技术指标项符合，甲方有权在产品的有效保质期内依据技术指标对该产品进行技术验收，其主要的技术参数达不到标准时，甲方有权无条件退货或依据有关法律索赔。</w:t>
      </w:r>
    </w:p>
    <w:p w14:paraId="7FFCE1A7">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三、交货日期、方式及地点：</w:t>
      </w:r>
    </w:p>
    <w:p w14:paraId="011E4B91">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1.交货地点：</w:t>
      </w:r>
      <w:r>
        <w:rPr>
          <w:rFonts w:hint="eastAsia" w:ascii="宋体" w:hAnsi="宋体" w:cs="宋体"/>
          <w:sz w:val="24"/>
          <w:u w:val="single"/>
        </w:rPr>
        <w:t xml:space="preserve">         </w:t>
      </w:r>
      <w:r>
        <w:rPr>
          <w:rFonts w:hint="eastAsia" w:ascii="宋体" w:hAnsi="宋体" w:cs="宋体"/>
          <w:sz w:val="24"/>
        </w:rPr>
        <w:t>。</w:t>
      </w:r>
    </w:p>
    <w:p w14:paraId="2B83BA7F">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sz w:val="24"/>
        </w:rPr>
        <w:t>2.交货期限：合同签订后</w:t>
      </w:r>
      <w:r>
        <w:rPr>
          <w:rFonts w:hint="eastAsia" w:ascii="宋体" w:hAnsi="宋体" w:cs="宋体"/>
          <w:sz w:val="24"/>
          <w:u w:val="single"/>
        </w:rPr>
        <w:t xml:space="preserve">     </w:t>
      </w:r>
      <w:r>
        <w:rPr>
          <w:rFonts w:hint="eastAsia" w:ascii="宋体" w:hAnsi="宋体" w:cs="宋体"/>
          <w:sz w:val="24"/>
        </w:rPr>
        <w:t>个日历天</w:t>
      </w:r>
    </w:p>
    <w:p w14:paraId="4CEA1092">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四、乙方对质量保证的条件及期限：</w:t>
      </w:r>
    </w:p>
    <w:p w14:paraId="2DD9B085">
      <w:pPr>
        <w:tabs>
          <w:tab w:val="left" w:pos="1701"/>
        </w:tabs>
        <w:adjustRightInd w:val="0"/>
        <w:snapToGrid w:val="0"/>
        <w:spacing w:line="360" w:lineRule="auto"/>
        <w:ind w:firstLine="480" w:firstLineChars="200"/>
        <w:rPr>
          <w:rFonts w:ascii="宋体" w:hAnsi="宋体" w:cs="宋体"/>
          <w:sz w:val="24"/>
        </w:rPr>
      </w:pPr>
      <w:r>
        <w:rPr>
          <w:rFonts w:hint="eastAsia" w:ascii="宋体" w:hAnsi="宋体" w:cs="宋体"/>
          <w:bCs/>
          <w:color w:val="000000" w:themeColor="text1"/>
          <w:sz w:val="24"/>
          <w:szCs w:val="24"/>
          <w14:textFill>
            <w14:solidFill>
              <w14:schemeClr w14:val="tx1"/>
            </w14:solidFill>
          </w14:textFill>
        </w:rPr>
        <w:t>1、</w:t>
      </w:r>
      <w:r>
        <w:rPr>
          <w:rFonts w:hint="eastAsia" w:ascii="宋体" w:hAnsi="宋体" w:cs="宋体"/>
          <w:sz w:val="24"/>
        </w:rPr>
        <w:t>质保期：终验合格后</w:t>
      </w:r>
      <w:r>
        <w:rPr>
          <w:rFonts w:hint="eastAsia" w:ascii="宋体" w:hAnsi="宋体" w:cs="宋体"/>
          <w:sz w:val="24"/>
          <w:u w:val="single"/>
        </w:rPr>
        <w:t xml:space="preserve">     </w:t>
      </w:r>
      <w:r>
        <w:rPr>
          <w:rFonts w:hint="eastAsia" w:ascii="宋体" w:hAnsi="宋体" w:cs="宋体"/>
          <w:sz w:val="24"/>
        </w:rPr>
        <w:t>年</w:t>
      </w:r>
    </w:p>
    <w:p w14:paraId="746F8D54">
      <w:pPr>
        <w:widowControl/>
        <w:adjustRightInd w:val="0"/>
        <w:snapToGrid w:val="0"/>
        <w:spacing w:line="360" w:lineRule="auto"/>
        <w:ind w:firstLine="470" w:firstLineChars="196"/>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2、售后服务响应时间（质保期内）：售后服务响应时间（质保期内）：即时响应（包括电话响应）；电话响应无法解决</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小时内到达现场。修复时间</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小时内解决；如在</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小时内无法修复，则提供部件冗余服务或采取应急措施，提供相同产品或不低于故障产品规格档次的备用产品供采购人使用，以确保货物的正常用。</w:t>
      </w:r>
    </w:p>
    <w:p w14:paraId="3F8C56ED">
      <w:pPr>
        <w:widowControl/>
        <w:adjustRightInd w:val="0"/>
        <w:snapToGrid w:val="0"/>
        <w:spacing w:line="360" w:lineRule="auto"/>
        <w:ind w:firstLine="470" w:firstLineChars="196"/>
        <w:jc w:val="left"/>
        <w:rPr>
          <w:rFonts w:hint="default"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、培训服务要求</w:t>
      </w:r>
    </w:p>
    <w:p w14:paraId="52100A81">
      <w:pPr>
        <w:widowControl/>
        <w:adjustRightInd w:val="0"/>
        <w:snapToGrid w:val="0"/>
        <w:spacing w:line="360" w:lineRule="auto"/>
        <w:ind w:firstLine="470" w:firstLineChars="196"/>
        <w:jc w:val="left"/>
        <w:rPr>
          <w:rFonts w:hint="default" w:ascii="宋体" w:hAnsi="宋体" w:eastAsia="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lang w:eastAsia="zh-CN"/>
          <w14:textFill>
            <w14:solidFill>
              <w14:schemeClr w14:val="tx1"/>
            </w14:solidFill>
          </w14:textFill>
        </w:rPr>
        <w:t>成交供应商</w:t>
      </w:r>
      <w:r>
        <w:rPr>
          <w:rFonts w:hint="eastAsia" w:ascii="宋体" w:hAnsi="宋体" w:eastAsia="宋体" w:cs="宋体"/>
          <w:bCs/>
          <w:color w:val="000000" w:themeColor="text1"/>
          <w:sz w:val="24"/>
          <w:szCs w:val="24"/>
          <w14:textFill>
            <w14:solidFill>
              <w14:schemeClr w14:val="tx1"/>
            </w14:solidFill>
          </w14:textFill>
        </w:rPr>
        <w:t>须负责设备的使用及维护；培训方式：线上+线下、入企+进校；培训次数及人数：培训</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次，每次</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人；培训时长：每次</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天，每天</w:t>
      </w:r>
      <w:r>
        <w:rPr>
          <w:rFonts w:hint="eastAsia" w:ascii="宋体" w:hAnsi="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课时。终身有偿咨询服务，配套软件终身免费升级。</w:t>
      </w:r>
    </w:p>
    <w:p w14:paraId="17FBD714">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五、货物的包装及运输：</w:t>
      </w:r>
    </w:p>
    <w:p w14:paraId="110527E7">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1、乙方应在货物发运前对其进行满足于运输距离、防震、防锈和防破损装卸要求的包装，以保证货物安全运输到达甲方指定地点。途中发生包装物破损的情况，甲方有权拒收货物。</w:t>
      </w:r>
    </w:p>
    <w:p w14:paraId="33B51C06">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2、包装上注明货物品种及数量。</w:t>
      </w:r>
    </w:p>
    <w:p w14:paraId="761B5E87">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3、使用说明书、质量检验证明书、随配附件和工具以及清单与货物一起发送。</w:t>
      </w:r>
    </w:p>
    <w:p w14:paraId="1D23A480">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4、运输方式：乙方负责运输并承担运输、装卸、倒运及运保费等费用。</w:t>
      </w:r>
    </w:p>
    <w:p w14:paraId="7CB87E11">
      <w:pPr>
        <w:spacing w:line="360" w:lineRule="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六、货物的安装、调试及验收：</w:t>
      </w:r>
    </w:p>
    <w:p w14:paraId="2CBA1A7F">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1、甲方对乙方所交货物依照国家有关技术标准和双方确认的技术标准进行现场验收。性能达到技术要求的，验收通过；验收不合格的，限期整改；整改仍达不到要求的，作退货处理。</w:t>
      </w:r>
    </w:p>
    <w:p w14:paraId="7520560D">
      <w:pPr>
        <w:widowControl/>
        <w:adjustRightInd w:val="0"/>
        <w:snapToGrid w:val="0"/>
        <w:spacing w:line="360" w:lineRule="auto"/>
        <w:ind w:firstLine="480" w:firstLineChars="200"/>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2、如因货物的质量问题发生争议，由甲方属地技术质量监督部门进行质量鉴定；货物符合质量标准的，鉴定费由甲方承担；货物不符合质量标准的，鉴定费由乙方承担，同时乙方必须无条件退回全部货款，并向甲方支付合同总价款10%的赔偿金。</w:t>
      </w:r>
    </w:p>
    <w:p w14:paraId="6B5C07DF">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七、付款方式：</w:t>
      </w:r>
    </w:p>
    <w:p w14:paraId="61C37FAC">
      <w:pPr>
        <w:pStyle w:val="11"/>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付款条件说明：乙方完成全部货物的供货、安装、调试、试运行合格后告知甲方，甲方在7天内组织验收，验收合格后乙方向甲方开具全额完税销售发票；甲方在收到发票后30天内支付合同总金额的100%。</w:t>
      </w:r>
    </w:p>
    <w:p w14:paraId="77F36571">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八、违约责任：</w:t>
      </w:r>
    </w:p>
    <w:p w14:paraId="76D987A0">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(1)按照《中华人民共和国民法典》和《中华人民共和国政府采购法》中的相关条款执行。</w:t>
      </w:r>
    </w:p>
    <w:p w14:paraId="66C4B3BB">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w:t>
      </w:r>
    </w:p>
    <w:p w14:paraId="443ACC2A">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w:t>
      </w:r>
    </w:p>
    <w:p w14:paraId="18BA95BF">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w:t>
      </w:r>
    </w:p>
    <w:p w14:paraId="6D2F820B">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w:t>
      </w:r>
    </w:p>
    <w:p w14:paraId="64BE072A">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(6)若交货后三十日历日内乙方未完成安装调试的，每逾期一日应按合同总价的千分之一向甲方支付违约金。违约金不足以弥补损失的，应继续赔偿甲方损失。</w:t>
      </w:r>
    </w:p>
    <w:p w14:paraId="0796495E">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（7）未</w:t>
      </w:r>
      <w:bookmarkStart w:id="10" w:name="_GoBack"/>
      <w:bookmarkEnd w:id="10"/>
      <w:r>
        <w:rPr>
          <w:rFonts w:hint="eastAsia" w:ascii="宋体" w:hAnsi="宋体" w:eastAsia="宋体" w:cs="宋体"/>
          <w:color w:val="000000" w:themeColor="text1"/>
          <w:kern w:val="0"/>
          <w:sz w:val="24"/>
          <w:szCs w:val="24"/>
          <w:lang w:val="en-US" w:eastAsia="zh-CN"/>
          <w14:textFill>
            <w14:solidFill>
              <w14:schemeClr w14:val="tx1"/>
            </w14:solidFill>
          </w14:textFill>
        </w:rPr>
        <w:t>按合同要求的提供产品或质量不能满足技术要求，甲方有权终止合同，甚至对供方违约行为进行追究。</w:t>
      </w:r>
    </w:p>
    <w:p w14:paraId="2BB91EE7">
      <w:pPr>
        <w:spacing w:line="360" w:lineRule="auto"/>
        <w:rPr>
          <w:rFonts w:hint="eastAsia"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九、争议解决方式：</w:t>
      </w:r>
    </w:p>
    <w:p w14:paraId="3F7D045B">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本合同在履行过程中发生的争议，由甲、乙双方协商解决，协商不成的，提交甲方所在地有管辖权的人民法院裁决。</w:t>
      </w:r>
    </w:p>
    <w:p w14:paraId="6538E542">
      <w:pPr>
        <w:spacing w:line="360" w:lineRule="auto"/>
        <w:rPr>
          <w:rFonts w:hint="eastAsia" w:ascii="宋体" w:hAnsi="宋体" w:eastAsia="宋体" w:cs="宋体"/>
          <w:b/>
          <w:color w:val="000000" w:themeColor="text1"/>
          <w:kern w:val="0"/>
          <w:sz w:val="24"/>
          <w:szCs w:val="24"/>
          <w14:textFill>
            <w14:solidFill>
              <w14:schemeClr w14:val="tx1"/>
            </w14:solidFill>
          </w14:textFill>
        </w:rPr>
      </w:pPr>
      <w:bookmarkStart w:id="0" w:name="_Toc7322"/>
      <w:bookmarkStart w:id="1" w:name="_Toc27709"/>
      <w:bookmarkStart w:id="2" w:name="_Toc31635"/>
      <w:bookmarkStart w:id="3" w:name="_Toc31037"/>
      <w:bookmarkStart w:id="4" w:name="_Toc10769"/>
      <w:r>
        <w:rPr>
          <w:rFonts w:hint="eastAsia" w:ascii="宋体" w:hAnsi="宋体" w:eastAsia="宋体" w:cs="宋体"/>
          <w:b/>
          <w:color w:val="000000" w:themeColor="text1"/>
          <w:kern w:val="0"/>
          <w:sz w:val="24"/>
          <w:szCs w:val="24"/>
          <w14:textFill>
            <w14:solidFill>
              <w14:schemeClr w14:val="tx1"/>
            </w14:solidFill>
          </w14:textFill>
        </w:rPr>
        <w:t>十、其他事项</w:t>
      </w:r>
    </w:p>
    <w:bookmarkEnd w:id="0"/>
    <w:bookmarkEnd w:id="1"/>
    <w:bookmarkEnd w:id="2"/>
    <w:bookmarkEnd w:id="3"/>
    <w:bookmarkEnd w:id="4"/>
    <w:p w14:paraId="16B94F9E">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招标文件、投标文件、澄清表（函）、中标通知书、合同附件均成为合同不可分割的部分。</w:t>
      </w:r>
    </w:p>
    <w:p w14:paraId="61E9E9FA">
      <w:pPr>
        <w:widowControl/>
        <w:adjustRightInd w:val="0"/>
        <w:snapToGrid w:val="0"/>
        <w:spacing w:line="360" w:lineRule="auto"/>
        <w:ind w:firstLine="480" w:firstLineChars="20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14:textFill>
            <w14:solidFill>
              <w14:schemeClr w14:val="tx1"/>
            </w14:solidFill>
          </w14:textFill>
        </w:rPr>
        <w:t>合同未尽事宜，由甲、乙双方协商并签订书面协议予以约定。</w:t>
      </w:r>
    </w:p>
    <w:p w14:paraId="013528AA">
      <w:pPr>
        <w:spacing w:line="360" w:lineRule="auto"/>
        <w:rPr>
          <w:rFonts w:hint="eastAsia" w:ascii="宋体" w:hAnsi="宋体" w:eastAsia="宋体" w:cs="宋体"/>
          <w:b/>
          <w:color w:val="000000" w:themeColor="text1"/>
          <w:kern w:val="0"/>
          <w:sz w:val="24"/>
          <w:szCs w:val="24"/>
          <w14:textFill>
            <w14:solidFill>
              <w14:schemeClr w14:val="tx1"/>
            </w14:solidFill>
          </w14:textFill>
        </w:rPr>
      </w:pPr>
      <w:bookmarkStart w:id="5" w:name="_Toc29072"/>
      <w:bookmarkStart w:id="6" w:name="_Toc2128"/>
      <w:bookmarkStart w:id="7" w:name="_Toc24532"/>
      <w:bookmarkStart w:id="8" w:name="_Toc26214"/>
      <w:bookmarkStart w:id="9" w:name="_Toc26525"/>
      <w:r>
        <w:rPr>
          <w:rFonts w:hint="eastAsia" w:ascii="宋体" w:hAnsi="宋体" w:eastAsia="宋体" w:cs="宋体"/>
          <w:b/>
          <w:color w:val="000000" w:themeColor="text1"/>
          <w:kern w:val="0"/>
          <w:sz w:val="24"/>
          <w:szCs w:val="24"/>
          <w14:textFill>
            <w14:solidFill>
              <w14:schemeClr w14:val="tx1"/>
            </w14:solidFill>
          </w14:textFill>
        </w:rPr>
        <w:t>十</w:t>
      </w:r>
      <w:r>
        <w:rPr>
          <w:rFonts w:hint="eastAsia" w:ascii="宋体" w:hAnsi="宋体" w:eastAsia="宋体" w:cs="宋体"/>
          <w:b/>
          <w:color w:val="000000" w:themeColor="text1"/>
          <w:kern w:val="0"/>
          <w:sz w:val="24"/>
          <w:szCs w:val="24"/>
          <w:lang w:eastAsia="zh-CN"/>
          <w14:textFill>
            <w14:solidFill>
              <w14:schemeClr w14:val="tx1"/>
            </w14:solidFill>
          </w14:textFill>
        </w:rPr>
        <w:t>一</w:t>
      </w:r>
      <w:r>
        <w:rPr>
          <w:rFonts w:hint="eastAsia" w:ascii="宋体" w:hAnsi="宋体" w:eastAsia="宋体" w:cs="宋体"/>
          <w:b/>
          <w:color w:val="000000" w:themeColor="text1"/>
          <w:kern w:val="0"/>
          <w:sz w:val="24"/>
          <w:szCs w:val="24"/>
          <w14:textFill>
            <w14:solidFill>
              <w14:schemeClr w14:val="tx1"/>
            </w14:solidFill>
          </w14:textFill>
        </w:rPr>
        <w:t>、合同生效</w:t>
      </w:r>
    </w:p>
    <w:bookmarkEnd w:id="5"/>
    <w:bookmarkEnd w:id="6"/>
    <w:bookmarkEnd w:id="7"/>
    <w:bookmarkEnd w:id="8"/>
    <w:bookmarkEnd w:id="9"/>
    <w:p w14:paraId="1575DD10">
      <w:pPr>
        <w:pStyle w:val="3"/>
        <w:spacing w:line="520" w:lineRule="exact"/>
        <w:rPr>
          <w:sz w:val="24"/>
          <w:szCs w:val="24"/>
        </w:rPr>
      </w:pPr>
      <w:r>
        <w:rPr>
          <w:rFonts w:hint="eastAsia" w:ascii="宋体" w:hAnsi="宋体"/>
          <w:sz w:val="24"/>
          <w:szCs w:val="24"/>
        </w:rPr>
        <w:t>本合同一式</w:t>
      </w:r>
      <w:r>
        <w:rPr>
          <w:rFonts w:hint="eastAsia" w:ascii="宋体" w:hAnsi="宋体"/>
          <w:sz w:val="24"/>
          <w:szCs w:val="24"/>
          <w:u w:val="single"/>
          <w:lang w:val="en-US" w:eastAsia="zh-CN"/>
        </w:rPr>
        <w:t xml:space="preserve">    </w:t>
      </w:r>
      <w:r>
        <w:rPr>
          <w:rFonts w:hint="eastAsia" w:ascii="宋体" w:hAnsi="宋体"/>
          <w:sz w:val="24"/>
          <w:szCs w:val="24"/>
        </w:rPr>
        <w:t>份，甲方</w:t>
      </w:r>
      <w:r>
        <w:rPr>
          <w:rFonts w:hint="eastAsia" w:ascii="宋体" w:hAnsi="宋体"/>
          <w:sz w:val="24"/>
          <w:szCs w:val="24"/>
          <w:u w:val="single"/>
          <w:lang w:val="en-US" w:eastAsia="zh-CN"/>
        </w:rPr>
        <w:t xml:space="preserve">    </w:t>
      </w:r>
      <w:r>
        <w:rPr>
          <w:rFonts w:hint="eastAsia" w:ascii="宋体" w:hAnsi="宋体"/>
          <w:sz w:val="24"/>
          <w:szCs w:val="24"/>
        </w:rPr>
        <w:t>份，乙方</w:t>
      </w:r>
      <w:r>
        <w:rPr>
          <w:rFonts w:hint="eastAsia" w:ascii="宋体" w:hAnsi="宋体"/>
          <w:sz w:val="24"/>
          <w:szCs w:val="24"/>
          <w:u w:val="single"/>
          <w:lang w:val="en-US" w:eastAsia="zh-CN"/>
        </w:rPr>
        <w:t xml:space="preserve">    </w:t>
      </w:r>
      <w:r>
        <w:rPr>
          <w:rFonts w:hint="eastAsia" w:ascii="宋体" w:hAnsi="宋体"/>
          <w:sz w:val="24"/>
          <w:szCs w:val="24"/>
        </w:rPr>
        <w:t>份，甲、乙双方签字盖章后生效。（合同的服务承诺则长期有效）。</w:t>
      </w:r>
    </w:p>
    <w:p w14:paraId="304D8DB8">
      <w:pPr>
        <w:snapToGrid w:val="0"/>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未详尽之处双方协商解决。</w:t>
      </w:r>
    </w:p>
    <w:tbl>
      <w:tblPr>
        <w:tblStyle w:val="7"/>
        <w:tblW w:w="963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51"/>
        <w:gridCol w:w="5085"/>
      </w:tblGrid>
      <w:tr w14:paraId="093B62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5BDDC55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  方</w:t>
            </w:r>
          </w:p>
        </w:tc>
        <w:tc>
          <w:tcPr>
            <w:tcW w:w="5085" w:type="dxa"/>
            <w:vAlign w:val="center"/>
          </w:tcPr>
          <w:p w14:paraId="01CA8718">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乙  方</w:t>
            </w:r>
          </w:p>
        </w:tc>
      </w:tr>
      <w:tr w14:paraId="5B4B5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4551" w:type="dxa"/>
            <w:vAlign w:val="center"/>
          </w:tcPr>
          <w:p w14:paraId="5C01EFA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陕西国防工业职业技术学院</w:t>
            </w:r>
            <w:r>
              <w:rPr>
                <w:rFonts w:hint="eastAsia" w:ascii="宋体" w:hAnsi="宋体" w:cs="宋体"/>
                <w:color w:val="000000" w:themeColor="text1"/>
                <w:sz w:val="24"/>
                <w:szCs w:val="24"/>
                <w14:textFill>
                  <w14:solidFill>
                    <w14:schemeClr w14:val="tx1"/>
                  </w14:solidFill>
                </w14:textFill>
              </w:rPr>
              <w:t>（盖章）</w:t>
            </w:r>
          </w:p>
        </w:tc>
        <w:tc>
          <w:tcPr>
            <w:tcW w:w="5085" w:type="dxa"/>
            <w:vAlign w:val="center"/>
          </w:tcPr>
          <w:p w14:paraId="46D97C3D">
            <w:pPr>
              <w:spacing w:line="360" w:lineRule="auto"/>
              <w:jc w:val="righ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（盖章）</w:t>
            </w:r>
          </w:p>
        </w:tc>
      </w:tr>
      <w:tr w14:paraId="33FA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E9BEB00">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地址：陕西省西安市鄠邑区人民路8号</w:t>
            </w:r>
          </w:p>
        </w:tc>
        <w:tc>
          <w:tcPr>
            <w:tcW w:w="5085" w:type="dxa"/>
            <w:vAlign w:val="center"/>
          </w:tcPr>
          <w:p w14:paraId="462059F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p>
        </w:tc>
      </w:tr>
      <w:tr w14:paraId="4E2177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3A133F60">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邮编：710300</w:t>
            </w:r>
          </w:p>
        </w:tc>
        <w:tc>
          <w:tcPr>
            <w:tcW w:w="5085" w:type="dxa"/>
            <w:vAlign w:val="center"/>
          </w:tcPr>
          <w:p w14:paraId="7C98526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邮编：</w:t>
            </w:r>
          </w:p>
        </w:tc>
      </w:tr>
      <w:tr w14:paraId="24DD3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45B84082">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p>
        </w:tc>
        <w:tc>
          <w:tcPr>
            <w:tcW w:w="5085" w:type="dxa"/>
            <w:vAlign w:val="center"/>
          </w:tcPr>
          <w:p w14:paraId="54E0063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w:t>
            </w:r>
          </w:p>
        </w:tc>
      </w:tr>
      <w:tr w14:paraId="7210A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1E039526">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c>
          <w:tcPr>
            <w:tcW w:w="5085" w:type="dxa"/>
            <w:vAlign w:val="center"/>
          </w:tcPr>
          <w:p w14:paraId="6BCA9B94">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被授权代表：（签字）</w:t>
            </w:r>
          </w:p>
        </w:tc>
      </w:tr>
      <w:tr w14:paraId="55CAB7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vAlign w:val="center"/>
          </w:tcPr>
          <w:p w14:paraId="676DBA2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电话：029-81480108</w:t>
            </w:r>
          </w:p>
        </w:tc>
        <w:tc>
          <w:tcPr>
            <w:tcW w:w="5085" w:type="dxa"/>
            <w:vAlign w:val="center"/>
          </w:tcPr>
          <w:p w14:paraId="5E3309DE">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电话：</w:t>
            </w:r>
          </w:p>
        </w:tc>
      </w:tr>
      <w:tr w14:paraId="2C5BDB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bottom w:val="single" w:color="auto" w:sz="4" w:space="0"/>
            </w:tcBorders>
            <w:vAlign w:val="center"/>
          </w:tcPr>
          <w:p w14:paraId="0FCA96AC">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传真：029-81480005</w:t>
            </w:r>
          </w:p>
        </w:tc>
        <w:tc>
          <w:tcPr>
            <w:tcW w:w="5085" w:type="dxa"/>
            <w:vAlign w:val="center"/>
          </w:tcPr>
          <w:p w14:paraId="38B55AD5">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传真：</w:t>
            </w:r>
          </w:p>
        </w:tc>
      </w:tr>
      <w:tr w14:paraId="1C1E61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2EB1B6EF">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c>
          <w:tcPr>
            <w:tcW w:w="5085" w:type="dxa"/>
            <w:vAlign w:val="center"/>
          </w:tcPr>
          <w:p w14:paraId="1BEB667B">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p>
        </w:tc>
      </w:tr>
      <w:tr w14:paraId="201CF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bottom w:val="single" w:color="auto" w:sz="4" w:space="0"/>
            </w:tcBorders>
            <w:vAlign w:val="center"/>
          </w:tcPr>
          <w:p w14:paraId="0F32A28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账户名称：陕西国防工业职业技术学院</w:t>
            </w:r>
          </w:p>
        </w:tc>
        <w:tc>
          <w:tcPr>
            <w:tcW w:w="5085" w:type="dxa"/>
            <w:tcBorders>
              <w:bottom w:val="single" w:color="auto" w:sz="4" w:space="0"/>
            </w:tcBorders>
            <w:vAlign w:val="center"/>
          </w:tcPr>
          <w:p w14:paraId="793FD241">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w:t>
            </w:r>
          </w:p>
        </w:tc>
      </w:tr>
      <w:tr w14:paraId="581108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4551" w:type="dxa"/>
            <w:tcBorders>
              <w:top w:val="single" w:color="auto" w:sz="4" w:space="0"/>
            </w:tcBorders>
            <w:vAlign w:val="center"/>
          </w:tcPr>
          <w:p w14:paraId="4F206E09">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账号: </w:t>
            </w:r>
          </w:p>
        </w:tc>
        <w:tc>
          <w:tcPr>
            <w:tcW w:w="5085" w:type="dxa"/>
            <w:tcBorders>
              <w:top w:val="single" w:color="auto" w:sz="4" w:space="0"/>
            </w:tcBorders>
            <w:vAlign w:val="center"/>
          </w:tcPr>
          <w:p w14:paraId="504CFF2A">
            <w:pPr>
              <w:spacing w:line="36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tc>
      </w:tr>
    </w:tbl>
    <w:p w14:paraId="50E0334E"/>
    <w:p w14:paraId="3490B23B">
      <w:pPr>
        <w:pStyle w:val="10"/>
        <w:rPr>
          <w:rFonts w:hint="eastAsia"/>
        </w:rPr>
      </w:pPr>
    </w:p>
    <w:p w14:paraId="7718C46D">
      <w:pPr>
        <w:pStyle w:val="10"/>
        <w:rPr>
          <w:rFonts w:hint="eastAsia"/>
        </w:rPr>
      </w:pPr>
    </w:p>
    <w:p w14:paraId="55981E25">
      <w:pPr>
        <w:adjustRightInd w:val="0"/>
        <w:snapToGrid w:val="0"/>
        <w:spacing w:line="360" w:lineRule="auto"/>
        <w:ind w:firstLine="1405" w:firstLineChars="500"/>
        <w:rPr>
          <w:rFonts w:hint="eastAsia" w:ascii="宋体" w:hAnsi="宋体" w:cs="Tahoma"/>
          <w:b/>
          <w:color w:val="000000" w:themeColor="text1"/>
          <w:sz w:val="28"/>
          <w:szCs w:val="28"/>
          <w:u w:val="single"/>
          <w14:textFill>
            <w14:solidFill>
              <w14:schemeClr w14:val="tx1"/>
            </w14:solidFill>
          </w14:textFill>
        </w:rPr>
      </w:pPr>
    </w:p>
    <w:p w14:paraId="47C3B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B57B4D"/>
    <w:rsid w:val="060317A8"/>
    <w:rsid w:val="0C6438DD"/>
    <w:rsid w:val="13345697"/>
    <w:rsid w:val="208F7F77"/>
    <w:rsid w:val="226E5959"/>
    <w:rsid w:val="26802C75"/>
    <w:rsid w:val="29FE066A"/>
    <w:rsid w:val="373B350A"/>
    <w:rsid w:val="3A943375"/>
    <w:rsid w:val="3D577C89"/>
    <w:rsid w:val="41B57B4D"/>
    <w:rsid w:val="490C7F41"/>
    <w:rsid w:val="4C423222"/>
    <w:rsid w:val="6AF45FC3"/>
    <w:rsid w:val="762A1034"/>
    <w:rsid w:val="7C0F6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2"/>
    <w:semiHidden/>
    <w:unhideWhenUsed/>
    <w:qFormat/>
    <w:uiPriority w:val="0"/>
    <w:pPr>
      <w:keepNext/>
      <w:keepLines/>
      <w:ind w:firstLine="0" w:firstLineChars="0"/>
      <w:outlineLvl w:val="1"/>
    </w:pPr>
    <w:rPr>
      <w:rFonts w:ascii="宋体" w:hAnsi="宋体" w:eastAsia="宋体" w:cs="宋体"/>
      <w:b/>
      <w:bCs/>
      <w:sz w:val="28"/>
      <w:szCs w:val="1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link w:val="9"/>
    <w:qFormat/>
    <w:uiPriority w:val="0"/>
    <w:pPr>
      <w:ind w:firstLine="420" w:firstLineChars="200"/>
    </w:pPr>
    <w:rPr>
      <w:rFonts w:ascii="宋体" w:hAnsi="宋体" w:eastAsia="宋体" w:cs="宋体"/>
      <w:sz w:val="24"/>
      <w:szCs w:val="21"/>
      <w:lang w:val="zh-CN" w:bidi="zh-CN"/>
    </w:rPr>
  </w:style>
  <w:style w:type="paragraph" w:styleId="5">
    <w:name w:val="Body Text Indent"/>
    <w:basedOn w:val="1"/>
    <w:semiHidden/>
    <w:unhideWhenUsed/>
    <w:qFormat/>
    <w:uiPriority w:val="99"/>
    <w:pPr>
      <w:spacing w:after="120"/>
      <w:ind w:left="420" w:leftChars="200"/>
    </w:pPr>
  </w:style>
  <w:style w:type="paragraph" w:styleId="6">
    <w:name w:val="Body Text First Indent 2"/>
    <w:basedOn w:val="5"/>
    <w:qFormat/>
    <w:uiPriority w:val="99"/>
    <w:pPr>
      <w:spacing w:after="0" w:line="360" w:lineRule="auto"/>
      <w:ind w:left="0" w:leftChars="0" w:firstLine="570"/>
    </w:pPr>
    <w:rPr>
      <w:rFonts w:ascii="Times New Roman" w:hAnsi="Times New Roman"/>
    </w:rPr>
  </w:style>
  <w:style w:type="character" w:customStyle="1" w:styleId="9">
    <w:name w:val="正文文本 Char"/>
    <w:link w:val="4"/>
    <w:qFormat/>
    <w:uiPriority w:val="1"/>
    <w:rPr>
      <w:rFonts w:ascii="宋体" w:hAnsi="宋体" w:eastAsia="宋体" w:cs="宋体"/>
      <w:sz w:val="24"/>
      <w:szCs w:val="21"/>
      <w:lang w:val="zh-CN" w:bidi="zh-CN"/>
    </w:rPr>
  </w:style>
  <w:style w:type="paragraph" w:customStyle="1" w:styleId="1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2 字符"/>
    <w:basedOn w:val="8"/>
    <w:link w:val="2"/>
    <w:qFormat/>
    <w:uiPriority w:val="99"/>
    <w:rPr>
      <w:rFonts w:ascii="宋体" w:hAnsi="宋体" w:eastAsia="宋体" w:cs="宋体"/>
      <w:b/>
      <w:bCs/>
      <w:sz w:val="2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2282</Words>
  <Characters>2342</Characters>
  <Lines>0</Lines>
  <Paragraphs>0</Paragraphs>
  <TotalTime>0</TotalTime>
  <ScaleCrop>false</ScaleCrop>
  <LinksUpToDate>false</LinksUpToDate>
  <CharactersWithSpaces>2573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2026-07-07T03:03:00Z</dcterms:created>
  <dc:creator>张丹</dc:creator>
  <cp:lastModifiedBy>陕西中经招标有限公司</cp:lastModifiedBy>
  <dcterms:modified xsi:type="dcterms:W3CDTF">2026-08-14T06:54:29Z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19424B92F1774CACB97EE6F7450502EC_11</vt:lpwstr>
  </property>
  <property fmtid="{D5CDD505-2E9C-101B-9397-08002B2CF9AE}" pid="4" name="KSOTemplateDocerSaveRecord">
    <vt:lpwstr>eyJoZGlkIjoiNzQ2Y2ZmOTBkMTUyODBhYTJmYzM2MWM5NGIxYjkxMDYiLCJ1c2VySWQiOiIxODY5MTYyMTc0In0=</vt:lpwstr>
  </property>
</Properties>
</file>