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版本号：FN-ZBW-2026-00920260508001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蒲城高新技术开发区地下水污染隐患排查和整治断源项目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FN-ZBW-2026-009</w:t>
      </w:r>
      <w:r>
        <w:br/>
      </w:r>
      <w:r>
        <w:br/>
      </w:r>
      <w:r>
        <w:br/>
      </w:r>
    </w:p>
    <w:p>
      <w:pPr>
        <w:pStyle w:val="null3"/>
        <w:jc w:val="center"/>
        <w:outlineLvl w:val="2"/>
      </w:pPr>
      <w:r>
        <w:rPr>
          <w:rFonts w:ascii="仿宋_GB2312" w:hAnsi="仿宋_GB2312" w:cs="仿宋_GB2312" w:eastAsia="仿宋_GB2312"/>
          <w:sz w:val="28"/>
          <w:b/>
        </w:rPr>
        <w:t>渭南经开区新材料产业聚集区管理办公室</w:t>
      </w:r>
    </w:p>
    <w:p>
      <w:pPr>
        <w:pStyle w:val="null3"/>
        <w:jc w:val="center"/>
        <w:outlineLvl w:val="2"/>
      </w:pPr>
      <w:r>
        <w:rPr>
          <w:rFonts w:ascii="仿宋_GB2312" w:hAnsi="仿宋_GB2312" w:cs="仿宋_GB2312" w:eastAsia="仿宋_GB2312"/>
          <w:sz w:val="28"/>
          <w:b/>
        </w:rPr>
        <w:t>丰诺工程咨询有限公司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丰诺工程咨询有限公司</w:t>
      </w:r>
      <w:r>
        <w:rPr>
          <w:rFonts w:ascii="仿宋_GB2312" w:hAnsi="仿宋_GB2312" w:cs="仿宋_GB2312" w:eastAsia="仿宋_GB2312"/>
        </w:rPr>
        <w:t>（以下简称“代理机构”）受</w:t>
      </w:r>
      <w:r>
        <w:rPr>
          <w:rFonts w:ascii="仿宋_GB2312" w:hAnsi="仿宋_GB2312" w:cs="仿宋_GB2312" w:eastAsia="仿宋_GB2312"/>
        </w:rPr>
        <w:t>渭南经开区新材料产业聚集区管理办公室</w:t>
      </w:r>
      <w:r>
        <w:rPr>
          <w:rFonts w:ascii="仿宋_GB2312" w:hAnsi="仿宋_GB2312" w:cs="仿宋_GB2312" w:eastAsia="仿宋_GB2312"/>
        </w:rPr>
        <w:t>委托，拟对</w:t>
      </w:r>
      <w:r>
        <w:rPr>
          <w:rFonts w:ascii="仿宋_GB2312" w:hAnsi="仿宋_GB2312" w:cs="仿宋_GB2312" w:eastAsia="仿宋_GB2312"/>
        </w:rPr>
        <w:t>蒲城高新技术开发区地下水污染隐患排查和整治断源项目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FN-ZBW-2026-009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蒲城高新技术开发区地下水污染隐患排查和整治断源项目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蒲城高新技术开发区地下水污染隐患排查和整治断源项目包括：开展地下水污染源排查，基于排查结果编制整治方案，企业实施整治断源后，评估整治工作成效，编制整治成果报告。</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采购包1（蒲城高新技术开发区地下水污染隐患排查和整治断源项目）：属于专门面向中小企业采购。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2、法定代表人授权委托书：法定代表人参加投标的，提供法定代表人身份证明书并出示身份证原件;法定代表人授权他人参加投标的，提供法定代表人授权委托书并出示被授权代表的身份证原件;</w:t>
      </w:r>
    </w:p>
    <w:p>
      <w:pPr>
        <w:pStyle w:val="null3"/>
      </w:pPr>
      <w:r>
        <w:rPr>
          <w:rFonts w:ascii="仿宋_GB2312" w:hAnsi="仿宋_GB2312" w:cs="仿宋_GB2312" w:eastAsia="仿宋_GB2312"/>
        </w:rPr>
        <w:t>3、财务状况报告：提供2025年度经审计的财务报告(报告中至少包括报告正文、资产负债表、利润表及现金流量表)(成立时间至提交响应文件截止时间不足一年的可提供成立后任意时段的资产负债表)，或开标前三个月内基本存款账户开户银行出具的资信证明及基本存款账户开户许可证(或基本账户信息表);</w:t>
      </w:r>
    </w:p>
    <w:p>
      <w:pPr>
        <w:pStyle w:val="null3"/>
      </w:pPr>
      <w:r>
        <w:rPr>
          <w:rFonts w:ascii="仿宋_GB2312" w:hAnsi="仿宋_GB2312" w:cs="仿宋_GB2312" w:eastAsia="仿宋_GB2312"/>
        </w:rPr>
        <w:t>4、税收缴纳证明：提供近六个月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5、社会保障资金缴纳证明：提供近六个月已缴存任意一个月社会保障资金缴存单据或社保机构开具的社会保险参保缴费证明，依法不需要缴纳社会保障资金的单位应提供相关证明材料；</w:t>
      </w:r>
    </w:p>
    <w:p>
      <w:pPr>
        <w:pStyle w:val="null3"/>
      </w:pPr>
      <w:r>
        <w:rPr>
          <w:rFonts w:ascii="仿宋_GB2312" w:hAnsi="仿宋_GB2312" w:cs="仿宋_GB2312" w:eastAsia="仿宋_GB2312"/>
        </w:rPr>
        <w:t>6、没有重大违法记录的书面申明：供应商应具备良好的商业信誉，提供在参加政府采购活动前 3 年内在经营活动中没有重大违法记录的书面申明；</w:t>
      </w:r>
    </w:p>
    <w:p>
      <w:pPr>
        <w:pStyle w:val="null3"/>
      </w:pPr>
      <w:r>
        <w:rPr>
          <w:rFonts w:ascii="仿宋_GB2312" w:hAnsi="仿宋_GB2312" w:cs="仿宋_GB2312" w:eastAsia="仿宋_GB2312"/>
        </w:rPr>
        <w:t>7、专业技术能力的书面声明：供应商具备履行合同所必须的设备和专业技术能力的书面声明；</w:t>
      </w:r>
    </w:p>
    <w:p>
      <w:pPr>
        <w:pStyle w:val="null3"/>
      </w:pPr>
      <w:r>
        <w:rPr>
          <w:rFonts w:ascii="仿宋_GB2312" w:hAnsi="仿宋_GB2312" w:cs="仿宋_GB2312" w:eastAsia="仿宋_GB2312"/>
        </w:rPr>
        <w:t>8、信用查询：供应商不得为信用中国网站(www.creditchina.gov.cn)“记录失信被执行人和重大税收违法案件当事人名单”记录名单；不得为中国政府采购网(www.ccgp.gov.cn)“政府采购严重违法失信行为信息记录”的单位；</w:t>
      </w:r>
    </w:p>
    <w:p>
      <w:pPr>
        <w:pStyle w:val="null3"/>
      </w:pPr>
      <w:r>
        <w:rPr>
          <w:rFonts w:ascii="仿宋_GB2312" w:hAnsi="仿宋_GB2312" w:cs="仿宋_GB2312" w:eastAsia="仿宋_GB2312"/>
        </w:rPr>
        <w:t>9、项目负责人：供应商拟派本项目项目负责人须具备相关专业中级及以上技术职称。相关专业指：环保类专业。</w:t>
      </w:r>
    </w:p>
    <w:p>
      <w:pPr>
        <w:pStyle w:val="null3"/>
      </w:pPr>
      <w:r>
        <w:rPr>
          <w:rFonts w:ascii="仿宋_GB2312" w:hAnsi="仿宋_GB2312" w:cs="仿宋_GB2312" w:eastAsia="仿宋_GB2312"/>
        </w:rPr>
        <w:t>10、关联关系：单位负责人为同一人或存在直接控股、管理关系的不同单位，不得参加同一项目的政府采购活动；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渭南经开区新材料产业聚集区管理办公室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陕西省渭南市蒲城县陈庄镇东鲁村纬二路西段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渭南经开区新材料产业聚集区管理办公室经办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0913-7161011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丰诺工程咨询有限公司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陕西省西安市经济技术开发区凤城九路海博广场 B座1605室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13484534019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卤阳湖开发区政府采购管理股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刘凯</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18729849137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采购包1：841,216.00元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开户名称：丰诺工程咨询有限公司</w:t>
            </w:r>
          </w:p>
          <w:p>
            <w:pPr>
              <w:pStyle w:val="null3"/>
            </w:pPr>
            <w:r>
              <w:rPr>
                <w:rFonts w:ascii="仿宋_GB2312" w:hAnsi="仿宋_GB2312" w:cs="仿宋_GB2312" w:eastAsia="仿宋_GB2312"/>
              </w:rPr>
              <w:t>开户银行：中国工商银行股份有限公司西安朱雀路南段支行</w:t>
            </w:r>
          </w:p>
          <w:p>
            <w:pPr>
              <w:pStyle w:val="null3"/>
            </w:pPr>
            <w:r>
              <w:rPr>
                <w:rFonts w:ascii="仿宋_GB2312" w:hAnsi="仿宋_GB2312" w:cs="仿宋_GB2312" w:eastAsia="仿宋_GB2312"/>
              </w:rPr>
              <w:t>银行账号：3700083309100039532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代理服务费收费标准：根据国家财政部、国家计委、国家物价局(2002)1980号，国家发改委(2003 )857号等文件规定收取，由中标人在领取中标通知书前一次性全额付清。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渭南经开区新材料产业聚集区管理办公室</w:t>
      </w:r>
      <w:r>
        <w:rPr>
          <w:rFonts w:ascii="仿宋_GB2312" w:hAnsi="仿宋_GB2312" w:cs="仿宋_GB2312" w:eastAsia="仿宋_GB2312"/>
        </w:rPr>
        <w:t>和</w:t>
      </w:r>
      <w:r>
        <w:rPr>
          <w:rFonts w:ascii="仿宋_GB2312" w:hAnsi="仿宋_GB2312" w:cs="仿宋_GB2312" w:eastAsia="仿宋_GB2312"/>
        </w:rPr>
        <w:t>丰诺工程咨询有限公司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渭南经开区新材料产业聚集区管理办公室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丰诺工程咨询有限公司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渭南经开区新材料产业聚集区管理办公室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按照国家标准及合同要求执行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丰诺工程咨询有限公司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联系人：刘媛</w:t>
      </w:r>
    </w:p>
    <w:p>
      <w:pPr>
        <w:pStyle w:val="null3"/>
      </w:pPr>
      <w:r>
        <w:rPr>
          <w:rFonts w:ascii="仿宋_GB2312" w:hAnsi="仿宋_GB2312" w:cs="仿宋_GB2312" w:eastAsia="仿宋_GB2312"/>
        </w:rPr>
        <w:t>联系电话：13484534019</w:t>
      </w:r>
    </w:p>
    <w:p>
      <w:pPr>
        <w:pStyle w:val="null3"/>
      </w:pPr>
      <w:r>
        <w:rPr>
          <w:rFonts w:ascii="仿宋_GB2312" w:hAnsi="仿宋_GB2312" w:cs="仿宋_GB2312" w:eastAsia="仿宋_GB2312"/>
        </w:rPr>
        <w:t>地址：陕西省西安市经济技术开发区凤城九路海博广场 B座1605室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蒲城高新技术开发区地下水污染隐患排查和整治断源项目包括：开展地下水污染源排查，基于排查结果编制整治方案，企业实施整治断源后，评估整治工作成效，编制整治成果报告。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841,216.00</w:t>
      </w:r>
    </w:p>
    <w:p>
      <w:pPr>
        <w:pStyle w:val="null3"/>
      </w:pPr>
      <w:r>
        <w:rPr>
          <w:rFonts w:ascii="仿宋_GB2312" w:hAnsi="仿宋_GB2312" w:cs="仿宋_GB2312" w:eastAsia="仿宋_GB2312"/>
        </w:rPr>
        <w:t>采购包最高限价（元）: 841,216.00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蒲城高新技术开发区地下水污染隐患排查和整治断源项目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841,216.00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标的名称：蒲城高新技术开发区地下水污染隐患排查和整治断源项目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1、服务内容</w:t>
            </w:r>
          </w:p>
          <w:p>
            <w:pPr>
              <w:pStyle w:val="null3"/>
            </w:pPr>
            <w:r>
              <w:rPr>
                <w:rFonts w:ascii="仿宋_GB2312" w:hAnsi="仿宋_GB2312" w:cs="仿宋_GB2312" w:eastAsia="仿宋_GB2312"/>
                <w:sz w:val="21"/>
              </w:rPr>
              <w:t>开展地下水污染源排查，基于排查结果编制整治方案，企业实施整治断源后，评估整治工作成效，编制整治成果报告。</w:t>
            </w:r>
          </w:p>
          <w:p>
            <w:pPr>
              <w:pStyle w:val="null3"/>
            </w:pPr>
            <w:r>
              <w:rPr>
                <w:rFonts w:ascii="仿宋_GB2312" w:hAnsi="仿宋_GB2312" w:cs="仿宋_GB2312" w:eastAsia="仿宋_GB2312"/>
                <w:sz w:val="21"/>
              </w:rPr>
              <w:t>2、编制依据</w:t>
            </w:r>
          </w:p>
          <w:p>
            <w:pPr>
              <w:pStyle w:val="null3"/>
            </w:pPr>
            <w:r>
              <w:rPr>
                <w:rFonts w:ascii="仿宋_GB2312" w:hAnsi="仿宋_GB2312" w:cs="仿宋_GB2312" w:eastAsia="仿宋_GB2312"/>
                <w:sz w:val="21"/>
              </w:rPr>
              <w:t>编制应符合下列法律法规、政策性文件及标准规范要求（包含但不限于下列内容）：</w:t>
            </w:r>
          </w:p>
          <w:p>
            <w:pPr>
              <w:pStyle w:val="null3"/>
            </w:pPr>
            <w:r>
              <w:rPr>
                <w:rFonts w:ascii="仿宋_GB2312" w:hAnsi="仿宋_GB2312" w:cs="仿宋_GB2312" w:eastAsia="仿宋_GB2312"/>
                <w:sz w:val="21"/>
              </w:rPr>
              <w:t>法律法规：</w:t>
            </w:r>
          </w:p>
          <w:p>
            <w:pPr>
              <w:pStyle w:val="null3"/>
            </w:pPr>
            <w:r>
              <w:rPr>
                <w:rFonts w:ascii="仿宋_GB2312" w:hAnsi="仿宋_GB2312" w:cs="仿宋_GB2312" w:eastAsia="仿宋_GB2312"/>
                <w:sz w:val="21"/>
              </w:rPr>
              <w:t>（</w:t>
            </w:r>
            <w:r>
              <w:rPr>
                <w:rFonts w:ascii="仿宋_GB2312" w:hAnsi="仿宋_GB2312" w:cs="仿宋_GB2312" w:eastAsia="仿宋_GB2312"/>
                <w:sz w:val="21"/>
              </w:rPr>
              <w:t>1）《中华人民共和国环境保护法》；</w:t>
            </w:r>
          </w:p>
          <w:p>
            <w:pPr>
              <w:pStyle w:val="null3"/>
            </w:pPr>
            <w:r>
              <w:rPr>
                <w:rFonts w:ascii="仿宋_GB2312" w:hAnsi="仿宋_GB2312" w:cs="仿宋_GB2312" w:eastAsia="仿宋_GB2312"/>
                <w:sz w:val="21"/>
              </w:rPr>
              <w:t>（</w:t>
            </w:r>
            <w:r>
              <w:rPr>
                <w:rFonts w:ascii="仿宋_GB2312" w:hAnsi="仿宋_GB2312" w:cs="仿宋_GB2312" w:eastAsia="仿宋_GB2312"/>
                <w:sz w:val="21"/>
              </w:rPr>
              <w:t>2）《中华人民共和国水污染防治法》；</w:t>
            </w:r>
          </w:p>
          <w:p>
            <w:pPr>
              <w:pStyle w:val="null3"/>
            </w:pPr>
            <w:r>
              <w:rPr>
                <w:rFonts w:ascii="仿宋_GB2312" w:hAnsi="仿宋_GB2312" w:cs="仿宋_GB2312" w:eastAsia="仿宋_GB2312"/>
                <w:sz w:val="21"/>
              </w:rPr>
              <w:t>（</w:t>
            </w:r>
            <w:r>
              <w:rPr>
                <w:rFonts w:ascii="仿宋_GB2312" w:hAnsi="仿宋_GB2312" w:cs="仿宋_GB2312" w:eastAsia="仿宋_GB2312"/>
                <w:sz w:val="21"/>
              </w:rPr>
              <w:t>3）《中华人民共和国土壤污染防治法》；</w:t>
            </w:r>
          </w:p>
          <w:p>
            <w:pPr>
              <w:pStyle w:val="null3"/>
            </w:pPr>
            <w:r>
              <w:rPr>
                <w:rFonts w:ascii="仿宋_GB2312" w:hAnsi="仿宋_GB2312" w:cs="仿宋_GB2312" w:eastAsia="仿宋_GB2312"/>
                <w:sz w:val="21"/>
              </w:rPr>
              <w:t>标准规范、要求：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1）生态环境部《化工园区地下水污染专项整治工作方案》；</w:t>
            </w:r>
          </w:p>
          <w:p>
            <w:pPr>
              <w:pStyle w:val="null3"/>
            </w:pPr>
            <w:r>
              <w:rPr>
                <w:rFonts w:ascii="仿宋_GB2312" w:hAnsi="仿宋_GB2312" w:cs="仿宋_GB2312" w:eastAsia="仿宋_GB2312"/>
                <w:sz w:val="21"/>
              </w:rPr>
              <w:t>（</w:t>
            </w:r>
            <w:r>
              <w:rPr>
                <w:rFonts w:ascii="仿宋_GB2312" w:hAnsi="仿宋_GB2312" w:cs="仿宋_GB2312" w:eastAsia="仿宋_GB2312"/>
                <w:sz w:val="21"/>
              </w:rPr>
              <w:t>2）陕西省生态环境厅《关于做好化工园区地下水污染专项整治有关工作的通知》（陕环土壤函[2025]27号）；</w:t>
            </w:r>
          </w:p>
          <w:p>
            <w:pPr>
              <w:pStyle w:val="null3"/>
            </w:pPr>
            <w:r>
              <w:rPr>
                <w:rFonts w:ascii="仿宋_GB2312" w:hAnsi="仿宋_GB2312" w:cs="仿宋_GB2312" w:eastAsia="仿宋_GB2312"/>
                <w:sz w:val="21"/>
              </w:rPr>
              <w:t>（</w:t>
            </w:r>
            <w:r>
              <w:rPr>
                <w:rFonts w:ascii="仿宋_GB2312" w:hAnsi="仿宋_GB2312" w:cs="仿宋_GB2312" w:eastAsia="仿宋_GB2312"/>
                <w:sz w:val="21"/>
              </w:rPr>
              <w:t>3）《渭南市生态环境局关于做好化工园区地下水污染专项整治有关工作的函》（渭环函〔2025〕206号）。</w:t>
            </w:r>
          </w:p>
          <w:p>
            <w:pPr>
              <w:pStyle w:val="null3"/>
            </w:pPr>
            <w:r>
              <w:rPr>
                <w:rFonts w:ascii="仿宋_GB2312" w:hAnsi="仿宋_GB2312" w:cs="仿宋_GB2312" w:eastAsia="仿宋_GB2312"/>
                <w:sz w:val="21"/>
              </w:rPr>
              <w:t>其它相关法律法规、标准规范及要求。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项目团队人员配置合理，满足项目需求。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设施设备配置合理，满足项目需求。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采购人指定的地点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按照国家标准及合同要求执行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报告书编制完成，提交技术审查</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通过技术审查，取得专家组意见</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按照国家标准及合同要求执行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法定代表人参加投标的，提供法定代表人身份证明书并出示身份证原件;法定代表人授权他人参加投标的，提供法定代表人授权委托书并出示被授权代表的身份证原件;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中至少包括报告正文、资产负债表、利润表及现金流量表)(成立时间至提交响应文件截止时间不足一年的可提供成立后任意时段的资产负债表)，或开标前三个月内基本存款账户开户银行出具的资信证明及基本存款账户开户许可证(或基本账户信息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提供近六个月已缴纳任意一个月纳税证明或税务机关开具的完税证明(时间以税款所属日期为准，凭据应有税务机关或代收机关的公章或业务专用章。)依法免税或无须缴纳税收的单位应提供相应证明文件;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提供近六个月已缴存任意一个月社会保障资金缴存单据或社保机构开具的社会保险参保缴费证明，依法不需要缴纳社会保障资金的单位应提供相关证明材料；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没有重大违法记录的书面申明</w:t>
            </w:r>
          </w:p>
        </w:tc>
        <w:tc>
          <w:tcPr>
            <w:tcW w:type="dxa" w:w="3322"/>
          </w:tcPr>
          <w:p>
            <w:pPr>
              <w:pStyle w:val="null3"/>
            </w:pPr>
            <w:r>
              <w:rPr>
                <w:rFonts w:ascii="仿宋_GB2312" w:hAnsi="仿宋_GB2312" w:cs="仿宋_GB2312" w:eastAsia="仿宋_GB2312"/>
              </w:rPr>
              <w:t>供应商应具备良好的商业信誉，提供在参加政府采购活动前 3 年内在经营活动中没有重大违法记录的书面申明；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专业技术能力的书面声明</w:t>
            </w:r>
          </w:p>
        </w:tc>
        <w:tc>
          <w:tcPr>
            <w:tcW w:type="dxa" w:w="3322"/>
          </w:tcPr>
          <w:p>
            <w:pPr>
              <w:pStyle w:val="null3"/>
            </w:pPr>
            <w:r>
              <w:rPr>
                <w:rFonts w:ascii="仿宋_GB2312" w:hAnsi="仿宋_GB2312" w:cs="仿宋_GB2312" w:eastAsia="仿宋_GB2312"/>
              </w:rPr>
              <w:t>供应商具备履行合同所必须的设备和专业技术能力的书面声明；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供应商不得为信用中国网站(www.creditchina.gov.cn)“记录失信被执行人和重大税收违法案件当事人名单”记录名单；不得为中国政府采购网(www.ccgp.gov.cn)“政府采购严重违法失信行为信息记录”的单位；</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供应商拟派本项目项目负责人须具备相关专业中级及以上技术职称。相关专业指：环保类专业。</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单位负责人为同一人或存在直接控股、管理关系的不同单位，不得参加同一项目的政府采购活动；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至少以下三处的项目名称、项目编号与本项目完全一致： （1）投标文件封面 （2）投标函 （3）法定代表人（单位负责人）身份证明\法定代表人（单位负责人）委托授权书</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服务方案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应符合招标文件要求。</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完全响应招标文件要求的实质性条款，实质性条款须在采购文件中特别说明。</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整体理解</w:t>
            </w:r>
          </w:p>
        </w:tc>
        <w:tc>
          <w:tcPr>
            <w:tcW w:type="dxa" w:w="2492"/>
          </w:tcPr>
          <w:p>
            <w:pPr>
              <w:pStyle w:val="null3"/>
            </w:pPr>
            <w:r>
              <w:rPr>
                <w:rFonts w:ascii="仿宋_GB2312" w:hAnsi="仿宋_GB2312" w:cs="仿宋_GB2312" w:eastAsia="仿宋_GB2312"/>
              </w:rPr>
              <w:t>包含但不限于：工作依据、工作目标与任务等理解的内容。 1、理解准确，认知及理解深刻、全面得(4-5]分； 2、理解较准确，认知及理解较深刻、较全面得(2-4]分； 3、理解不准确，认知及理解不深刻、不全面得(0-2]分； 4、未提供项目整体理解不得分。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蒲城高新技术开发区环境背景</w:t>
            </w:r>
          </w:p>
        </w:tc>
        <w:tc>
          <w:tcPr>
            <w:tcW w:type="dxa" w:w="2492"/>
          </w:tcPr>
          <w:p>
            <w:pPr>
              <w:pStyle w:val="null3"/>
            </w:pPr>
            <w:r>
              <w:rPr>
                <w:rFonts w:ascii="仿宋_GB2312" w:hAnsi="仿宋_GB2312" w:cs="仿宋_GB2312" w:eastAsia="仿宋_GB2312"/>
              </w:rPr>
              <w:t>包含但不限于：对蒲城高新技术开发区地下水和土壤的环境污染、已掌握污染现状及污染风险等进行描述、分析。 1、描述内容全面，已掌握资料丰富，问题分析准确深入得(8-10]分； 2、描述内容基本全面，已掌握资料较丰富，问题分析较准确深入得(5-8]分； 3、描述内容一般，已掌握资料不全，问题分析深度一般得(3-5]分； 4、描述内容不全面，已掌握资料匮乏，问题分析不准确深入得(0-3]分； 5、未提供蒲城高新技术开发区环境背景的不得分。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地下水污染整治方案</w:t>
            </w:r>
          </w:p>
        </w:tc>
        <w:tc>
          <w:tcPr>
            <w:tcW w:type="dxa" w:w="2492"/>
          </w:tcPr>
          <w:p>
            <w:pPr>
              <w:pStyle w:val="null3"/>
            </w:pPr>
            <w:r>
              <w:rPr>
                <w:rFonts w:ascii="仿宋_GB2312" w:hAnsi="仿宋_GB2312" w:cs="仿宋_GB2312" w:eastAsia="仿宋_GB2312"/>
              </w:rPr>
              <w:t>紧扣目标、范围，通过技术路线、技术手段、任务设置及整治断源方案内容等进行描述。 1、描述内容全面、准确且深入，运用技术路线、手段清晰合理，任务设置合理，整治断源方案内容明确得(10-12]分； 2、描述内容较全面准确，运用技术路线、手段较清晰合理，任务设置较合理，整治断源方案内容较明确得(7-10]分； 3、描述内容比较一般，运用技术路线、手段一般，任务设置一般，整治断源方案内容一般得(4-7]分； 4、描述内容较差，运用技术路线、手段较差，任务设置较差，整治断源方案内容较差得(0-4]分； 5、未提供技术路线、技术手段、任务设置及整治断源方案内容的不得分。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包含但不限于：整体进度计划、各阶段进度安排、进度保障措施等内容。 1、进度计划详细、进度节点清晰，各阶段进度安排合理，进度保障措施全面得(8-10]分； 2、进度计划较详细、进度节点较清晰，各阶段进度安排较合理，进度保障措施较全面得(6-8]分； 3、进度计划一般，各阶段进度安排一般，进度保障措施一般得(3-6]分； 4、进度计划不详细、进度节点不清晰，各阶段进度安排不合理，进度保障措施不全面得(0-3]分； 5、未提供进度计划不得分。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项目组构成</w:t>
            </w:r>
          </w:p>
        </w:tc>
        <w:tc>
          <w:tcPr>
            <w:tcW w:type="dxa" w:w="2492"/>
          </w:tcPr>
          <w:p>
            <w:pPr>
              <w:pStyle w:val="null3"/>
            </w:pPr>
            <w:r>
              <w:rPr>
                <w:rFonts w:ascii="仿宋_GB2312" w:hAnsi="仿宋_GB2312" w:cs="仿宋_GB2312" w:eastAsia="仿宋_GB2312"/>
              </w:rPr>
              <w:t>包含但不限于：项目组人员部署、岗位职责分工、协调配合等内容。 1、项目组人员部署合理，分工明确，责任清晰，协调措施完善得(7-9]分； 2、项目组人员部署较合理，分工较明确，责任较清晰，协调措施较完善得(5-7]分； 3、项目组人员部署基本合理，分工基本明确，责任基本清晰，协调措施一般得(3-5]分； 4、项目组人员部署不合理，分工不明确，责任不清晰，协调措施不完善得(0-3]分； 5、未提供人员配备不得分。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1、除项目负责人外，项目组5名成员具有环保类相关专业中级及以上职称，每提供一个得1分，最高得5分；本小项最高得分5分。 2、项目组每增加1名成员且该成员具有环保类相关专业中级及以上职称得2分，最高得8分；本小项最高得分8分。 注：需提供人员身份证、职称证、近半年任意一个月的社保证明的复印件加盖公章，缺少任意一项均不得分。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质量保障及保密措施</w:t>
            </w:r>
          </w:p>
        </w:tc>
        <w:tc>
          <w:tcPr>
            <w:tcW w:type="dxa" w:w="2492"/>
          </w:tcPr>
          <w:p>
            <w:pPr>
              <w:pStyle w:val="null3"/>
            </w:pPr>
            <w:r>
              <w:rPr>
                <w:rFonts w:ascii="仿宋_GB2312" w:hAnsi="仿宋_GB2312" w:cs="仿宋_GB2312" w:eastAsia="仿宋_GB2312"/>
              </w:rPr>
              <w:t>包括但不限于：质量控制保证措施、数据资料保密措施。 1、质量控制、保障措施详细可行，数据安全防控措施完善得(8-10]分； 2、质量控制、保障措施较详细可行，数据安全防控措施较完善得(5-8]分； 3、质量控制、保障措施基本可行，数据安全防控措施一般得(3-5]分； 4、质量控制措施不可行，数据安全防控措施差得(0-3]分； 5、未提供质量控制及保密措施不得分。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对项目的重、 难点及关键技术对策分析</w:t>
            </w:r>
          </w:p>
        </w:tc>
        <w:tc>
          <w:tcPr>
            <w:tcW w:type="dxa" w:w="2492"/>
          </w:tcPr>
          <w:p>
            <w:pPr>
              <w:pStyle w:val="null3"/>
            </w:pPr>
            <w:r>
              <w:rPr>
                <w:rFonts w:ascii="仿宋_GB2312" w:hAnsi="仿宋_GB2312" w:cs="仿宋_GB2312" w:eastAsia="仿宋_GB2312"/>
              </w:rPr>
              <w:t>1、 针对本项目的重、难点分析到位，所提出的关键技术对策科学、合理，措施具体，可行性强，得(8-10]分； 2、针对本项目的重、难点分析较完善，所提出的关键技术对策较科学合理，措施较具体得(5-8]分； 3、针对本项目的重、难点分析一般，所提出的关键技术对策一般，措施一般得(3-5]分； 4、针对本项目的重、难点分析有缺陷，所提出的关键技术对策欠妥，得(0-3]分。 5、未提供对策分析不得分。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针对项目特点提供切实可行的服务承诺，例如：项目后续服务保障等。 1、承诺内容具有实质性、指标明确，切实可行得(4-5]分； 2、承诺内容一般、指标基本明确，可行性一般得(2-4]分； 3、承诺内容空泛，可行性差得(0-2]分； 4、未提供服务承诺不得分。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提供2023年1月1日起至今对地下水、土壤等环境污染整治服务类的业绩，每有1项得2分，最高得6分； 注：业绩以签订时间为准，须提供合同复印件，并加盖公章，未提供或不清晰导致无法识别的不予认可。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价格分统一采用低价优先法计算，即满足招标文件要求且投标价格最低的投标报价为投标基准价，其价格分为满分。其他供应商的价格分统一按照下列公式计算： 投标报价得分=(投标基准价／投标报价)×10计算分数时四舍五入取小数点后两位。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详见附件：政府采购合同书.docx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