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版本号：SXWZ2026ZB-SGYY-16620260819001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医疗废物集中处置服务项目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SXWZ2026ZB-SGYY-166</w:t>
      </w:r>
      <w:r>
        <w:br/>
      </w:r>
      <w:r>
        <w:br/>
      </w:r>
      <w:r>
        <w:br/>
      </w:r>
    </w:p>
    <w:p>
      <w:pPr>
        <w:pStyle w:val="null3"/>
        <w:jc w:val="center"/>
        <w:outlineLvl w:val="5"/>
      </w:pPr>
      <w:r>
        <w:rPr>
          <w:rFonts w:ascii="仿宋_GB2312" w:hAnsi="仿宋_GB2312" w:cs="仿宋_GB2312" w:eastAsia="仿宋_GB2312"/>
          <w:sz w:val="15"/>
          <w:b/>
        </w:rPr>
        <w:t>陕西省森林工业职工医院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陕西省森林工业职工医院</w:t>
      </w:r>
      <w:r>
        <w:rPr>
          <w:rFonts w:ascii="仿宋_GB2312" w:hAnsi="仿宋_GB2312" w:cs="仿宋_GB2312" w:eastAsia="仿宋_GB2312"/>
        </w:rPr>
        <w:t>委托，拟对</w:t>
      </w:r>
      <w:r>
        <w:rPr>
          <w:rFonts w:ascii="仿宋_GB2312" w:hAnsi="仿宋_GB2312" w:cs="仿宋_GB2312" w:eastAsia="仿宋_GB2312"/>
        </w:rPr>
        <w:t>医疗废物集中处置服务项目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SXWZ2026ZB-SGYY-166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医疗废物集中处置服务项目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陕西省森林工业职工医院医疗废物集中处置服务项目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采购包1（陕西省森林工业职工医院医疗废物集中处置服务项目）：属于专门面向中小企业采购。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1、投标主体资格：提供合格有效的法人或其他组织的营业执照等证明文件，自然人参与的提供其身份证原件；</w:t>
      </w:r>
    </w:p>
    <w:p>
      <w:pPr>
        <w:pStyle w:val="null3"/>
      </w:pPr>
      <w:r>
        <w:rPr>
          <w:rFonts w:ascii="仿宋_GB2312" w:hAnsi="仿宋_GB2312" w:cs="仿宋_GB2312" w:eastAsia="仿宋_GB2312"/>
        </w:rPr>
        <w:t>2、社会保障资金缴纳证明：2025年8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3、税收缴纳证明：2025年8月至今已缴纳的至少一个月纳税证明或完税证明，依法免税的单位应提供相关证明材料；（以税款所属时间为准）;</w:t>
      </w:r>
    </w:p>
    <w:p>
      <w:pPr>
        <w:pStyle w:val="null3"/>
      </w:pPr>
      <w:r>
        <w:rPr>
          <w:rFonts w:ascii="仿宋_GB2312" w:hAnsi="仿宋_GB2312" w:cs="仿宋_GB2312" w:eastAsia="仿宋_GB2312"/>
        </w:rPr>
        <w:t>4、财务状况证明：提供经会计师事务所审计的2025年度财务审计报告，或在开标日期前六个月内其基本开户银行出具的资信证明;</w:t>
      </w:r>
    </w:p>
    <w:p>
      <w:pPr>
        <w:pStyle w:val="null3"/>
      </w:pPr>
      <w:r>
        <w:rPr>
          <w:rFonts w:ascii="仿宋_GB2312" w:hAnsi="仿宋_GB2312" w:cs="仿宋_GB2312" w:eastAsia="仿宋_GB2312"/>
        </w:rPr>
        <w:t>5、供应商信誉证明：供应商应出具参加本次政府采购活动前3年内在经营活动中没有重大违法违纪，以及未被列入失信被执行人、重大税收违法案件当事人名单、政府采购严重违法失信行为记录名单的书面声明；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6、法定代表人证明及法定代表人授权委托书：须提供法定代表人授权委托书及被授权人身份证原件；法定代表人参加投标时,提供法定代表人身份证原件。</w:t>
      </w:r>
    </w:p>
    <w:p>
      <w:pPr>
        <w:pStyle w:val="null3"/>
      </w:pPr>
      <w:r>
        <w:rPr>
          <w:rFonts w:ascii="仿宋_GB2312" w:hAnsi="仿宋_GB2312" w:cs="仿宋_GB2312" w:eastAsia="仿宋_GB2312"/>
        </w:rPr>
        <w:t>7、中小企业声明函：提供中小企业声明函（本项目为专门面向中小微企业采购）。</w:t>
      </w:r>
    </w:p>
    <w:p>
      <w:pPr>
        <w:pStyle w:val="null3"/>
      </w:pPr>
      <w:r>
        <w:rPr>
          <w:rFonts w:ascii="仿宋_GB2312" w:hAnsi="仿宋_GB2312" w:cs="仿宋_GB2312" w:eastAsia="仿宋_GB2312"/>
        </w:rPr>
        <w:t>8、是否接受联合体投标：本项目不接受联合体参与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陕西省森林工业职工医院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西安市鄠邑区画展街9号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张浩斌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02984823072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陕西省西安市市本级陕西省西安市高新区唐延路旺座现代城第一幢1单元22层12204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代理服务费收费标准：招标代理服务费的计算方法：代理服务费参照《国家计委关于印发&lt;招标代理服务收费管理暂行办法&gt;的通知》（计价格[2002]1980号）规定标准下浮20%计算。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陕西省森林工业职工医院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陕西省森林工业职工医院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符合《中华人民共和国环境保护法》《中华人民共和国固体废物污染环境防治法》《医疗废物管理条例》及地方医疗废物处置相关规范要求。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 029-88319889-8004</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严格落实《中华人民共和国环境保护法》《中华人民共和国固体废物污染环境防治法》《医疗废物管理条例》及地方医疗废物处置相关规范要求，压实医疗机构公共卫生与生态环境保护主体责任，陕西省森林工业职工医院启动医疗废物集中处置服务项目。项目通过委托持证专业处置单位，对院内全部医疗废物实施标准化、专业化处置，全面规范医疗废物收集、转运、无害化处理流程，有效防范疾病传播及环境污染风险，持续提升医院规范化运营管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医疗废物集中处置服务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标的名称：医疗废物集中处置服务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1.本项目为固定价格采购，单价为：2元/床/日。据实结算。供应商无需另行报价。</w:t>
            </w:r>
          </w:p>
          <w:p>
            <w:pPr>
              <w:pStyle w:val="null3"/>
            </w:pPr>
            <w:r>
              <w:rPr>
                <w:rFonts w:ascii="仿宋_GB2312" w:hAnsi="仿宋_GB2312" w:cs="仿宋_GB2312" w:eastAsia="仿宋_GB2312"/>
                <w:sz w:val="21"/>
              </w:rPr>
              <w:t>2.开标一览表填写本项目预算：550000元/年。</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1.供应商具备西安市内医疗废物处置资质，处置能力满足医院日产医疗废需求。</w:t>
            </w:r>
          </w:p>
          <w:p>
            <w:pPr>
              <w:pStyle w:val="null3"/>
            </w:pPr>
            <w:r>
              <w:rPr>
                <w:rFonts w:ascii="仿宋_GB2312" w:hAnsi="仿宋_GB2312" w:cs="仿宋_GB2312" w:eastAsia="仿宋_GB2312"/>
              </w:rPr>
              <w:t>2.供应商在</w:t>
            </w:r>
            <w:r>
              <w:rPr>
                <w:rFonts w:ascii="仿宋_GB2312" w:hAnsi="仿宋_GB2312" w:cs="仿宋_GB2312" w:eastAsia="仿宋_GB2312"/>
                <w:sz w:val="20"/>
              </w:rPr>
              <w:t>项目实施全过程严格遵循《中华人民共和国环境保护法》《中华人民共和国固体废物污染环境防治法》《医疗废物管理条例》《医疗卫生机构医疗废物管理办法》及西安市医疗废物集中处置相关实施方案、技术规范等国家及地方法规标准，所有处置作业须符合行业合规要求。</w:t>
            </w:r>
          </w:p>
          <w:p>
            <w:pPr>
              <w:pStyle w:val="null3"/>
            </w:pPr>
            <w:r>
              <w:rPr>
                <w:rFonts w:ascii="仿宋_GB2312" w:hAnsi="仿宋_GB2312" w:cs="仿宋_GB2312" w:eastAsia="仿宋_GB2312"/>
              </w:rPr>
              <w:t>3.供应商在服务期内应提供专用密闭转运车辆，转运全程可追溯。</w:t>
            </w:r>
          </w:p>
          <w:p>
            <w:pPr>
              <w:pStyle w:val="null3"/>
            </w:pPr>
            <w:r>
              <w:rPr>
                <w:rFonts w:ascii="仿宋_GB2312" w:hAnsi="仿宋_GB2312" w:cs="仿宋_GB2312" w:eastAsia="仿宋_GB2312"/>
              </w:rPr>
              <w:t>4.项目服务期内供应商至少48小时内进行一次上门收集，节假日正常服务；</w:t>
            </w:r>
          </w:p>
          <w:p>
            <w:pPr>
              <w:pStyle w:val="null3"/>
            </w:pPr>
            <w:r>
              <w:rPr>
                <w:rFonts w:ascii="仿宋_GB2312" w:hAnsi="仿宋_GB2312" w:cs="仿宋_GB2312" w:eastAsia="仿宋_GB2312"/>
              </w:rPr>
              <w:t>5.供应商应保留合同期间完整的转运联单；</w:t>
            </w:r>
          </w:p>
          <w:p>
            <w:pPr>
              <w:pStyle w:val="null3"/>
            </w:pPr>
            <w:r>
              <w:rPr>
                <w:rFonts w:ascii="仿宋_GB2312" w:hAnsi="仿宋_GB2312" w:cs="仿宋_GB2312" w:eastAsia="仿宋_GB2312"/>
              </w:rPr>
              <w:t>6.供应商应具备应急处置预案，突发情况2小时内响应。</w:t>
            </w:r>
          </w:p>
          <w:p>
            <w:pPr>
              <w:pStyle w:val="null3"/>
            </w:pPr>
            <w:r>
              <w:rPr>
                <w:rFonts w:ascii="仿宋_GB2312" w:hAnsi="仿宋_GB2312" w:cs="仿宋_GB2312" w:eastAsia="仿宋_GB2312"/>
                <w:sz w:val="21"/>
                <w:b/>
              </w:rPr>
              <w:t>上述</w:t>
            </w:r>
            <w:r>
              <w:rPr>
                <w:rFonts w:ascii="仿宋_GB2312" w:hAnsi="仿宋_GB2312" w:cs="仿宋_GB2312" w:eastAsia="仿宋_GB2312"/>
                <w:sz w:val="21"/>
                <w:b/>
              </w:rPr>
              <w:t>1-6项内容，供应商必须完全响应，不允许负偏离，否则按无效文件处理。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本次采购活动完整服务期限为三年，自首份合同生效之日起连续计算，三年服务期通过分期订立合同的方式履行，每期合同期限为一年。 本合同为基于本次采购结果签订的首期☑续签第二年度□续签第三年度□服务合同，服务期限一年。 根据《财政部关于推进和完善服务项目政府采购有关问题的通知》(财库[2014]37号)有关规定，采购人将依据合同约定的考核办法，在每期合同期满前对供应商履约情况进行年度考核。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陕西省森林工业职工医院（本院部及荣华院区）指定地点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与供应商双方商定。供应商于每季度10日前向采购人提供上季度处置费合法合规发票，采购人于收到合规发票后15日内将处置费支付给供应商。若供应商延迟提供发票、提供发票不合规、资料缺失的，采购人可顺延付款，且不承担逾期付款违约责任，同时供应商仍需全面履行合同约定的收运、处置等全部义务，不得以此为由减量、停运或主张免责、索赔。,每季度根据合同履行情况、床位总数进行付费。，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与供应商双方商定。供应商于每季度10日前向采购人提供上季度处置费合法合规发票，采购人于收到合规发票后15日内将处置费支付给供应商。若供应商延迟提供发票、提供发票不合规、资料缺失的，采购人可顺延付款，且不承担逾期付款违约责任，同时供应商仍需全面履行合同约定的收运、处置等全部义务，不得以此为由减量、停运或主张免责、索赔。,每季度根据合同履行情况、床位总数进行付费。，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与供应商双方商定。供应商于每季度10日前向采购人提供上季度处置费合法合规发票，采购人于收到合规发票后15日内将处置费支付给供应商。若供应商延迟提供发票、提供发票不合规、资料缺失的，采购人可顺延付款，且不承担逾期付款违约责任，同时供应商仍需全面履行合同约定的收运、处置等全部义务，不得以此为由减量、停运或主张免责、索赔。,每季度根据合同履行情况、床位总数进行付费。，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与供应商双方商定。供应商于每季度10日前向采购人提供上季度处置费合法合规发票，采购人于收到合规发票后15日内将处置费支付给供应商。若供应商延迟提供发票、提供发票不合规、资料缺失的，采购人可顺延付款，且不承担逾期付款违约责任，同时供应商仍需全面履行合同约定的收运、处置等全部义务，不得以此为由减量、停运或主张免责、索赔。,每季度根据合同履行情况、床位总数进行付费。，达到付款条件起15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（1）按国家医疗废物管理相关法规、合同约定及台账、联单、处置证明进行月度核对、年度验收。 （2）根据协商文件、响应文件、合同约定及相关法律法规。</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按《民法典》及政府采购相关规定执行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采购人应按照国家及省市医疗废物管理规范，对医疗废物进行分类、收集、暂存。因采购人未规范操作，且经双方核实确认系采购人单方过错，导致医疗废物不符合接收标准的，供应商有权依规拒绝接收。若因此造成供应商实际损失或医疗废物无法正常处置的，采购人仅需对自身过错造成的直接实际损失承担对应赔偿责任，赔偿标准严格遵照《民法典》违约赔偿规定执行；因供应商拒收不当、配合失误或自身处置能力问题导致的损失，由供应商自行承担。2、供应商未按行业及合同规范收运、处置采购人医疗废物，因供应商单方过错造成医疗废物泄漏、二次污染、违规处置等问题的，视同供应商违约。供应商需承担由此产生的全部合规整改费用、行政处罚费用及采购人直接经济损失，严格按照实际损失依法赔付，不得超额追责。 （二）合同其他条款：1、根据省、市卫生健康委员会提供的每年度采购人实际使用床位总数，采购人全年预付供应商处置费；双方商定于每年第一季度，根据省、市卫生健康委员会提供的前一年度采购人实际使用正式床位总数，按市物价局核定的收费标准，对次年度全年处置费进行汇算，多退少补； （三）最高限价：本项目处置费收费最高限价标准按《西安市物价局关于医疗废物处置收费标准的复函》（市物函［2004］290号）执行：“对一级以上（含一级）医院按实际使用床位数收费，每张床位每日收取2元医疗废物处置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提供合格有效的法人或其他组织的营业执照等证明文件，自然人参与的提供其身份证原件；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2025年8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2025年8月至今已缴纳的至少一个月纳税证明或完税证明，依法免税的单位应提供相关证明材料；（以税款所属时间为准）;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法定代表人证明及法定代表人授权委托书</w:t>
            </w:r>
          </w:p>
        </w:tc>
        <w:tc>
          <w:tcPr>
            <w:tcW w:type="dxa" w:w="3322"/>
          </w:tcPr>
          <w:p>
            <w:pPr>
              <w:pStyle w:val="null3"/>
            </w:pPr>
            <w:r>
              <w:rPr>
                <w:rFonts w:ascii="仿宋_GB2312" w:hAnsi="仿宋_GB2312" w:cs="仿宋_GB2312" w:eastAsia="仿宋_GB2312"/>
              </w:rPr>
              <w:t>须提供法定代表人授权委托书及被授权人身份证原件；法定代表人参加投标时,提供法定代表人身份证原件。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响应报价是否超过预算或文件中标明的最高限价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服务期是否满足单一来源文件要求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响应文件签字、盖章是否满足单一来源文件要求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谈判保证金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供应商响应保证金是否符合采购文件要求；</w:t>
            </w:r>
          </w:p>
        </w:tc>
        <w:tc>
          <w:tcPr>
            <w:tcW w:type="dxa" w:w="1661"/>
          </w:tcPr>
          <w:p>
            <w:pPr>
              <w:pStyle w:val="null3"/>
            </w:pPr>
            <w:r>
              <w:rPr>
                <w:rFonts w:ascii="仿宋_GB2312" w:hAnsi="仿宋_GB2312" w:cs="仿宋_GB2312" w:eastAsia="仿宋_GB2312"/>
              </w:rPr>
              <w:t>谈判保证金</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是否符合法律法规和谈判文件规定的其他实质性要求</w:t>
            </w:r>
          </w:p>
        </w:tc>
        <w:tc>
          <w:tcPr>
            <w:tcW w:type="dxa" w:w="1661"/>
          </w:tcPr>
          <w:p>
            <w:pPr>
              <w:pStyle w:val="null3"/>
            </w:pPr>
            <w:r>
              <w:rPr>
                <w:rFonts w:ascii="仿宋_GB2312" w:hAnsi="仿宋_GB2312" w:cs="仿宋_GB2312" w:eastAsia="仿宋_GB2312"/>
              </w:rPr>
              <w:t>商务应答表 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详见附件：响应一览表</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详见附件：谈判保证金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