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62B5AF">
      <w:pPr>
        <w:rPr>
          <w:rFonts w:hint="eastAsia"/>
          <w:b/>
          <w:bCs/>
          <w:color w:val="000000"/>
          <w:sz w:val="24"/>
          <w:szCs w:val="32"/>
          <w:shd w:val="clear" w:color="auto" w:fill="FFFFFF"/>
          <w:lang w:eastAsia="zh-CN"/>
        </w:rPr>
      </w:pPr>
      <w:r>
        <w:rPr>
          <w:rFonts w:hint="eastAsia"/>
          <w:b/>
          <w:bCs/>
          <w:color w:val="000000"/>
          <w:sz w:val="24"/>
          <w:szCs w:val="32"/>
          <w:shd w:val="clear" w:color="auto" w:fill="FFFFFF"/>
        </w:rPr>
        <w:t>延安市水生态环境质量提升综合研究服务项目（一标段）</w:t>
      </w:r>
      <w:r>
        <w:rPr>
          <w:rFonts w:hint="eastAsia"/>
          <w:b/>
          <w:bCs/>
          <w:color w:val="000000"/>
          <w:sz w:val="24"/>
          <w:szCs w:val="32"/>
          <w:shd w:val="clear" w:color="auto" w:fill="FFFFFF"/>
          <w:lang w:eastAsia="zh-CN"/>
        </w:rPr>
        <w:t>：</w:t>
      </w:r>
    </w:p>
    <w:p w14:paraId="0A769499">
      <w:pPr>
        <w:pStyle w:val="3"/>
        <w:numPr>
          <w:numId w:val="0"/>
        </w:numPr>
        <w:spacing w:before="0" w:after="0" w:line="579" w:lineRule="auto"/>
        <w:jc w:val="center"/>
        <w:rPr>
          <w:rFonts w:hint="eastAsia" w:ascii="宋体" w:hAnsi="宋体" w:cs="宋体"/>
          <w:color w:val="000000"/>
          <w:szCs w:val="28"/>
        </w:rPr>
      </w:pPr>
      <w:bookmarkStart w:id="0" w:name="_Toc16364"/>
      <w:bookmarkStart w:id="1" w:name="_Toc21232"/>
      <w:bookmarkStart w:id="2" w:name="_Toc7968"/>
      <w:bookmarkStart w:id="3" w:name="_Toc11076"/>
      <w:bookmarkStart w:id="4" w:name="_Toc5721"/>
      <w:bookmarkStart w:id="5" w:name="_Toc18137"/>
      <w:bookmarkStart w:id="6" w:name="_Toc17609"/>
      <w:bookmarkStart w:id="7" w:name="_Toc27587"/>
      <w:bookmarkStart w:id="8" w:name="_Toc22906"/>
      <w:bookmarkStart w:id="9" w:name="_Toc9987"/>
      <w:bookmarkStart w:id="10" w:name="_Toc29747"/>
      <w:bookmarkStart w:id="11" w:name="_Toc29759"/>
      <w:bookmarkStart w:id="12" w:name="_Toc15815"/>
      <w:bookmarkStart w:id="13" w:name="_Toc13116"/>
    </w:p>
    <w:p w14:paraId="603524F2">
      <w:pPr>
        <w:pStyle w:val="3"/>
        <w:numPr>
          <w:numId w:val="0"/>
        </w:numPr>
        <w:spacing w:before="0" w:after="0" w:line="579" w:lineRule="auto"/>
        <w:jc w:val="center"/>
        <w:rPr>
          <w:rFonts w:hint="eastAsia" w:ascii="宋体" w:hAnsi="宋体" w:cs="宋体"/>
          <w:color w:val="000000"/>
          <w:szCs w:val="28"/>
        </w:rPr>
      </w:pPr>
      <w:r>
        <w:rPr>
          <w:rFonts w:hint="eastAsia" w:ascii="宋体" w:hAnsi="宋体" w:cs="宋体"/>
          <w:color w:val="000000"/>
          <w:szCs w:val="28"/>
        </w:rPr>
        <w:t>技术</w:t>
      </w:r>
      <w:bookmarkEnd w:id="0"/>
      <w:r>
        <w:rPr>
          <w:rFonts w:hint="eastAsia" w:ascii="宋体" w:hAnsi="宋体" w:cs="宋体"/>
          <w:color w:val="000000"/>
          <w:szCs w:val="28"/>
        </w:rPr>
        <w:t>要求</w:t>
      </w:r>
      <w:bookmarkEnd w:id="1"/>
      <w:bookmarkEnd w:id="2"/>
      <w:bookmarkEnd w:id="3"/>
      <w:bookmarkEnd w:id="4"/>
    </w:p>
    <w:bookmarkEnd w:id="5"/>
    <w:bookmarkEnd w:id="6"/>
    <w:bookmarkEnd w:id="7"/>
    <w:bookmarkEnd w:id="8"/>
    <w:bookmarkEnd w:id="9"/>
    <w:bookmarkEnd w:id="10"/>
    <w:bookmarkEnd w:id="11"/>
    <w:bookmarkEnd w:id="12"/>
    <w:bookmarkEnd w:id="13"/>
    <w:p w14:paraId="7FB33E96">
      <w:pPr>
        <w:snapToGrid w:val="0"/>
        <w:spacing w:line="480" w:lineRule="auto"/>
        <w:ind w:firstLine="482" w:firstLineChars="200"/>
        <w:rPr>
          <w:rFonts w:hint="eastAsia" w:ascii="宋体" w:hAnsi="宋体" w:cs="宋体"/>
          <w:b/>
          <w:bCs/>
          <w:sz w:val="24"/>
          <w:szCs w:val="24"/>
        </w:rPr>
      </w:pPr>
      <w:bookmarkStart w:id="14" w:name="_GoBack"/>
      <w:r>
        <w:rPr>
          <w:rFonts w:hint="eastAsia" w:ascii="宋体" w:hAnsi="宋体" w:cs="宋体"/>
          <w:b/>
          <w:bCs/>
          <w:sz w:val="24"/>
          <w:szCs w:val="24"/>
        </w:rPr>
        <w:t>一、项目内容</w:t>
      </w:r>
    </w:p>
    <w:bookmarkEnd w:id="14"/>
    <w:p w14:paraId="008DCDB1">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（一）水环境质量稳定达标技术服务</w:t>
      </w:r>
    </w:p>
    <w:p w14:paraId="6963B57F">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（1）自动监测站数据分析与预警研判服务</w:t>
      </w:r>
    </w:p>
    <w:p w14:paraId="165C11DA">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针对延安市6个国控、4个省控、9个市控共19座水质自动监测站的连续监测数据，开展“日分析、周预警、月总结”三级常态化研判与报告推送，系统开展水环境质量统计分析、重点断面风险预警、污染成因深度研判，为全市水环境精细化管控提供数据支撑。</w:t>
      </w:r>
    </w:p>
    <w:p w14:paraId="49E524F6">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（2）月度水环境形势分析</w:t>
      </w:r>
    </w:p>
    <w:p w14:paraId="20653599">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结合“十五五”地表水水环境质量考核要求，针对延安市39个国、省、市控断面自动监测与手工监测数据，开展地表水环境形势研判，系统完成质量评价、问题诊断、达标研判、风险预警与对策研究。</w:t>
      </w:r>
    </w:p>
    <w:p w14:paraId="7BF21962">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（二）国控断面优良水体暨水生态形势专项分析</w:t>
      </w:r>
    </w:p>
    <w:p w14:paraId="72867527">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（1）国控断面优良水体综合状况评估</w:t>
      </w:r>
    </w:p>
    <w:p w14:paraId="2A28C801">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以水环境质量为基础判定层级，水生态状况作为提级/降级调节条件，通过矩阵法确定水体综合状况等级；开展水质动态跟踪与水生态形势预判。按月统计国控断面水质类别分布，核算Ⅰ—Ⅱ类、Ⅲ类、Ⅳ类及以下断面数量与占比，跟踪Ⅰ—Ⅲ类水质断面比例变化；同步开展同比、环比分析，识别水质波动趋势。结合水质数据与春秋季底栖动物监测结果，通过水质—水生态矩阵判定各断面综合等级，统计优良水体（优秀+良好）数量与比例。</w:t>
      </w:r>
    </w:p>
    <w:p w14:paraId="5AA260DF">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（2）水生态专项问题诊断</w:t>
      </w:r>
    </w:p>
    <w:p w14:paraId="0CECF13D">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围绕水生态指标开展短板排查，识别水生态降级风险。结合延安黄土丘陵沟壑区地域特征，分析暴雨洪峰冲刷破坏河床生境、生态流量不足、岸带生态缓冲带缺失、河道淤积等因素对底栖动物群落的胁迫作用，明确水生态问题的主次驱动因素，分级分类提出水质稳定巩固措施、水生态修复提级措施、生态流量保障措施等精准管控措施。</w:t>
      </w:r>
    </w:p>
    <w:p w14:paraId="330C109C">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（三）重点断面深度诊断与污染成因专项研判</w:t>
      </w:r>
    </w:p>
    <w:p w14:paraId="7FD1B395">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针对月度形势分析中识别出的单月超标突出、月均达标滞后、水质波动频繁的不稳定达标断面，纳入重点问题断面清单，通过专家会商与问题摸排，摸清断面汇水区流域概况、水文地质条件、污染源分布与排放特征、水质演变规律，精准识别超标原因与流域水环境风险隐患，为靶向攻坚提供技术支撑。</w:t>
      </w:r>
    </w:p>
    <w:p w14:paraId="647CFAA9">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（四）水生态环境专家会商</w:t>
      </w:r>
    </w:p>
    <w:p w14:paraId="00145F96">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按每季度或每半年组织水环境治理、水生态修复、水资源调度等领域行业专家，围绕优良水体比例提升、流域系统治理、汛期污染防控等重点工作提出专业指导意见。</w:t>
      </w:r>
    </w:p>
    <w:p w14:paraId="0720FE0B">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（五）其他水生态环境专项技术服务</w:t>
      </w:r>
    </w:p>
    <w:p w14:paraId="7BE7535D">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结合延安市生态环境局需求，提供黄河流域水生态环境保护政策解读与宣传培训等技术服务。</w:t>
      </w:r>
    </w:p>
    <w:p w14:paraId="35EE9D3C">
      <w:pPr>
        <w:snapToGrid w:val="0"/>
        <w:spacing w:line="480" w:lineRule="auto"/>
        <w:ind w:firstLine="482" w:firstLineChars="200"/>
        <w:rPr>
          <w:rFonts w:hint="eastAsia" w:ascii="宋体" w:hAnsi="宋体" w:cs="宋体"/>
          <w:b/>
          <w:bCs/>
          <w:sz w:val="24"/>
          <w:szCs w:val="24"/>
        </w:rPr>
      </w:pPr>
      <w:r>
        <w:rPr>
          <w:rFonts w:hint="eastAsia" w:ascii="宋体" w:hAnsi="宋体" w:cs="宋体"/>
          <w:b/>
          <w:bCs/>
          <w:sz w:val="24"/>
          <w:szCs w:val="24"/>
        </w:rPr>
        <w:t>二、工作目标</w:t>
      </w:r>
    </w:p>
    <w:p w14:paraId="135E1F78">
      <w:pPr>
        <w:spacing w:line="480" w:lineRule="auto"/>
        <w:ind w:firstLine="480" w:firstLineChars="200"/>
        <w:rPr>
          <w:rFonts w:hint="eastAsia" w:ascii="宋体" w:hAnsi="宋体" w:cs="宋体"/>
          <w:sz w:val="24"/>
          <w:szCs w:val="24"/>
        </w:rPr>
      </w:pPr>
      <w:r>
        <w:rPr>
          <w:rFonts w:hint="eastAsia" w:ascii="宋体" w:hAnsi="宋体" w:cs="宋体"/>
          <w:sz w:val="24"/>
          <w:szCs w:val="24"/>
        </w:rPr>
        <w:t>签订合同后，12个月内完成：</w:t>
      </w:r>
    </w:p>
    <w:p w14:paraId="0144859A">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一）巩固提升水环境质量。依托“日分析、周预警、月总结”全周期监测研判与重点断面专项攻坚，保障全市39个国、省、市控考核断面水质稳定达标，化解汛期雨洪冲击、面源污染波动等风险，持续巩固地表水环境质量。</w:t>
      </w:r>
    </w:p>
    <w:p w14:paraId="488DFC1F">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（二）推动水生态品质升级。对标地表水优良水体评估技术规范要求，开展底栖动物等水生物监测评价，识别水生态降级风险，提出水生态修复提级措施，助力达成“优良水体比例”考核指标。</w:t>
      </w:r>
    </w:p>
    <w:p w14:paraId="0CB5422D">
      <w:pPr>
        <w:snapToGrid w:val="0"/>
        <w:spacing w:line="480" w:lineRule="auto"/>
        <w:ind w:firstLine="482" w:firstLineChars="200"/>
        <w:rPr>
          <w:rFonts w:hint="eastAsia" w:ascii="宋体" w:hAnsi="宋体" w:cs="宋体"/>
          <w:b/>
          <w:bCs/>
          <w:sz w:val="24"/>
          <w:szCs w:val="24"/>
        </w:rPr>
      </w:pPr>
      <w:r>
        <w:rPr>
          <w:rFonts w:hint="eastAsia" w:ascii="宋体" w:hAnsi="宋体" w:cs="宋体"/>
          <w:b/>
          <w:bCs/>
          <w:sz w:val="24"/>
          <w:szCs w:val="24"/>
        </w:rPr>
        <w:t>三、工作成果</w:t>
      </w:r>
    </w:p>
    <w:p w14:paraId="681BFBB4">
      <w:pPr>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（一）编制完成</w:t>
      </w:r>
      <w:r>
        <w:rPr>
          <w:rFonts w:hint="eastAsia" w:ascii="宋体" w:hAnsi="宋体" w:cs="宋体"/>
          <w:snapToGrid w:val="0"/>
          <w:kern w:val="0"/>
          <w:sz w:val="24"/>
          <w:szCs w:val="24"/>
        </w:rPr>
        <w:t>延安市19座地表水水质自动站数据月度总结报告</w:t>
      </w:r>
      <w:r>
        <w:rPr>
          <w:rFonts w:hint="eastAsia" w:ascii="宋体" w:hAnsi="宋体" w:cs="宋体"/>
          <w:sz w:val="24"/>
          <w:szCs w:val="24"/>
        </w:rPr>
        <w:t>。</w:t>
      </w:r>
    </w:p>
    <w:p w14:paraId="69054866">
      <w:pPr>
        <w:widowControl/>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（二）编制完成</w:t>
      </w:r>
      <w:r>
        <w:rPr>
          <w:rFonts w:hint="eastAsia" w:ascii="宋体" w:hAnsi="宋体" w:cs="宋体"/>
          <w:snapToGrid w:val="0"/>
          <w:kern w:val="0"/>
          <w:sz w:val="24"/>
          <w:szCs w:val="24"/>
        </w:rPr>
        <w:t>延安市39个水环境控制断面月度水环境形势分析报告</w:t>
      </w:r>
      <w:r>
        <w:rPr>
          <w:rFonts w:hint="eastAsia" w:ascii="宋体" w:hAnsi="宋体" w:cs="宋体"/>
          <w:sz w:val="24"/>
          <w:szCs w:val="24"/>
        </w:rPr>
        <w:t>。</w:t>
      </w:r>
    </w:p>
    <w:p w14:paraId="681D745D">
      <w:pPr>
        <w:widowControl/>
        <w:snapToGrid w:val="0"/>
        <w:spacing w:line="480" w:lineRule="auto"/>
        <w:ind w:firstLine="480" w:firstLineChars="200"/>
        <w:rPr>
          <w:rFonts w:hint="eastAsia" w:ascii="宋体" w:hAnsi="宋体" w:cs="宋体"/>
          <w:snapToGrid w:val="0"/>
          <w:kern w:val="0"/>
          <w:sz w:val="24"/>
          <w:szCs w:val="24"/>
        </w:rPr>
      </w:pPr>
      <w:r>
        <w:rPr>
          <w:rFonts w:hint="eastAsia" w:ascii="宋体" w:hAnsi="宋体" w:cs="宋体"/>
          <w:sz w:val="24"/>
          <w:szCs w:val="24"/>
        </w:rPr>
        <w:t>（三）编制完成</w:t>
      </w:r>
      <w:r>
        <w:rPr>
          <w:rFonts w:hint="eastAsia" w:ascii="宋体" w:hAnsi="宋体" w:cs="宋体"/>
          <w:snapToGrid w:val="0"/>
          <w:kern w:val="0"/>
          <w:sz w:val="24"/>
          <w:szCs w:val="24"/>
        </w:rPr>
        <w:t>国控断面优良水体暨水生态形势专项分析报告。</w:t>
      </w:r>
    </w:p>
    <w:p w14:paraId="36280866">
      <w:pPr>
        <w:spacing w:line="480" w:lineRule="auto"/>
        <w:ind w:firstLine="480" w:firstLineChars="200"/>
        <w:rPr>
          <w:rFonts w:hint="eastAsia" w:ascii="宋体" w:hAnsi="宋体" w:cs="宋体"/>
          <w:sz w:val="24"/>
          <w:szCs w:val="24"/>
        </w:rPr>
      </w:pPr>
      <w:r>
        <w:rPr>
          <w:rFonts w:hint="eastAsia" w:ascii="宋体" w:hAnsi="宋体" w:cs="宋体"/>
          <w:sz w:val="24"/>
          <w:szCs w:val="24"/>
        </w:rPr>
        <w:t>（四）编制完成重点断面问题深度诊断及管控建议调研报告。</w:t>
      </w:r>
    </w:p>
    <w:p w14:paraId="4709829A">
      <w:pPr>
        <w:rPr>
          <w:rFonts w:hint="eastAsia"/>
          <w:b/>
          <w:bCs/>
          <w:color w:val="000000"/>
          <w:sz w:val="24"/>
          <w:szCs w:val="32"/>
          <w:shd w:val="clear" w:color="auto" w:fill="FFFFFF"/>
          <w:lang w:eastAsia="zh-CN"/>
        </w:rPr>
      </w:pPr>
    </w:p>
    <w:p w14:paraId="3386EE4D">
      <w:pPr>
        <w:rPr>
          <w:rFonts w:hint="eastAsia"/>
          <w:b/>
          <w:bCs/>
          <w:color w:val="000000"/>
          <w:sz w:val="24"/>
          <w:szCs w:val="32"/>
          <w:shd w:val="clear" w:color="auto" w:fill="FFFFFF"/>
          <w:lang w:eastAsia="zh-CN"/>
        </w:rPr>
      </w:pPr>
    </w:p>
    <w:p w14:paraId="29B995E2">
      <w:pPr>
        <w:rPr>
          <w:rFonts w:hint="eastAsia"/>
          <w:b/>
          <w:bCs/>
          <w:color w:val="000000"/>
          <w:sz w:val="24"/>
          <w:szCs w:val="32"/>
          <w:shd w:val="clear" w:color="auto" w:fill="FFFFFF"/>
          <w:lang w:eastAsia="zh-CN"/>
        </w:rPr>
      </w:pPr>
    </w:p>
    <w:p w14:paraId="45F40FAA">
      <w:pPr>
        <w:rPr>
          <w:rFonts w:hint="eastAsia"/>
          <w:b/>
          <w:bCs/>
          <w:color w:val="000000"/>
          <w:sz w:val="24"/>
          <w:szCs w:val="32"/>
          <w:shd w:val="clear" w:color="auto" w:fill="FFFFFF"/>
          <w:lang w:eastAsia="zh-CN"/>
        </w:rPr>
      </w:pPr>
    </w:p>
    <w:p w14:paraId="2B5E3250">
      <w:pPr>
        <w:rPr>
          <w:rFonts w:hint="eastAsia"/>
          <w:b/>
          <w:bCs/>
          <w:color w:val="000000"/>
          <w:sz w:val="24"/>
          <w:szCs w:val="32"/>
          <w:shd w:val="clear" w:color="auto" w:fill="FFFFFF"/>
          <w:lang w:eastAsia="zh-CN"/>
        </w:rPr>
      </w:pPr>
    </w:p>
    <w:p w14:paraId="740F5395">
      <w:pPr>
        <w:rPr>
          <w:rFonts w:hint="eastAsia"/>
          <w:b/>
          <w:bCs/>
          <w:color w:val="000000"/>
          <w:sz w:val="24"/>
          <w:szCs w:val="32"/>
          <w:shd w:val="clear" w:color="auto" w:fill="FFFFFF"/>
          <w:lang w:eastAsia="zh-CN"/>
        </w:rPr>
      </w:pPr>
    </w:p>
    <w:p w14:paraId="3FF8C02C">
      <w:pPr>
        <w:rPr>
          <w:rFonts w:hint="eastAsia"/>
          <w:b/>
          <w:bCs/>
          <w:color w:val="000000"/>
          <w:sz w:val="24"/>
          <w:szCs w:val="32"/>
          <w:shd w:val="clear" w:color="auto" w:fill="FFFFFF"/>
          <w:lang w:eastAsia="zh-CN"/>
        </w:rPr>
      </w:pPr>
    </w:p>
    <w:p w14:paraId="27F2316B">
      <w:pPr>
        <w:rPr>
          <w:rFonts w:hint="eastAsia"/>
          <w:b/>
          <w:bCs/>
          <w:color w:val="000000"/>
          <w:sz w:val="24"/>
          <w:szCs w:val="32"/>
          <w:shd w:val="clear" w:color="auto" w:fill="FFFFFF"/>
          <w:lang w:eastAsia="zh-CN"/>
        </w:rPr>
      </w:pPr>
    </w:p>
    <w:p w14:paraId="67C274BF">
      <w:pPr>
        <w:rPr>
          <w:rFonts w:hint="eastAsia"/>
          <w:b/>
          <w:bCs/>
          <w:color w:val="000000"/>
          <w:sz w:val="24"/>
          <w:szCs w:val="32"/>
          <w:shd w:val="clear" w:color="auto" w:fill="FFFFFF"/>
          <w:lang w:eastAsia="zh-CN"/>
        </w:rPr>
      </w:pPr>
    </w:p>
    <w:p w14:paraId="39577960">
      <w:pPr>
        <w:rPr>
          <w:rFonts w:hint="eastAsia"/>
          <w:b/>
          <w:bCs/>
          <w:color w:val="000000"/>
          <w:sz w:val="24"/>
          <w:szCs w:val="32"/>
          <w:shd w:val="clear" w:color="auto" w:fill="FFFFFF"/>
          <w:lang w:eastAsia="zh-CN"/>
        </w:rPr>
      </w:pPr>
    </w:p>
    <w:p w14:paraId="69803B37">
      <w:pPr>
        <w:rPr>
          <w:rFonts w:hint="eastAsia"/>
          <w:b/>
          <w:bCs/>
          <w:color w:val="000000"/>
          <w:sz w:val="24"/>
          <w:szCs w:val="32"/>
          <w:shd w:val="clear" w:color="auto" w:fill="FFFFFF"/>
          <w:lang w:eastAsia="zh-CN"/>
        </w:rPr>
      </w:pPr>
    </w:p>
    <w:p w14:paraId="3263AE9D">
      <w:pPr>
        <w:rPr>
          <w:rFonts w:hint="eastAsia"/>
          <w:b/>
          <w:bCs/>
          <w:color w:val="000000"/>
          <w:sz w:val="24"/>
          <w:szCs w:val="32"/>
          <w:shd w:val="clear" w:color="auto" w:fill="FFFFFF"/>
          <w:lang w:eastAsia="zh-CN"/>
        </w:rPr>
      </w:pPr>
    </w:p>
    <w:p w14:paraId="0F79702E">
      <w:pPr>
        <w:rPr>
          <w:rFonts w:hint="eastAsia"/>
          <w:b/>
          <w:bCs/>
          <w:color w:val="000000"/>
          <w:sz w:val="24"/>
          <w:szCs w:val="32"/>
          <w:shd w:val="clear" w:color="auto" w:fill="FFFFFF"/>
          <w:lang w:eastAsia="zh-CN"/>
        </w:rPr>
      </w:pPr>
    </w:p>
    <w:p w14:paraId="18361318">
      <w:pPr>
        <w:rPr>
          <w:rFonts w:hint="eastAsia"/>
          <w:b/>
          <w:bCs/>
          <w:color w:val="000000"/>
          <w:sz w:val="24"/>
          <w:szCs w:val="32"/>
          <w:shd w:val="clear" w:color="auto" w:fill="FFFFFF"/>
          <w:lang w:eastAsia="zh-CN"/>
        </w:rPr>
      </w:pPr>
    </w:p>
    <w:p w14:paraId="0296B4E6">
      <w:pPr>
        <w:rPr>
          <w:rFonts w:hint="eastAsia"/>
          <w:b/>
          <w:bCs/>
          <w:color w:val="000000"/>
          <w:sz w:val="24"/>
          <w:szCs w:val="32"/>
          <w:shd w:val="clear" w:color="auto" w:fill="FFFFFF"/>
          <w:lang w:eastAsia="zh-CN"/>
        </w:rPr>
      </w:pPr>
    </w:p>
    <w:p w14:paraId="24E7DF2B">
      <w:pPr>
        <w:rPr>
          <w:rFonts w:hint="eastAsia"/>
          <w:b/>
          <w:bCs/>
          <w:color w:val="000000"/>
          <w:sz w:val="24"/>
          <w:szCs w:val="32"/>
          <w:shd w:val="clear" w:color="auto" w:fill="FFFFFF"/>
          <w:lang w:eastAsia="zh-CN"/>
        </w:rPr>
      </w:pPr>
    </w:p>
    <w:p w14:paraId="5CFC15BB">
      <w:pPr>
        <w:rPr>
          <w:rFonts w:hint="eastAsia"/>
          <w:b/>
          <w:bCs/>
          <w:color w:val="000000"/>
          <w:sz w:val="24"/>
          <w:szCs w:val="32"/>
          <w:shd w:val="clear" w:color="auto" w:fill="FFFFFF"/>
          <w:lang w:eastAsia="zh-CN"/>
        </w:rPr>
      </w:pPr>
    </w:p>
    <w:p w14:paraId="0F0E4AA6">
      <w:pPr>
        <w:rPr>
          <w:rFonts w:hint="eastAsia"/>
          <w:b/>
          <w:bCs/>
          <w:color w:val="000000"/>
          <w:sz w:val="24"/>
          <w:szCs w:val="32"/>
          <w:shd w:val="clear" w:color="auto" w:fill="FFFFFF"/>
          <w:lang w:eastAsia="zh-CN"/>
        </w:rPr>
      </w:pPr>
    </w:p>
    <w:p w14:paraId="5FEFE5EA">
      <w:pPr>
        <w:rPr>
          <w:rFonts w:hint="eastAsia"/>
          <w:b/>
          <w:bCs/>
          <w:color w:val="000000"/>
          <w:sz w:val="24"/>
          <w:szCs w:val="32"/>
          <w:shd w:val="clear" w:color="auto" w:fill="FFFFFF"/>
          <w:lang w:eastAsia="zh-CN"/>
        </w:rPr>
      </w:pPr>
    </w:p>
    <w:p w14:paraId="2745ADB4">
      <w:pPr>
        <w:rPr>
          <w:rFonts w:hint="eastAsia"/>
          <w:b/>
          <w:bCs/>
          <w:color w:val="000000"/>
          <w:sz w:val="24"/>
          <w:szCs w:val="32"/>
          <w:shd w:val="clear" w:color="auto" w:fill="FFFFFF"/>
          <w:lang w:eastAsia="zh-CN"/>
        </w:rPr>
      </w:pPr>
    </w:p>
    <w:p w14:paraId="32E81096">
      <w:pPr>
        <w:rPr>
          <w:rFonts w:hint="eastAsia"/>
          <w:b/>
          <w:bCs/>
          <w:color w:val="000000"/>
          <w:sz w:val="24"/>
          <w:szCs w:val="32"/>
          <w:shd w:val="clear" w:color="auto" w:fill="FFFFFF"/>
          <w:lang w:eastAsia="zh-CN"/>
        </w:rPr>
      </w:pPr>
    </w:p>
    <w:p w14:paraId="0535A605">
      <w:pPr>
        <w:rPr>
          <w:rFonts w:hint="eastAsia"/>
          <w:b/>
          <w:bCs/>
          <w:color w:val="000000"/>
          <w:sz w:val="24"/>
          <w:szCs w:val="32"/>
          <w:shd w:val="clear" w:color="auto" w:fill="FFFFFF"/>
          <w:lang w:eastAsia="zh-CN"/>
        </w:rPr>
      </w:pPr>
    </w:p>
    <w:p w14:paraId="18CBDF4D">
      <w:pPr>
        <w:rPr>
          <w:rFonts w:hint="eastAsia"/>
          <w:b/>
          <w:bCs/>
          <w:color w:val="000000"/>
          <w:sz w:val="24"/>
          <w:szCs w:val="32"/>
          <w:shd w:val="clear" w:color="auto" w:fill="FFFFFF"/>
          <w:lang w:eastAsia="zh-CN"/>
        </w:rPr>
      </w:pPr>
    </w:p>
    <w:p w14:paraId="5497B14B">
      <w:pPr>
        <w:rPr>
          <w:rFonts w:hint="eastAsia"/>
          <w:b/>
          <w:bCs/>
          <w:color w:val="000000"/>
          <w:sz w:val="24"/>
          <w:szCs w:val="32"/>
          <w:shd w:val="clear" w:color="auto" w:fill="FFFFFF"/>
          <w:lang w:eastAsia="zh-CN"/>
        </w:rPr>
      </w:pPr>
    </w:p>
    <w:p w14:paraId="6EE6998F">
      <w:pPr>
        <w:rPr>
          <w:rFonts w:hint="eastAsia"/>
          <w:b/>
          <w:bCs/>
          <w:color w:val="000000"/>
          <w:sz w:val="24"/>
          <w:szCs w:val="32"/>
          <w:shd w:val="clear" w:color="auto" w:fill="FFFFFF"/>
          <w:lang w:eastAsia="zh-CN"/>
        </w:rPr>
      </w:pPr>
    </w:p>
    <w:p w14:paraId="329293E2">
      <w:pPr>
        <w:rPr>
          <w:rFonts w:hint="eastAsia"/>
          <w:b/>
          <w:bCs/>
          <w:color w:val="000000"/>
          <w:sz w:val="24"/>
          <w:szCs w:val="32"/>
          <w:shd w:val="clear" w:color="auto" w:fill="FFFFFF"/>
          <w:lang w:eastAsia="zh-CN"/>
        </w:rPr>
      </w:pPr>
    </w:p>
    <w:p w14:paraId="2B5DDE75">
      <w:pPr>
        <w:rPr>
          <w:rFonts w:hint="eastAsia"/>
          <w:b/>
          <w:bCs/>
          <w:color w:val="000000"/>
          <w:sz w:val="24"/>
          <w:szCs w:val="32"/>
          <w:shd w:val="clear" w:color="auto" w:fill="FFFFFF"/>
          <w:lang w:eastAsia="zh-CN"/>
        </w:rPr>
      </w:pPr>
    </w:p>
    <w:p w14:paraId="28722B2E">
      <w:pPr>
        <w:rPr>
          <w:rFonts w:hint="eastAsia"/>
          <w:b/>
          <w:bCs/>
          <w:color w:val="000000"/>
          <w:sz w:val="24"/>
          <w:szCs w:val="32"/>
          <w:shd w:val="clear" w:color="auto" w:fill="FFFFFF"/>
          <w:lang w:eastAsia="zh-CN"/>
        </w:rPr>
      </w:pPr>
    </w:p>
    <w:p w14:paraId="0E9B96B7">
      <w:pPr>
        <w:rPr>
          <w:rFonts w:hint="eastAsia" w:cs="宋体"/>
          <w:b/>
          <w:bCs/>
          <w:i w:val="0"/>
          <w:iCs w:val="0"/>
          <w:caps w:val="0"/>
          <w:color w:val="000000"/>
          <w:spacing w:val="0"/>
          <w:sz w:val="24"/>
          <w:szCs w:val="24"/>
          <w:shd w:val="clear" w:color="auto" w:fill="FFFFFF"/>
          <w:vertAlign w:val="baseline"/>
          <w:lang w:eastAsia="zh-CN"/>
        </w:rPr>
      </w:pPr>
      <w:r>
        <w:rPr>
          <w:rFonts w:hint="eastAsia" w:cs="宋体"/>
          <w:b/>
          <w:bCs/>
          <w:i w:val="0"/>
          <w:iCs w:val="0"/>
          <w:caps w:val="0"/>
          <w:color w:val="000000"/>
          <w:spacing w:val="0"/>
          <w:sz w:val="24"/>
          <w:szCs w:val="24"/>
          <w:shd w:val="clear" w:color="auto" w:fill="FFFFFF"/>
          <w:vertAlign w:val="baseline"/>
          <w:lang w:eastAsia="zh-CN"/>
        </w:rPr>
        <w:t>延安市大气污染防治“一市一策”研究服务项目（二标段）：</w:t>
      </w:r>
    </w:p>
    <w:p w14:paraId="398A8714">
      <w:pPr>
        <w:rPr>
          <w:rFonts w:hint="eastAsia" w:cs="宋体"/>
          <w:b/>
          <w:bCs/>
          <w:i w:val="0"/>
          <w:iCs w:val="0"/>
          <w:caps w:val="0"/>
          <w:color w:val="000000"/>
          <w:spacing w:val="0"/>
          <w:sz w:val="24"/>
          <w:szCs w:val="24"/>
          <w:shd w:val="clear" w:color="auto" w:fill="FFFFFF"/>
          <w:vertAlign w:val="baseline"/>
          <w:lang w:eastAsia="zh-CN"/>
        </w:rPr>
      </w:pPr>
    </w:p>
    <w:p w14:paraId="74ED427E">
      <w:pPr>
        <w:pStyle w:val="3"/>
        <w:numPr>
          <w:numId w:val="0"/>
        </w:numPr>
        <w:spacing w:before="0" w:after="0" w:line="579"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技术要求</w:t>
      </w:r>
    </w:p>
    <w:p w14:paraId="7E9A0510">
      <w:pPr>
        <w:keepNext w:val="0"/>
        <w:keepLines w:val="0"/>
        <w:pageBreakBefore w:val="0"/>
        <w:widowControl w:val="0"/>
        <w:kinsoku/>
        <w:wordWrap/>
        <w:overflowPunct/>
        <w:topLinePunct w:val="0"/>
        <w:autoSpaceDE w:val="0"/>
        <w:autoSpaceDN w:val="0"/>
        <w:bidi w:val="0"/>
        <w:adjustRightInd w:val="0"/>
        <w:snapToGrid/>
        <w:spacing w:line="480" w:lineRule="auto"/>
        <w:ind w:firstLine="482" w:firstLineChars="200"/>
        <w:textAlignment w:val="auto"/>
        <w:outlineLvl w:val="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一</w:t>
      </w:r>
      <w:r>
        <w:rPr>
          <w:rFonts w:hint="eastAsia" w:ascii="宋体" w:hAnsi="宋体" w:eastAsia="宋体" w:cs="宋体"/>
          <w:b/>
          <w:bCs w:val="0"/>
          <w:color w:val="000000"/>
          <w:sz w:val="24"/>
          <w:szCs w:val="24"/>
        </w:rPr>
        <w:t>、服务要求</w:t>
      </w:r>
    </w:p>
    <w:p w14:paraId="07E7F8E4">
      <w:pPr>
        <w:pStyle w:val="4"/>
        <w:keepNext/>
        <w:keepLines/>
        <w:pageBreakBefore w:val="0"/>
        <w:widowControl w:val="0"/>
        <w:kinsoku/>
        <w:wordWrap/>
        <w:overflowPunct/>
        <w:topLinePunct w:val="0"/>
        <w:autoSpaceDE/>
        <w:autoSpaceDN/>
        <w:bidi w:val="0"/>
        <w:adjustRightInd/>
        <w:snapToGrid/>
        <w:spacing w:before="0" w:beforeLines="0" w:after="0" w:afterLines="0" w:line="480" w:lineRule="auto"/>
        <w:ind w:firstLine="480" w:firstLineChars="200"/>
        <w:jc w:val="both"/>
        <w:textAlignment w:val="auto"/>
        <w:outlineLvl w:val="1"/>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一</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项目依据</w:t>
      </w:r>
    </w:p>
    <w:p w14:paraId="5A88CAED">
      <w:pPr>
        <w:pageBreakBefore w:val="0"/>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2023年3月23日，中共陕西省委、陕西省人民政府关于印发《陕西省大气污染治理专项行动方案（2023-2027年）》的通知，（陕发〔2023〕4号）。</w:t>
      </w:r>
    </w:p>
    <w:p w14:paraId="405B4EF1">
      <w:pPr>
        <w:pageBreakBefore w:val="0"/>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2023年5月16日，中共延安市委、延安市人民政府关于印发《延安市大气污染治理专项行动方案（2023-2027年）》的通知，（延市字〔2023〕53号）。</w:t>
      </w:r>
    </w:p>
    <w:p w14:paraId="24CEA23B">
      <w:pPr>
        <w:pStyle w:val="4"/>
        <w:keepNext/>
        <w:keepLines/>
        <w:pageBreakBefore w:val="0"/>
        <w:widowControl w:val="0"/>
        <w:kinsoku/>
        <w:wordWrap/>
        <w:overflowPunct/>
        <w:topLinePunct w:val="0"/>
        <w:autoSpaceDE/>
        <w:autoSpaceDN/>
        <w:bidi w:val="0"/>
        <w:adjustRightInd/>
        <w:snapToGrid/>
        <w:spacing w:before="0" w:beforeLines="0" w:after="0" w:afterLines="0" w:line="480" w:lineRule="auto"/>
        <w:ind w:firstLine="480" w:firstLineChars="200"/>
        <w:jc w:val="both"/>
        <w:textAlignment w:val="auto"/>
        <w:outlineLvl w:val="1"/>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二</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项目目标</w:t>
      </w:r>
    </w:p>
    <w:p w14:paraId="1F2D0FB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为进一步贯彻落实国家、陕西省及延安市关于大气污染防治的最新决策部署，全面提升延安市大气环境精细化管理水平，委托专业技术团队开展延安市大气污染防治“一市一策”研究服务工作，通过精准识别本地大气污染来源与传输规律，梳理现有治理短板，制定针对性的分区、分类、分时污染管控策略，为延安市深入打好蓝天保卫战提供科学支撑。</w:t>
      </w:r>
    </w:p>
    <w:p w14:paraId="2F7E713F">
      <w:pPr>
        <w:pStyle w:val="4"/>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480" w:lineRule="auto"/>
        <w:ind w:firstLine="480" w:firstLineChars="200"/>
        <w:jc w:val="both"/>
        <w:textAlignment w:val="auto"/>
        <w:outlineLvl w:val="1"/>
        <w:rPr>
          <w:rFonts w:hint="eastAsia" w:ascii="宋体" w:hAnsi="宋体" w:eastAsia="宋体" w:cs="宋体"/>
          <w:b w:val="0"/>
          <w:bCs/>
          <w:sz w:val="24"/>
          <w:szCs w:val="24"/>
        </w:rPr>
      </w:pPr>
      <w:r>
        <w:rPr>
          <w:rFonts w:hint="eastAsia" w:ascii="宋体" w:hAnsi="宋体" w:eastAsia="宋体" w:cs="宋体"/>
          <w:b w:val="0"/>
          <w:bCs/>
          <w:kern w:val="2"/>
          <w:sz w:val="24"/>
          <w:szCs w:val="24"/>
          <w:lang w:val="en-US" w:eastAsia="zh-CN" w:bidi="ar-SA"/>
        </w:rPr>
        <w:t>（三）</w:t>
      </w:r>
      <w:r>
        <w:rPr>
          <w:rFonts w:hint="eastAsia" w:ascii="宋体" w:hAnsi="宋体" w:eastAsia="宋体" w:cs="宋体"/>
          <w:b w:val="0"/>
          <w:bCs/>
          <w:sz w:val="24"/>
          <w:szCs w:val="24"/>
        </w:rPr>
        <w:t>服务内容及要求</w:t>
      </w:r>
    </w:p>
    <w:p w14:paraId="4A569863">
      <w:pPr>
        <w:pageBreakBefore w:val="0"/>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以改善延安市空气质量为核心，以PM₂.₅和臭氧协同防控为主线，构建</w:t>
      </w:r>
      <w:r>
        <w:rPr>
          <w:rFonts w:hint="eastAsia" w:ascii="宋体" w:hAnsi="宋体" w:eastAsia="宋体" w:cs="宋体"/>
          <w:sz w:val="24"/>
          <w:szCs w:val="24"/>
          <w:lang w:eastAsia="zh-CN"/>
        </w:rPr>
        <w:t>“</w:t>
      </w:r>
      <w:r>
        <w:rPr>
          <w:rFonts w:hint="eastAsia" w:ascii="宋体" w:hAnsi="宋体" w:eastAsia="宋体" w:cs="宋体"/>
          <w:sz w:val="24"/>
          <w:szCs w:val="24"/>
        </w:rPr>
        <w:t>精准监测—科学溯源—精细管控—效果评估</w:t>
      </w:r>
      <w:r>
        <w:rPr>
          <w:rFonts w:hint="eastAsia" w:ascii="宋体" w:hAnsi="宋体" w:eastAsia="宋体" w:cs="宋体"/>
          <w:sz w:val="24"/>
          <w:szCs w:val="24"/>
          <w:lang w:eastAsia="zh-CN"/>
        </w:rPr>
        <w:t>”</w:t>
      </w:r>
      <w:r>
        <w:rPr>
          <w:rFonts w:hint="eastAsia" w:ascii="宋体" w:hAnsi="宋体" w:eastAsia="宋体" w:cs="宋体"/>
          <w:sz w:val="24"/>
          <w:szCs w:val="24"/>
        </w:rPr>
        <w:t>全链条技术服务体系。</w:t>
      </w:r>
      <w:r>
        <w:rPr>
          <w:rFonts w:hint="eastAsia" w:ascii="宋体" w:hAnsi="宋体" w:eastAsia="宋体" w:cs="宋体"/>
          <w:sz w:val="24"/>
          <w:szCs w:val="24"/>
          <w:lang w:val="en-US" w:eastAsia="zh-CN"/>
        </w:rPr>
        <w:t>项目主要服务内容如下：</w:t>
      </w:r>
    </w:p>
    <w:p w14:paraId="56482867">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1.打通中省政策通道，提供专家保障服务；</w:t>
      </w:r>
    </w:p>
    <w:p w14:paraId="2239635D">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2.站点高值数据24小时值守服务；</w:t>
      </w:r>
    </w:p>
    <w:p w14:paraId="7F0AA4D2">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3.“一站一策”方案编制服务；</w:t>
      </w:r>
    </w:p>
    <w:p w14:paraId="3FAA1EC9">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4.市、县（区、市）帮扶联动服务；</w:t>
      </w:r>
    </w:p>
    <w:p w14:paraId="1911F02F">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5.编制重点行业企业整治方案；</w:t>
      </w:r>
    </w:p>
    <w:p w14:paraId="01DFEBE7">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6.制定冬季农村散煤和生物质污染整治专项方案；</w:t>
      </w:r>
    </w:p>
    <w:p w14:paraId="5445A63B">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7.沙尘天气应对及扬尘管控服务；</w:t>
      </w:r>
    </w:p>
    <w:p w14:paraId="2E00FF50">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8.移动走航和便携式设备溯源监测服务；</w:t>
      </w:r>
    </w:p>
    <w:p w14:paraId="18FB7555">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9.提供PM</w:t>
      </w:r>
      <w:r>
        <w:rPr>
          <w:rFonts w:hint="eastAsia" w:ascii="宋体" w:hAnsi="宋体" w:eastAsia="宋体" w:cs="宋体"/>
          <w:sz w:val="24"/>
          <w:szCs w:val="24"/>
          <w:vertAlign w:val="subscript"/>
          <w:lang w:val="en-US" w:eastAsia="zh-CN"/>
        </w:rPr>
        <w:t>2.5</w:t>
      </w:r>
      <w:r>
        <w:rPr>
          <w:rFonts w:hint="eastAsia" w:ascii="宋体" w:hAnsi="宋体" w:eastAsia="宋体" w:cs="宋体"/>
          <w:sz w:val="24"/>
          <w:szCs w:val="24"/>
          <w:lang w:val="en-US" w:eastAsia="zh-CN"/>
        </w:rPr>
        <w:t>和O</w:t>
      </w:r>
      <w:r>
        <w:rPr>
          <w:rFonts w:hint="eastAsia" w:ascii="宋体" w:hAnsi="宋体" w:eastAsia="宋体" w:cs="宋体"/>
          <w:sz w:val="24"/>
          <w:szCs w:val="24"/>
          <w:vertAlign w:val="subscript"/>
          <w:lang w:val="en-US" w:eastAsia="zh-CN"/>
        </w:rPr>
        <w:t>3</w:t>
      </w:r>
      <w:r>
        <w:rPr>
          <w:rFonts w:hint="eastAsia" w:ascii="宋体" w:hAnsi="宋体" w:eastAsia="宋体" w:cs="宋体"/>
          <w:sz w:val="24"/>
          <w:szCs w:val="24"/>
          <w:lang w:val="en-US" w:eastAsia="zh-CN"/>
        </w:rPr>
        <w:t>防控"一市一策"解决方案；</w:t>
      </w:r>
    </w:p>
    <w:p w14:paraId="7FA00170">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10.提供秋冬季PM</w:t>
      </w:r>
      <w:r>
        <w:rPr>
          <w:rFonts w:hint="eastAsia" w:ascii="宋体" w:hAnsi="宋体" w:eastAsia="宋体" w:cs="宋体"/>
          <w:sz w:val="24"/>
          <w:szCs w:val="24"/>
          <w:vertAlign w:val="subscript"/>
          <w:lang w:val="en-US" w:eastAsia="zh-CN"/>
        </w:rPr>
        <w:t>2.5</w:t>
      </w:r>
      <w:r>
        <w:rPr>
          <w:rFonts w:hint="eastAsia" w:ascii="宋体" w:hAnsi="宋体" w:eastAsia="宋体" w:cs="宋体"/>
          <w:sz w:val="24"/>
          <w:szCs w:val="24"/>
          <w:lang w:val="en-US" w:eastAsia="zh-CN"/>
        </w:rPr>
        <w:t>深度治理与沙尘天气应对服务；</w:t>
      </w:r>
    </w:p>
    <w:p w14:paraId="6DCF8C34">
      <w:pPr>
        <w:pageBreakBefore w:val="0"/>
        <w:numPr>
          <w:ilvl w:val="0"/>
          <w:numId w:val="0"/>
        </w:numPr>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11.培养地方大气污染防治队伍。</w:t>
      </w:r>
    </w:p>
    <w:p w14:paraId="4527AEF6">
      <w:pPr>
        <w:pStyle w:val="4"/>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480" w:lineRule="auto"/>
        <w:ind w:firstLine="480" w:firstLineChars="200"/>
        <w:jc w:val="both"/>
        <w:textAlignment w:val="auto"/>
        <w:outlineLvl w:val="1"/>
        <w:rPr>
          <w:rFonts w:hint="eastAsia" w:ascii="宋体" w:hAnsi="宋体" w:eastAsia="宋体" w:cs="宋体"/>
          <w:b w:val="0"/>
          <w:bCs/>
          <w:sz w:val="24"/>
          <w:szCs w:val="24"/>
          <w:lang w:val="en-US" w:eastAsia="zh-CN"/>
        </w:rPr>
      </w:pPr>
      <w:r>
        <w:rPr>
          <w:rFonts w:hint="eastAsia" w:ascii="宋体" w:hAnsi="宋体" w:eastAsia="宋体" w:cs="宋体"/>
          <w:b w:val="0"/>
          <w:bCs/>
          <w:kern w:val="2"/>
          <w:sz w:val="24"/>
          <w:szCs w:val="24"/>
          <w:lang w:val="en-US" w:eastAsia="zh-CN" w:bidi="ar-SA"/>
        </w:rPr>
        <w:t>（四）</w:t>
      </w:r>
      <w:r>
        <w:rPr>
          <w:rFonts w:hint="eastAsia" w:ascii="宋体" w:hAnsi="宋体" w:eastAsia="宋体" w:cs="宋体"/>
          <w:b w:val="0"/>
          <w:bCs/>
          <w:sz w:val="24"/>
          <w:szCs w:val="24"/>
          <w:lang w:val="en-US" w:eastAsia="zh-CN"/>
        </w:rPr>
        <w:t>质量保证</w:t>
      </w:r>
    </w:p>
    <w:p w14:paraId="04E56ABC">
      <w:pPr>
        <w:keepNext w:val="0"/>
        <w:keepLines w:val="0"/>
        <w:pageBreakBefore w:val="0"/>
        <w:widowControl/>
        <w:suppressLineNumbers w:val="0"/>
        <w:kinsoku/>
        <w:wordWrap/>
        <w:overflowPunct/>
        <w:topLinePunct w:val="0"/>
        <w:bidi w:val="0"/>
        <w:snapToGrid/>
        <w:spacing w:line="48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一市一策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技术服务团队拥有专业的大气污染防治基础和专业技能，团队核心成员需具备五年以上大气污染溯源分析、管控方案编制相关工作经验，项目开展全过程需严格遵循国家及地方发布的大气污染防治相关技术规范、标准要求，所有数据来源需真实可追溯，分析结论需经过多轮专家论证校核。服务期内，及时根据延安市大气污染形势变化和管理需求调整研究方向与技术路线，保障研究成果贴合延安市大气污染防治实际管理需要，各项结论和方案具备科学性、针对性和可落地性。</w:t>
      </w:r>
    </w:p>
    <w:p w14:paraId="0A80D838">
      <w:pPr>
        <w:keepNext w:val="0"/>
        <w:keepLines w:val="0"/>
        <w:pageBreakBefore w:val="0"/>
        <w:widowControl w:val="0"/>
        <w:numPr>
          <w:ilvl w:val="0"/>
          <w:numId w:val="0"/>
        </w:numPr>
        <w:kinsoku/>
        <w:wordWrap/>
        <w:overflowPunct/>
        <w:topLinePunct w:val="0"/>
        <w:autoSpaceDE w:val="0"/>
        <w:autoSpaceDN w:val="0"/>
        <w:bidi w:val="0"/>
        <w:adjustRightInd w:val="0"/>
        <w:snapToGrid/>
        <w:spacing w:line="480" w:lineRule="auto"/>
        <w:ind w:firstLine="482" w:firstLineChars="200"/>
        <w:textAlignment w:val="auto"/>
        <w:outlineLvl w:val="0"/>
        <w:rPr>
          <w:rFonts w:hint="eastAsia" w:ascii="宋体" w:hAnsi="宋体" w:eastAsia="宋体" w:cs="宋体"/>
          <w:b/>
          <w:bCs w:val="0"/>
          <w:color w:val="000000"/>
          <w:sz w:val="24"/>
          <w:szCs w:val="24"/>
        </w:rPr>
      </w:pPr>
      <w:r>
        <w:rPr>
          <w:rFonts w:hint="eastAsia" w:ascii="宋体" w:hAnsi="宋体" w:eastAsia="宋体" w:cs="宋体"/>
          <w:b/>
          <w:bCs w:val="0"/>
          <w:color w:val="000000"/>
          <w:kern w:val="2"/>
          <w:sz w:val="24"/>
          <w:szCs w:val="24"/>
          <w:lang w:val="en-US" w:eastAsia="zh-CN" w:bidi="ar-SA"/>
        </w:rPr>
        <w:t>二、</w:t>
      </w:r>
      <w:r>
        <w:rPr>
          <w:rFonts w:hint="eastAsia" w:ascii="宋体" w:hAnsi="宋体" w:eastAsia="宋体" w:cs="宋体"/>
          <w:b/>
          <w:bCs w:val="0"/>
          <w:color w:val="000000"/>
          <w:sz w:val="24"/>
          <w:szCs w:val="24"/>
        </w:rPr>
        <w:t>交付成果</w:t>
      </w:r>
    </w:p>
    <w:p w14:paraId="73DE1261">
      <w:pPr>
        <w:keepNext w:val="0"/>
        <w:keepLines w:val="0"/>
        <w:pageBreakBefore w:val="0"/>
        <w:widowControl w:val="0"/>
        <w:numPr>
          <w:ilvl w:val="0"/>
          <w:numId w:val="0"/>
        </w:numPr>
        <w:kinsoku/>
        <w:wordWrap/>
        <w:overflowPunct/>
        <w:topLinePunct w:val="0"/>
        <w:autoSpaceDE w:val="0"/>
        <w:autoSpaceDN w:val="0"/>
        <w:bidi w:val="0"/>
        <w:adjustRightInd w:val="0"/>
        <w:snapToGrid/>
        <w:spacing w:line="480" w:lineRule="auto"/>
        <w:ind w:firstLine="480" w:firstLineChars="200"/>
        <w:textAlignment w:val="auto"/>
        <w:outlineLvl w:val="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日常报告类：日报、周报、月报、专题报告等</w:t>
      </w:r>
      <w:r>
        <w:rPr>
          <w:rFonts w:hint="eastAsia" w:ascii="宋体" w:hAnsi="宋体" w:eastAsia="宋体" w:cs="宋体"/>
          <w:sz w:val="24"/>
          <w:szCs w:val="24"/>
          <w:lang w:eastAsia="zh-CN"/>
        </w:rPr>
        <w:t>合计</w:t>
      </w:r>
      <w:r>
        <w:rPr>
          <w:rFonts w:hint="eastAsia" w:ascii="宋体" w:hAnsi="宋体" w:eastAsia="宋体" w:cs="宋体"/>
          <w:sz w:val="24"/>
          <w:szCs w:val="24"/>
        </w:rPr>
        <w:t>不少于100份；</w:t>
      </w:r>
    </w:p>
    <w:p w14:paraId="37F0E235">
      <w:pPr>
        <w:pStyle w:val="5"/>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整治方案类：“一企一策”整治方案不少于20份，重点行业管控手册共2套；</w:t>
      </w:r>
    </w:p>
    <w:p w14:paraId="4B774705">
      <w:pPr>
        <w:pStyle w:val="5"/>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专项方案类：夏季臭氧管控方案、秋冬季治理方案、沙尘应对方案等各1套；</w:t>
      </w:r>
    </w:p>
    <w:p w14:paraId="6951A496">
      <w:pPr>
        <w:pStyle w:val="5"/>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监测数据类：VOCs走航数据、激光雷达数据、无人机监测数据等</w:t>
      </w:r>
      <w:r>
        <w:rPr>
          <w:rFonts w:hint="eastAsia" w:ascii="宋体" w:hAnsi="宋体" w:eastAsia="宋体" w:cs="宋体"/>
          <w:sz w:val="24"/>
          <w:szCs w:val="24"/>
          <w:lang w:eastAsia="zh-CN"/>
        </w:rPr>
        <w:t>组成的</w:t>
      </w:r>
      <w:r>
        <w:rPr>
          <w:rFonts w:hint="eastAsia" w:ascii="宋体" w:hAnsi="宋体" w:eastAsia="宋体" w:cs="宋体"/>
          <w:sz w:val="24"/>
          <w:szCs w:val="24"/>
        </w:rPr>
        <w:t>完整数据库；</w:t>
      </w:r>
    </w:p>
    <w:p w14:paraId="7556D5BF">
      <w:pPr>
        <w:pStyle w:val="5"/>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培训成果类：培训课件、培训总结、学员考核成绩等</w:t>
      </w:r>
      <w:r>
        <w:rPr>
          <w:rFonts w:hint="eastAsia" w:ascii="宋体" w:hAnsi="宋体" w:eastAsia="宋体" w:cs="宋体"/>
          <w:sz w:val="24"/>
          <w:szCs w:val="24"/>
          <w:lang w:eastAsia="zh-CN"/>
        </w:rPr>
        <w:t>相关材料</w:t>
      </w:r>
      <w:r>
        <w:rPr>
          <w:rFonts w:hint="eastAsia" w:ascii="宋体" w:hAnsi="宋体" w:eastAsia="宋体" w:cs="宋体"/>
          <w:sz w:val="24"/>
          <w:szCs w:val="24"/>
        </w:rPr>
        <w:t>；</w:t>
      </w:r>
    </w:p>
    <w:p w14:paraId="085649CE">
      <w:pPr>
        <w:pStyle w:val="5"/>
        <w:pageBreakBefore w:val="0"/>
        <w:widowControl/>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制度成果类：重污染天气应急预案、应急减排清单、联合工作机制等</w:t>
      </w:r>
      <w:r>
        <w:rPr>
          <w:rFonts w:hint="eastAsia" w:ascii="宋体" w:hAnsi="宋体" w:eastAsia="宋体" w:cs="宋体"/>
          <w:sz w:val="24"/>
          <w:szCs w:val="24"/>
          <w:lang w:eastAsia="zh-CN"/>
        </w:rPr>
        <w:t>相关文件</w:t>
      </w:r>
      <w:r>
        <w:rPr>
          <w:rFonts w:hint="eastAsia" w:ascii="宋体" w:hAnsi="宋体" w:eastAsia="宋体" w:cs="宋体"/>
          <w:sz w:val="24"/>
          <w:szCs w:val="24"/>
        </w:rPr>
        <w:t>。</w:t>
      </w:r>
    </w:p>
    <w:p w14:paraId="45703F91">
      <w:pPr>
        <w:keepNext w:val="0"/>
        <w:keepLines w:val="0"/>
        <w:pageBreakBefore w:val="0"/>
        <w:widowControl w:val="0"/>
        <w:kinsoku/>
        <w:wordWrap/>
        <w:overflowPunct/>
        <w:topLinePunct w:val="0"/>
        <w:autoSpaceDE w:val="0"/>
        <w:autoSpaceDN w:val="0"/>
        <w:bidi w:val="0"/>
        <w:adjustRightInd w:val="0"/>
        <w:snapToGrid/>
        <w:spacing w:line="480" w:lineRule="auto"/>
        <w:ind w:firstLine="482" w:firstLineChars="200"/>
        <w:textAlignment w:val="auto"/>
        <w:outlineLvl w:val="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三</w:t>
      </w:r>
      <w:r>
        <w:rPr>
          <w:rFonts w:hint="eastAsia" w:ascii="宋体" w:hAnsi="宋体" w:eastAsia="宋体" w:cs="宋体"/>
          <w:b/>
          <w:bCs w:val="0"/>
          <w:color w:val="000000"/>
          <w:sz w:val="24"/>
          <w:szCs w:val="24"/>
        </w:rPr>
        <w:t>、其它要求</w:t>
      </w:r>
    </w:p>
    <w:p w14:paraId="750A7047">
      <w:pPr>
        <w:pStyle w:val="4"/>
        <w:keepNext/>
        <w:keepLines/>
        <w:pageBreakBefore w:val="0"/>
        <w:widowControl w:val="0"/>
        <w:kinsoku/>
        <w:wordWrap/>
        <w:overflowPunct/>
        <w:topLinePunct w:val="0"/>
        <w:autoSpaceDE/>
        <w:autoSpaceDN/>
        <w:bidi w:val="0"/>
        <w:adjustRightInd/>
        <w:snapToGrid/>
        <w:spacing w:before="0" w:beforeLines="0" w:after="0" w:afterLines="0" w:line="480" w:lineRule="auto"/>
        <w:ind w:firstLine="480" w:firstLineChars="200"/>
        <w:jc w:val="both"/>
        <w:textAlignment w:val="auto"/>
        <w:outlineLvl w:val="1"/>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一</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服务期限及地点</w:t>
      </w:r>
    </w:p>
    <w:p w14:paraId="36AC9FF1">
      <w:pPr>
        <w:pageBreakBefore w:val="0"/>
        <w:widowControl w:val="0"/>
        <w:kinsoku/>
        <w:wordWrap/>
        <w:overflowPunct/>
        <w:topLinePunct w:val="0"/>
        <w:bidi w:val="0"/>
        <w:snapToGrid/>
        <w:spacing w:line="48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服务期：服务期限</w:t>
      </w:r>
      <w:r>
        <w:rPr>
          <w:rFonts w:hint="eastAsia" w:ascii="宋体" w:hAnsi="宋体" w:eastAsia="宋体" w:cs="宋体"/>
          <w:color w:val="auto"/>
          <w:sz w:val="24"/>
          <w:szCs w:val="24"/>
          <w:lang w:val="en-US" w:eastAsia="zh-CN"/>
        </w:rPr>
        <w:t>12个月</w:t>
      </w:r>
      <w:r>
        <w:rPr>
          <w:rFonts w:hint="eastAsia" w:ascii="宋体" w:hAnsi="宋体" w:eastAsia="宋体" w:cs="宋体"/>
          <w:color w:val="auto"/>
          <w:sz w:val="24"/>
          <w:szCs w:val="24"/>
        </w:rPr>
        <w:t>，地点为延安市。</w:t>
      </w:r>
    </w:p>
    <w:p w14:paraId="7845A1A4">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1"/>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（二）验收要求或评价标准</w:t>
      </w:r>
    </w:p>
    <w:p w14:paraId="64711FDC">
      <w:pPr>
        <w:pageBreakBefore w:val="0"/>
        <w:kinsoku/>
        <w:wordWrap/>
        <w:overflowPunct/>
        <w:topLinePunct w:val="0"/>
        <w:bidi w:val="0"/>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市局组织专家评审，并提交“一市一策”研究服务项目结题报告。</w:t>
      </w:r>
    </w:p>
    <w:p w14:paraId="4FA214C3">
      <w:pPr>
        <w:rPr>
          <w:rFonts w:hint="eastAsia" w:cs="宋体"/>
          <w:b/>
          <w:bCs/>
          <w:i w:val="0"/>
          <w:iCs w:val="0"/>
          <w:caps w:val="0"/>
          <w:color w:val="000000"/>
          <w:spacing w:val="0"/>
          <w:sz w:val="24"/>
          <w:szCs w:val="24"/>
          <w:shd w:val="clear" w:color="auto" w:fill="FFFFFF"/>
          <w:vertAlign w:val="baseline"/>
          <w:lang w:eastAsia="zh-CN"/>
        </w:rPr>
      </w:pPr>
    </w:p>
    <w:p w14:paraId="577A58DF">
      <w:pPr>
        <w:rPr>
          <w:rFonts w:hint="eastAsia"/>
          <w:b/>
          <w:bCs/>
          <w:color w:val="000000"/>
          <w:sz w:val="24"/>
          <w:szCs w:val="32"/>
          <w:shd w:val="clear" w:color="auto" w:fill="FFFFFF"/>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B44B0E"/>
    <w:multiLevelType w:val="singleLevel"/>
    <w:tmpl w:val="DAB44B0E"/>
    <w:lvl w:ilvl="0" w:tentative="0">
      <w:start w:val="1"/>
      <w:numFmt w:val="decimal"/>
      <w:pStyle w:val="5"/>
      <w:lvlText w:val="%1."/>
      <w:lvlJc w:val="left"/>
      <w:pPr>
        <w:tabs>
          <w:tab w:val="left"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702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paragraph" w:styleId="4">
    <w:name w:val="heading 2"/>
    <w:basedOn w:val="1"/>
    <w:next w:val="1"/>
    <w:qFormat/>
    <w:uiPriority w:val="0"/>
    <w:pPr>
      <w:keepNext/>
      <w:keepLines/>
      <w:spacing w:before="260" w:beforeLines="0" w:after="260" w:afterLines="0" w:line="413" w:lineRule="auto"/>
      <w:jc w:val="center"/>
      <w:outlineLvl w:val="1"/>
    </w:pPr>
    <w:rPr>
      <w:rFonts w:ascii="Arial" w:hAnsi="Arial" w:eastAsia="宋体" w:cs="Times New Roman"/>
      <w:b/>
      <w:bCs/>
      <w:sz w:val="28"/>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ind w:left="1440" w:leftChars="700" w:right="700" w:rightChars="700"/>
    </w:pPr>
    <w:rPr>
      <w:rFonts w:ascii="Calibri" w:hAnsi="Calibri" w:eastAsia="宋体" w:cs="Times New Roman"/>
    </w:rPr>
  </w:style>
  <w:style w:type="paragraph" w:styleId="5">
    <w:name w:val="List Number"/>
    <w:basedOn w:val="1"/>
    <w:uiPriority w:val="0"/>
    <w:pPr>
      <w:numPr>
        <w:ilvl w:val="0"/>
        <w:numId w:val="1"/>
      </w:numPr>
    </w:pPr>
  </w:style>
  <w:style w:type="paragraph" w:styleId="6">
    <w:name w:val="footer"/>
    <w:basedOn w:val="1"/>
    <w:qFormat/>
    <w:uiPriority w:val="0"/>
    <w:pPr>
      <w:tabs>
        <w:tab w:val="center" w:pos="4153"/>
        <w:tab w:val="right" w:pos="8306"/>
      </w:tabs>
      <w:snapToGrid w:val="0"/>
      <w:jc w:val="left"/>
    </w:pPr>
    <w:rPr>
      <w:rFonts w:ascii="Calibri" w:hAnsi="Calibri" w:eastAsia="宋体" w:cs="Times New Roman"/>
      <w:sz w:val="18"/>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2026-09-22T08:17:55Z</dcterms:created>
  <dc:creator>admin</dc:creator>
  <cp:lastModifiedBy>admin</cp:lastModifiedBy>
  <dcterms:modified xsi:type="dcterms:W3CDTF">2026-09-22T08:20:00Z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eyJoZGlkIjoiNDFiZmZmNDQyYzUxMzhiOWVkN2IzMDRmYThlNTRhNTAiLCJ1c2VySWQiOiI3ODAwNzU1NjEifQ==</vt:lpwstr>
  </property>
  <property fmtid="{D5CDD505-2E9C-101B-9397-08002B2CF9AE}" pid="4" name="ICV">
    <vt:lpwstr>9625327285A745F499DB5ADCB57DB49D_12</vt:lpwstr>
  </property>
</Properties>
</file>