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版本号：HCXM-CS-2606-0620260624001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中外文医学文献数据库服务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HCXM-CS-2606-06</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中外文医学文献数据库服务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HCXM-CS-2606-06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中外文医学文献数据库服务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医院临床、科研与教学工作对中外文医学文献资源的需求，拟采购医学文献资源服务。服务需包含中华医学会系列期刊200种，支持指南共识、临床病例等文献检索查询，提供在线阅读及PDF全文下载；配套医学知识库服务，涵盖科研写作、全科教育等医学视频资源；同时提供外文医学文献检索服务，基于PubMed功能，实现数据分析过滤、知识图谱、中英双语检索、中英全文翻译及国外专利检索等功能，全面支撑我院医学科研与临床教学工作开展（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采购包1（中外文医学文献数据库服务）：属于专门面向中小企业采购。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1、本项目的特定资格要求：1、具有独立承担民事责任的能力：提供注册登记凭证（营业执照、其他组织经营的合法凭证，自然人的提供身份证明文件）； 2、具有良好的商业信誉和健全的财务会计制度：提供2025年度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 3、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 4、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 5、声明：提供具有履行合同所必需的设备和专业技术能力的声明； 6、书面声明：参加政府采购活动前3年内，在经营活动中没有重大违法记录的书面声明; 7、法定代表人授权书/法定代表人身份证明：投标人应授权合法的人员参加投标，其中法定代表人直接参加的须出具法定代表人身份证复印件并与营业执照上信息一致，法定代表人授权代表参加的须出具法定代表人授权书及被授权人本单位证明 (近三个月内任意一个月社保缴纳证明) ； 8、信用记录：供应商不得为“信用中国”网站（www.creditchina.gov.cn）列入失信被执行人、重大税收违法失信主体、政府采购严重违法失信行为记录名单的供应商，不得为“中国政府采购网”（www.ccgp.gov.cn）政府采购严重违法失信行为记录名单中的供应商； 9、承诺书 ：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提供承诺书）； 10、供应商应澄清其公司非采购人及项目代理机构员工和亲属投资开办的公司，其法人、股东、高级管理人员非采购人单位员工及亲属。采购人、代理机构和投标人之间无相互兼职的情形（提供承诺书）； 11、无知识产权诉讼纠纷承诺书； 12、承诺书：违规违纪被列入市卫健系统或我院“黑名单”的供应商，在规定的期限内不得参与我院项目的投标（响应）。 13、联合体：本项目不接受联合体磋商(提供非联合体承诺书）。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成交人在领取中标通知书时，向汇成项目管理有限公司交纳招标代理服务费。服务费收费标准参照原《国家计委关于印发&lt;招标代理服务收费管理行办法&gt;的通知》(计价格[2002]1980号)规定的标准下浮20%收取。 服务费账户信息： 户名：汇成项目管理有限公司 账号：6105 0192 5700 0000 0294 开户行：中国建设银行西安高新科技支行。 具体收费金额将在成交公告中公布。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以磋商文件和最终签订合同为准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联系电话：13772480905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医院临床、科研与教学工作对中外文医学文献资源的需求，拟采购医学文献资源服务。服务需包含中华医学会系列期刊200种，支持指南共识、临床病例等文献检索查询，提供在线阅读及PDF全文下载；配套医学知识库服务，涵盖科研写作、全科教育等医学视频资源；同时提供外文医学文献检索服务，基于PubMed功能，实现数据分析过滤、知识图谱、中英双语检索、中英全文翻译及国外专利检索等功能，全面支撑我院医学科研与临床教学工作开展（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中外文医学文献数据库</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标的名称：中外文医学文献数据库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jc w:val="both"/>
            </w:pPr>
            <w:r>
              <w:rPr>
                <w:rFonts w:ascii="仿宋_GB2312" w:hAnsi="仿宋_GB2312" w:cs="仿宋_GB2312" w:eastAsia="仿宋_GB2312"/>
                <w:sz w:val="22"/>
                <w:b/>
              </w:rPr>
              <w:t>一、项目概况</w:t>
            </w:r>
          </w:p>
          <w:p>
            <w:pPr>
              <w:pStyle w:val="null3"/>
              <w:ind w:firstLine="400"/>
              <w:jc w:val="both"/>
            </w:pPr>
            <w:r>
              <w:rPr>
                <w:rFonts w:ascii="仿宋_GB2312" w:hAnsi="仿宋_GB2312" w:cs="仿宋_GB2312" w:eastAsia="仿宋_GB2312"/>
                <w:sz w:val="20"/>
              </w:rPr>
              <w:t>为满足医院临床、科研与教学工作对中外文医学文献资源的需求，拟采购医学文献资源服务。服务需包含中华医学会系列期刊</w:t>
            </w:r>
            <w:r>
              <w:rPr>
                <w:rFonts w:ascii="仿宋_GB2312" w:hAnsi="仿宋_GB2312" w:cs="仿宋_GB2312" w:eastAsia="仿宋_GB2312"/>
                <w:sz w:val="20"/>
              </w:rPr>
              <w:t>200种，支持指南共识、临床病例等文献检索查询，提供在线阅读及PDF全文下载；配套医学知识库服务，涵盖科研写作、全科教育等医学视频资源；同时提供外文医学文献检索服务，基于PubMed功能，实现数据分析过滤、知识图谱、中英双语检索、中英全文翻译及国外专利检索等功能，全面支撑我院医学科研与临床教学工作开展。</w:t>
            </w:r>
          </w:p>
          <w:p>
            <w:pPr>
              <w:pStyle w:val="null3"/>
              <w:ind w:firstLine="442"/>
              <w:jc w:val="both"/>
            </w:pPr>
            <w:r>
              <w:rPr>
                <w:rFonts w:ascii="仿宋_GB2312" w:hAnsi="仿宋_GB2312" w:cs="仿宋_GB2312" w:eastAsia="仿宋_GB2312"/>
                <w:sz w:val="22"/>
                <w:b/>
              </w:rPr>
              <w:t>二、服务内容（包括工作区域、工作内容等）</w:t>
            </w:r>
          </w:p>
          <w:p>
            <w:pPr>
              <w:pStyle w:val="null3"/>
              <w:ind w:firstLine="400"/>
              <w:jc w:val="both"/>
            </w:pPr>
            <w:r>
              <w:rPr>
                <w:rFonts w:ascii="仿宋_GB2312" w:hAnsi="仿宋_GB2312" w:cs="仿宋_GB2312" w:eastAsia="仿宋_GB2312"/>
                <w:sz w:val="20"/>
              </w:rPr>
              <w:t>中外文医学文献数据库服务，需包含以下内容：</w:t>
            </w:r>
          </w:p>
          <w:p>
            <w:pPr>
              <w:pStyle w:val="null3"/>
              <w:ind w:firstLine="400"/>
              <w:jc w:val="both"/>
            </w:pPr>
            <w:r>
              <w:rPr>
                <w:rFonts w:ascii="仿宋_GB2312" w:hAnsi="仿宋_GB2312" w:cs="仿宋_GB2312" w:eastAsia="仿宋_GB2312"/>
                <w:sz w:val="20"/>
              </w:rPr>
              <w:t>1.外文文献系列数据库至少包括外文医学期刊数据库、循证医学数据库、投稿指南平台、</w:t>
            </w:r>
            <w:r>
              <w:rPr>
                <w:rFonts w:ascii="仿宋_GB2312" w:hAnsi="仿宋_GB2312" w:cs="仿宋_GB2312" w:eastAsia="仿宋_GB2312"/>
                <w:sz w:val="20"/>
              </w:rPr>
              <w:t>中英文翻译平</w:t>
            </w:r>
            <w:r>
              <w:rPr>
                <w:rFonts w:ascii="仿宋_GB2312" w:hAnsi="仿宋_GB2312" w:cs="仿宋_GB2312" w:eastAsia="仿宋_GB2312"/>
                <w:sz w:val="20"/>
              </w:rPr>
              <w:t>台、专利检索平台、学术搜索。</w:t>
            </w:r>
          </w:p>
          <w:p>
            <w:pPr>
              <w:pStyle w:val="null3"/>
              <w:ind w:firstLine="400"/>
              <w:jc w:val="both"/>
            </w:pPr>
            <w:r>
              <w:rPr>
                <w:rFonts w:ascii="仿宋_GB2312" w:hAnsi="仿宋_GB2312" w:cs="仿宋_GB2312" w:eastAsia="仿宋_GB2312"/>
                <w:sz w:val="20"/>
              </w:rPr>
              <w:t>2.中文医学文献数据库包括中华医学会期刊200种、医学知识库。</w:t>
            </w:r>
          </w:p>
          <w:p>
            <w:pPr>
              <w:pStyle w:val="null3"/>
              <w:ind w:firstLine="400"/>
              <w:jc w:val="both"/>
            </w:pPr>
            <w:r>
              <w:rPr>
                <w:rFonts w:ascii="仿宋_GB2312" w:hAnsi="仿宋_GB2312" w:cs="仿宋_GB2312" w:eastAsia="仿宋_GB2312"/>
                <w:sz w:val="20"/>
              </w:rPr>
              <w:t>3.能够提供互联网电脑端及手机APP端门户网站建设，需具备常规的通知公告、资讯发布、文献检索等模块。</w:t>
            </w:r>
          </w:p>
          <w:p>
            <w:pPr>
              <w:pStyle w:val="null3"/>
              <w:ind w:firstLine="442"/>
              <w:jc w:val="both"/>
            </w:pPr>
            <w:r>
              <w:rPr>
                <w:rFonts w:ascii="仿宋_GB2312" w:hAnsi="仿宋_GB2312" w:cs="仿宋_GB2312" w:eastAsia="仿宋_GB2312"/>
                <w:sz w:val="22"/>
                <w:b/>
              </w:rPr>
              <w:t>三、技术要求（如有，一般适合于技术服务项目）</w:t>
            </w:r>
          </w:p>
          <w:p>
            <w:pPr>
              <w:pStyle w:val="null3"/>
              <w:ind w:firstLine="400"/>
              <w:jc w:val="both"/>
            </w:pPr>
            <w:r>
              <w:rPr>
                <w:rFonts w:ascii="仿宋_GB2312" w:hAnsi="仿宋_GB2312" w:cs="仿宋_GB2312" w:eastAsia="仿宋_GB2312"/>
                <w:sz w:val="20"/>
              </w:rPr>
              <w:t>1.外文文献系列数据库至少包括外文医学期刊数据库、循证医学数据库、投稿指南平台、</w:t>
            </w:r>
            <w:r>
              <w:rPr>
                <w:rFonts w:ascii="仿宋_GB2312" w:hAnsi="仿宋_GB2312" w:cs="仿宋_GB2312" w:eastAsia="仿宋_GB2312"/>
                <w:sz w:val="20"/>
              </w:rPr>
              <w:t>中英文翻译平</w:t>
            </w:r>
            <w:r>
              <w:rPr>
                <w:rFonts w:ascii="仿宋_GB2312" w:hAnsi="仿宋_GB2312" w:cs="仿宋_GB2312" w:eastAsia="仿宋_GB2312"/>
                <w:sz w:val="20"/>
              </w:rPr>
              <w:t>台、专利检索平台、学术搜索。</w:t>
            </w:r>
          </w:p>
          <w:p>
            <w:pPr>
              <w:pStyle w:val="null3"/>
              <w:ind w:firstLine="400"/>
              <w:jc w:val="both"/>
            </w:pPr>
            <w:r>
              <w:rPr>
                <w:rFonts w:ascii="仿宋_GB2312" w:hAnsi="仿宋_GB2312" w:cs="仿宋_GB2312" w:eastAsia="仿宋_GB2312"/>
                <w:sz w:val="20"/>
              </w:rPr>
              <w:t>2.外文文献系列数据库，需具备中外翻译功能，如检索页面、文献标题、文献摘要需能够呈现翻译后的中文内容，满足医生学生快速应用查阅外文文献数据库，使用操作简便。</w:t>
            </w:r>
          </w:p>
          <w:p>
            <w:pPr>
              <w:pStyle w:val="null3"/>
              <w:ind w:firstLine="400"/>
              <w:jc w:val="both"/>
            </w:pPr>
            <w:r>
              <w:rPr>
                <w:rFonts w:ascii="仿宋_GB2312" w:hAnsi="仿宋_GB2312" w:cs="仿宋_GB2312" w:eastAsia="仿宋_GB2312"/>
                <w:sz w:val="20"/>
              </w:rPr>
              <w:t>3.外文文献的检索结果应具备文字、图片和图谱等多种模式呈现，可以通过不同呈现模式了解相关主题词的学术发展趋势、快速查找高影响因子论文和高被引次数论文，可以支撑科研教学选题工作。</w:t>
            </w:r>
          </w:p>
          <w:p>
            <w:pPr>
              <w:pStyle w:val="null3"/>
              <w:ind w:firstLine="400"/>
              <w:jc w:val="both"/>
            </w:pPr>
            <w:r>
              <w:rPr>
                <w:rFonts w:ascii="仿宋_GB2312" w:hAnsi="仿宋_GB2312" w:cs="仿宋_GB2312" w:eastAsia="仿宋_GB2312"/>
                <w:sz w:val="20"/>
              </w:rPr>
              <w:t>4.PubMed检索平台应与美国PubMed平台数据同步，另外需要具备高级检索和数据分析功能。检索结果具备过滤功能，过滤项不限于时间过滤，文献类型过滤，文献语种过滤等。</w:t>
            </w:r>
          </w:p>
          <w:p>
            <w:pPr>
              <w:pStyle w:val="null3"/>
              <w:ind w:firstLine="400"/>
              <w:jc w:val="both"/>
            </w:pPr>
            <w:r>
              <w:rPr>
                <w:rFonts w:ascii="仿宋_GB2312" w:hAnsi="仿宋_GB2312" w:cs="仿宋_GB2312" w:eastAsia="仿宋_GB2312"/>
                <w:sz w:val="20"/>
              </w:rPr>
              <w:t>5.检索结果应具备引用评分、中科院分区、被引次数、高影响因子论文、高被引次数论文过滤以及聚类分析等功能。</w:t>
            </w:r>
          </w:p>
          <w:p>
            <w:pPr>
              <w:pStyle w:val="null3"/>
              <w:ind w:firstLine="400"/>
              <w:jc w:val="both"/>
            </w:pPr>
            <w:r>
              <w:rPr>
                <w:rFonts w:ascii="仿宋_GB2312" w:hAnsi="仿宋_GB2312" w:cs="仿宋_GB2312" w:eastAsia="仿宋_GB2312"/>
                <w:sz w:val="20"/>
              </w:rPr>
              <w:t>6.适合医生学生使用的单篇文献功能至少包含：单篇文献具备，中/英文标题、中/英文摘要、期刊分区、参考文献等。</w:t>
            </w:r>
          </w:p>
          <w:p>
            <w:pPr>
              <w:pStyle w:val="null3"/>
              <w:ind w:firstLine="400"/>
              <w:jc w:val="both"/>
            </w:pPr>
            <w:r>
              <w:rPr>
                <w:rFonts w:ascii="仿宋_GB2312" w:hAnsi="仿宋_GB2312" w:cs="仿宋_GB2312" w:eastAsia="仿宋_GB2312"/>
                <w:sz w:val="20"/>
              </w:rPr>
              <w:t>7.平台具备实时的、全文在线阅读及下载功能，支持阅读全文的同时将文献发送至读者个人中心，不得通过邮箱传递文献。</w:t>
            </w:r>
          </w:p>
          <w:p>
            <w:pPr>
              <w:pStyle w:val="null3"/>
              <w:ind w:firstLine="400"/>
              <w:jc w:val="both"/>
            </w:pPr>
            <w:r>
              <w:rPr>
                <w:rFonts w:ascii="仿宋_GB2312" w:hAnsi="仿宋_GB2312" w:cs="仿宋_GB2312" w:eastAsia="仿宋_GB2312"/>
                <w:sz w:val="20"/>
              </w:rPr>
              <w:t>8.提供循证医学检索功能，具备专业检索及导航检索条件。</w:t>
            </w:r>
          </w:p>
          <w:p>
            <w:pPr>
              <w:pStyle w:val="null3"/>
              <w:ind w:firstLine="400"/>
              <w:jc w:val="both"/>
            </w:pPr>
            <w:r>
              <w:rPr>
                <w:rFonts w:ascii="仿宋_GB2312" w:hAnsi="仿宋_GB2312" w:cs="仿宋_GB2312" w:eastAsia="仿宋_GB2312"/>
                <w:sz w:val="20"/>
              </w:rPr>
              <w:t>9.英文投稿，可按中科院大小类分区进行投稿分析。期刊比对，提供最多五种期刊的信息对比,对比项包括基本信息,历年发文数据,历年文献被引量数据,研究漂移,新词发现,研究热点,核心作者,合作大学,方便选择合适的外文期刊。</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中英文翻译</w:t>
            </w:r>
            <w:r>
              <w:rPr>
                <w:rFonts w:ascii="仿宋_GB2312" w:hAnsi="仿宋_GB2312" w:cs="仿宋_GB2312" w:eastAsia="仿宋_GB2312"/>
                <w:sz w:val="20"/>
              </w:rPr>
              <w:t>支持</w:t>
            </w:r>
            <w:r>
              <w:rPr>
                <w:rFonts w:ascii="仿宋_GB2312" w:hAnsi="仿宋_GB2312" w:cs="仿宋_GB2312" w:eastAsia="仿宋_GB2312"/>
                <w:sz w:val="20"/>
              </w:rPr>
              <w:t>PDF格式文献全文翻译，包括平台内部文献以及外部文献翻译。</w:t>
            </w:r>
          </w:p>
          <w:p>
            <w:pPr>
              <w:pStyle w:val="null3"/>
              <w:ind w:firstLine="400"/>
              <w:jc w:val="both"/>
            </w:pPr>
            <w:r>
              <w:rPr>
                <w:rFonts w:ascii="仿宋_GB2312" w:hAnsi="仿宋_GB2312" w:cs="仿宋_GB2312" w:eastAsia="仿宋_GB2312"/>
                <w:sz w:val="20"/>
              </w:rPr>
              <w:t>11.提供外文专利，包含全文、图表、原始PDF版本、引文等信息。</w:t>
            </w:r>
          </w:p>
          <w:p>
            <w:pPr>
              <w:pStyle w:val="null3"/>
              <w:ind w:firstLine="400"/>
              <w:jc w:val="both"/>
            </w:pPr>
            <w:r>
              <w:rPr>
                <w:rFonts w:ascii="仿宋_GB2312" w:hAnsi="仿宋_GB2312" w:cs="仿宋_GB2312" w:eastAsia="仿宋_GB2312"/>
                <w:sz w:val="20"/>
              </w:rPr>
              <w:t>12.依托互联网搭建电脑及手机APP端的智慧云图书馆门户平台，形成集文献检索、服务指南、通知公告、信息编译、科技快报、后台管理等为一体的外文文献系列数据库服务平台。</w:t>
            </w:r>
          </w:p>
          <w:p>
            <w:pPr>
              <w:pStyle w:val="null3"/>
              <w:ind w:firstLine="400"/>
              <w:jc w:val="both"/>
            </w:pPr>
            <w:r>
              <w:rPr>
                <w:rFonts w:ascii="仿宋_GB2312" w:hAnsi="仿宋_GB2312" w:cs="仿宋_GB2312" w:eastAsia="仿宋_GB2312"/>
                <w:sz w:val="20"/>
              </w:rPr>
              <w:t>13.移动端应满足医院各类英文水平的读者使用，包含但不限于实现手机APP端特色建设，至少包含按学科快速查找“一区论文”模块、中外指南共识查阅模块、中英文对照翻译及语音朗读功能等。</w:t>
            </w:r>
          </w:p>
          <w:p>
            <w:pPr>
              <w:pStyle w:val="null3"/>
              <w:ind w:firstLine="400"/>
              <w:jc w:val="both"/>
            </w:pPr>
            <w:r>
              <w:rPr>
                <w:rFonts w:ascii="仿宋_GB2312" w:hAnsi="仿宋_GB2312" w:cs="仿宋_GB2312" w:eastAsia="仿宋_GB2312"/>
                <w:sz w:val="20"/>
              </w:rPr>
              <w:t>14.平台需提供后台管理功能，可实现医院对该平台访问量的统计；支持机构管理员添加或编辑本单位医生学生，查询统计本单位读者注册及外文申请情况。</w:t>
            </w:r>
          </w:p>
          <w:p>
            <w:pPr>
              <w:pStyle w:val="null3"/>
              <w:ind w:firstLine="400"/>
              <w:jc w:val="both"/>
            </w:pPr>
            <w:r>
              <w:rPr>
                <w:rFonts w:ascii="仿宋_GB2312" w:hAnsi="仿宋_GB2312" w:cs="仿宋_GB2312" w:eastAsia="仿宋_GB2312"/>
                <w:sz w:val="20"/>
              </w:rPr>
              <w:t>15.中文医学文献数据库包括中华医学会期刊、医学知识库。</w:t>
            </w:r>
          </w:p>
          <w:p>
            <w:pPr>
              <w:pStyle w:val="null3"/>
              <w:ind w:firstLine="400"/>
              <w:jc w:val="both"/>
            </w:pPr>
            <w:r>
              <w:rPr>
                <w:rFonts w:ascii="仿宋_GB2312" w:hAnsi="仿宋_GB2312" w:cs="仿宋_GB2312" w:eastAsia="仿宋_GB2312"/>
                <w:sz w:val="20"/>
              </w:rPr>
              <w:t>16.内容包括最新权威临床指南类文献、经过同行评议的经典和疑难病例文献、危急重症学文献、内外妇儿临床文献、临床药学文献等内容。</w:t>
            </w:r>
          </w:p>
          <w:p>
            <w:pPr>
              <w:pStyle w:val="null3"/>
              <w:ind w:firstLine="400"/>
              <w:jc w:val="both"/>
            </w:pPr>
            <w:r>
              <w:rPr>
                <w:rFonts w:ascii="仿宋_GB2312" w:hAnsi="仿宋_GB2312" w:cs="仿宋_GB2312" w:eastAsia="仿宋_GB2312"/>
                <w:sz w:val="20"/>
              </w:rPr>
              <w:t>17.能够提供中华医学会期刊200种，需读者实名注册使用。</w:t>
            </w:r>
          </w:p>
          <w:p>
            <w:pPr>
              <w:pStyle w:val="null3"/>
              <w:ind w:firstLine="400"/>
              <w:jc w:val="both"/>
            </w:pPr>
            <w:r>
              <w:rPr>
                <w:rFonts w:ascii="仿宋_GB2312" w:hAnsi="仿宋_GB2312" w:cs="仿宋_GB2312" w:eastAsia="仿宋_GB2312"/>
                <w:sz w:val="20"/>
              </w:rPr>
              <w:t>18.使用模式支持电脑端及手机APP端使用，所有期刊文献均可提供全文PDF下载以及在线全文HTML 阅读支持。</w:t>
            </w:r>
          </w:p>
          <w:p>
            <w:pPr>
              <w:pStyle w:val="null3"/>
              <w:ind w:firstLine="400"/>
              <w:jc w:val="both"/>
            </w:pPr>
            <w:r>
              <w:rPr>
                <w:rFonts w:ascii="仿宋_GB2312" w:hAnsi="仿宋_GB2312" w:cs="仿宋_GB2312" w:eastAsia="仿宋_GB2312"/>
                <w:sz w:val="20"/>
              </w:rPr>
              <w:t>19.检索功能需支持主题、关键词、作者、作者单位以及高级检索等检索条件，可实现文献全文实时下载。</w:t>
            </w:r>
          </w:p>
          <w:p>
            <w:pPr>
              <w:pStyle w:val="null3"/>
              <w:ind w:firstLine="400"/>
              <w:jc w:val="both"/>
            </w:pPr>
            <w:r>
              <w:rPr>
                <w:rFonts w:ascii="仿宋_GB2312" w:hAnsi="仿宋_GB2312" w:cs="仿宋_GB2312" w:eastAsia="仿宋_GB2312"/>
                <w:sz w:val="20"/>
              </w:rPr>
              <w:t>20.医学知识库内容：需包括精选指南库、视频库、科研与写作库、病例实战、全科教育库等内容模块，有视频，PDF等多种文件格式内容。</w:t>
            </w:r>
          </w:p>
          <w:p>
            <w:pPr>
              <w:pStyle w:val="null3"/>
              <w:ind w:firstLine="400"/>
              <w:jc w:val="both"/>
            </w:pPr>
            <w:r>
              <w:rPr>
                <w:rFonts w:ascii="仿宋_GB2312" w:hAnsi="仿宋_GB2312" w:cs="仿宋_GB2312" w:eastAsia="仿宋_GB2312"/>
                <w:sz w:val="20"/>
              </w:rPr>
              <w:t>21.涵盖近年中华医学会大部分线下会议内容，包含内科、外科、妇产科等多个临床学科及亚专业。</w:t>
            </w:r>
          </w:p>
          <w:p>
            <w:pPr>
              <w:pStyle w:val="null3"/>
              <w:ind w:firstLine="400"/>
              <w:jc w:val="both"/>
            </w:pPr>
            <w:r>
              <w:rPr>
                <w:rFonts w:ascii="仿宋_GB2312" w:hAnsi="仿宋_GB2312" w:cs="仿宋_GB2312" w:eastAsia="仿宋_GB2312"/>
                <w:sz w:val="20"/>
              </w:rPr>
              <w:t>22.病例实战包含近年来资深专家录制指南解读、精讲术式、疾病诊疗等优质视频，并由专业医学团队进行分类整理。所有视频经专业团队标引，按学科进行分类，检索便捷。</w:t>
            </w:r>
          </w:p>
          <w:p>
            <w:pPr>
              <w:pStyle w:val="null3"/>
              <w:ind w:firstLine="442"/>
              <w:jc w:val="both"/>
            </w:pPr>
            <w:r>
              <w:rPr>
                <w:rFonts w:ascii="仿宋_GB2312" w:hAnsi="仿宋_GB2312" w:cs="仿宋_GB2312" w:eastAsia="仿宋_GB2312"/>
                <w:sz w:val="22"/>
                <w:b/>
              </w:rPr>
              <w:t>四、服务要求（如对人员配置、专业设备、服务标准等）</w:t>
            </w:r>
          </w:p>
          <w:p>
            <w:pPr>
              <w:pStyle w:val="null3"/>
              <w:ind w:firstLine="400"/>
              <w:jc w:val="both"/>
            </w:pPr>
            <w:r>
              <w:rPr>
                <w:rFonts w:ascii="仿宋_GB2312" w:hAnsi="仿宋_GB2312" w:cs="仿宋_GB2312" w:eastAsia="仿宋_GB2312"/>
                <w:sz w:val="20"/>
              </w:rPr>
              <w:t>具体服务内容应包括：</w:t>
            </w:r>
          </w:p>
          <w:p>
            <w:pPr>
              <w:pStyle w:val="null3"/>
              <w:ind w:firstLine="400"/>
              <w:jc w:val="both"/>
            </w:pPr>
            <w:r>
              <w:rPr>
                <w:rFonts w:ascii="仿宋_GB2312" w:hAnsi="仿宋_GB2312" w:cs="仿宋_GB2312" w:eastAsia="仿宋_GB2312"/>
                <w:sz w:val="20"/>
              </w:rPr>
              <w:t>1.服务方式为云租用,满足全院职工和学生注册个人账号，不限制使用人数,</w:t>
            </w:r>
          </w:p>
          <w:p>
            <w:pPr>
              <w:pStyle w:val="null3"/>
              <w:ind w:firstLine="400"/>
              <w:jc w:val="both"/>
            </w:pPr>
            <w:r>
              <w:rPr>
                <w:rFonts w:ascii="仿宋_GB2312" w:hAnsi="仿宋_GB2312" w:cs="仿宋_GB2312" w:eastAsia="仿宋_GB2312"/>
                <w:sz w:val="20"/>
              </w:rPr>
              <w:t>提前沟通产品账号及管理员权限的开通时间和培训时间等</w:t>
            </w:r>
            <w:r>
              <w:rPr>
                <w:rFonts w:ascii="仿宋_GB2312" w:hAnsi="仿宋_GB2312" w:cs="仿宋_GB2312" w:eastAsia="仿宋_GB2312"/>
                <w:sz w:val="20"/>
              </w:rPr>
              <w:t>工作。</w:t>
            </w:r>
          </w:p>
          <w:p>
            <w:pPr>
              <w:pStyle w:val="null3"/>
              <w:ind w:firstLine="400"/>
              <w:jc w:val="both"/>
            </w:pPr>
            <w:r>
              <w:rPr>
                <w:rFonts w:ascii="仿宋_GB2312" w:hAnsi="仿宋_GB2312" w:cs="仿宋_GB2312" w:eastAsia="仿宋_GB2312"/>
                <w:sz w:val="20"/>
              </w:rPr>
              <w:t>2.培训服务</w:t>
            </w:r>
          </w:p>
          <w:p>
            <w:pPr>
              <w:pStyle w:val="null3"/>
              <w:ind w:firstLine="400"/>
              <w:jc w:val="both"/>
            </w:pPr>
            <w:r>
              <w:rPr>
                <w:rFonts w:ascii="仿宋_GB2312" w:hAnsi="仿宋_GB2312" w:cs="仿宋_GB2312" w:eastAsia="仿宋_GB2312"/>
                <w:sz w:val="20"/>
              </w:rPr>
              <w:t>对项目使用科室的管理人员进行系统维护培训。</w:t>
            </w:r>
          </w:p>
          <w:p>
            <w:pPr>
              <w:pStyle w:val="null3"/>
              <w:ind w:firstLine="400"/>
              <w:jc w:val="both"/>
            </w:pPr>
            <w:r>
              <w:rPr>
                <w:rFonts w:ascii="仿宋_GB2312" w:hAnsi="仿宋_GB2312" w:cs="仿宋_GB2312" w:eastAsia="仿宋_GB2312"/>
                <w:sz w:val="20"/>
              </w:rPr>
              <w:t>协助使用部门为全院职工提供使用方法培训，确保使用人数和使用效果达到最佳。</w:t>
            </w:r>
          </w:p>
          <w:p>
            <w:pPr>
              <w:pStyle w:val="null3"/>
              <w:ind w:firstLine="400"/>
              <w:jc w:val="both"/>
            </w:pPr>
            <w:r>
              <w:rPr>
                <w:rFonts w:ascii="仿宋_GB2312" w:hAnsi="仿宋_GB2312" w:cs="仿宋_GB2312" w:eastAsia="仿宋_GB2312"/>
                <w:sz w:val="20"/>
              </w:rPr>
              <w:t>3.售后服务</w:t>
            </w:r>
          </w:p>
          <w:p>
            <w:pPr>
              <w:pStyle w:val="null3"/>
              <w:ind w:firstLine="400"/>
              <w:jc w:val="both"/>
            </w:pPr>
            <w:r>
              <w:rPr>
                <w:rFonts w:ascii="仿宋_GB2312" w:hAnsi="仿宋_GB2312" w:cs="仿宋_GB2312" w:eastAsia="仿宋_GB2312"/>
                <w:sz w:val="20"/>
              </w:rPr>
              <w:t>合同期内提供对本项目内容的日常问题处理维护服务，保障平台运行稳定，发现质量问题（不能使用平台系统或不能完全使用平台系统），接到甲方通知后，</w:t>
            </w:r>
            <w:r>
              <w:rPr>
                <w:rFonts w:ascii="仿宋_GB2312" w:hAnsi="仿宋_GB2312" w:cs="仿宋_GB2312" w:eastAsia="仿宋_GB2312"/>
                <w:sz w:val="20"/>
              </w:rPr>
              <w:t>4小时内给予响应，并派出合格的人员到达现场进行技术服务。</w:t>
            </w:r>
          </w:p>
          <w:p>
            <w:pPr>
              <w:pStyle w:val="null3"/>
              <w:ind w:firstLine="442"/>
              <w:jc w:val="both"/>
            </w:pPr>
            <w:r>
              <w:rPr>
                <w:rFonts w:ascii="仿宋_GB2312" w:hAnsi="仿宋_GB2312" w:cs="仿宋_GB2312" w:eastAsia="仿宋_GB2312"/>
                <w:sz w:val="22"/>
                <w:b/>
              </w:rPr>
              <w:t>五、商务要求（如服务期限、款项结算等）</w:t>
            </w:r>
          </w:p>
          <w:p>
            <w:pPr>
              <w:pStyle w:val="null3"/>
              <w:ind w:firstLine="400"/>
              <w:jc w:val="both"/>
            </w:pPr>
            <w:r>
              <w:rPr>
                <w:rFonts w:ascii="仿宋_GB2312" w:hAnsi="仿宋_GB2312" w:cs="仿宋_GB2312" w:eastAsia="仿宋_GB2312"/>
                <w:sz w:val="20"/>
              </w:rPr>
              <w:t>（一）服务期限</w:t>
            </w:r>
          </w:p>
          <w:p>
            <w:pPr>
              <w:pStyle w:val="null3"/>
              <w:ind w:firstLine="400"/>
              <w:jc w:val="both"/>
            </w:pPr>
            <w:r>
              <w:rPr>
                <w:rFonts w:ascii="仿宋_GB2312" w:hAnsi="仿宋_GB2312" w:cs="仿宋_GB2312" w:eastAsia="仿宋_GB2312"/>
                <w:sz w:val="20"/>
              </w:rPr>
              <w:t>自合同签订之日起两年（合同一年度一签）。</w:t>
            </w:r>
          </w:p>
          <w:p>
            <w:pPr>
              <w:pStyle w:val="null3"/>
              <w:ind w:firstLine="400"/>
              <w:jc w:val="both"/>
            </w:pPr>
            <w:r>
              <w:rPr>
                <w:rFonts w:ascii="仿宋_GB2312" w:hAnsi="仿宋_GB2312" w:cs="仿宋_GB2312" w:eastAsia="仿宋_GB2312"/>
                <w:sz w:val="20"/>
              </w:rPr>
              <w:t>（二）款项结算</w:t>
            </w:r>
          </w:p>
          <w:p>
            <w:pPr>
              <w:pStyle w:val="null3"/>
              <w:ind w:firstLine="400"/>
              <w:jc w:val="both"/>
            </w:pPr>
            <w:r>
              <w:rPr>
                <w:rFonts w:ascii="仿宋_GB2312" w:hAnsi="仿宋_GB2312" w:cs="仿宋_GB2312" w:eastAsia="仿宋_GB2312"/>
                <w:sz w:val="20"/>
              </w:rPr>
              <w:t>合同签订并经甲方确认账号可正常使用后的</w:t>
            </w:r>
            <w:r>
              <w:rPr>
                <w:rFonts w:ascii="仿宋_GB2312" w:hAnsi="仿宋_GB2312" w:cs="仿宋_GB2312" w:eastAsia="仿宋_GB2312"/>
                <w:sz w:val="20"/>
              </w:rPr>
              <w:t>5个工作日内，乙方为甲方开具正式发票，甲方在30日内通过银行转账方式支付当年度合同价款的90%，服务期满后，一次性支付当年剩余10%合同价款。第一年服务期满且双方无异议的，续签第二年服务合同，第二年合同价款及支付方式参照第一年度执行。</w:t>
            </w:r>
          </w:p>
          <w:p>
            <w:pPr>
              <w:pStyle w:val="null3"/>
              <w:ind w:firstLine="442"/>
              <w:jc w:val="both"/>
            </w:pPr>
            <w:r>
              <w:rPr>
                <w:rFonts w:ascii="仿宋_GB2312" w:hAnsi="仿宋_GB2312" w:cs="仿宋_GB2312" w:eastAsia="仿宋_GB2312"/>
                <w:sz w:val="22"/>
                <w:b/>
              </w:rPr>
              <w:t>六、其他（如有要求，请写明）</w:t>
            </w:r>
          </w:p>
          <w:p>
            <w:pPr>
              <w:pStyle w:val="null3"/>
              <w:ind w:firstLine="400"/>
              <w:jc w:val="both"/>
            </w:pPr>
            <w:r>
              <w:rPr>
                <w:rFonts w:ascii="仿宋_GB2312" w:hAnsi="仿宋_GB2312" w:cs="仿宋_GB2312" w:eastAsia="仿宋_GB2312"/>
                <w:sz w:val="20"/>
              </w:rPr>
              <w:t>（一）进度要求</w:t>
            </w:r>
          </w:p>
          <w:p>
            <w:pPr>
              <w:pStyle w:val="null3"/>
              <w:ind w:firstLine="400"/>
              <w:jc w:val="both"/>
            </w:pPr>
            <w:r>
              <w:rPr>
                <w:rFonts w:ascii="仿宋_GB2312" w:hAnsi="仿宋_GB2312" w:cs="仿宋_GB2312" w:eastAsia="仿宋_GB2312"/>
                <w:sz w:val="20"/>
              </w:rPr>
              <w:t>交付工期：</w:t>
            </w:r>
            <w:r>
              <w:rPr>
                <w:rFonts w:ascii="仿宋_GB2312" w:hAnsi="仿宋_GB2312" w:cs="仿宋_GB2312" w:eastAsia="仿宋_GB2312"/>
                <w:sz w:val="20"/>
              </w:rPr>
              <w:t>5个工作日</w:t>
            </w:r>
          </w:p>
          <w:p>
            <w:pPr>
              <w:pStyle w:val="null3"/>
              <w:ind w:firstLine="400"/>
              <w:jc w:val="both"/>
            </w:pPr>
            <w:r>
              <w:rPr>
                <w:rFonts w:ascii="仿宋_GB2312" w:hAnsi="仿宋_GB2312" w:cs="仿宋_GB2312" w:eastAsia="仿宋_GB2312"/>
                <w:sz w:val="20"/>
              </w:rPr>
              <w:t>（二）成果交付要求</w:t>
            </w:r>
          </w:p>
          <w:p>
            <w:pPr>
              <w:pStyle w:val="null3"/>
              <w:ind w:firstLine="400"/>
              <w:jc w:val="both"/>
            </w:pPr>
            <w:r>
              <w:rPr>
                <w:rFonts w:ascii="仿宋_GB2312" w:hAnsi="仿宋_GB2312" w:cs="仿宋_GB2312" w:eastAsia="仿宋_GB2312"/>
                <w:sz w:val="20"/>
              </w:rPr>
              <w:t>所提供账号均可正常使用且开通相应权限。</w:t>
            </w:r>
          </w:p>
          <w:p>
            <w:pPr>
              <w:pStyle w:val="null3"/>
              <w:ind w:firstLine="400"/>
              <w:jc w:val="both"/>
            </w:pPr>
            <w:r>
              <w:rPr>
                <w:rFonts w:ascii="仿宋_GB2312" w:hAnsi="仿宋_GB2312" w:cs="仿宋_GB2312" w:eastAsia="仿宋_GB2312"/>
                <w:sz w:val="20"/>
              </w:rPr>
              <w:t>（三）质量验收标准或规范</w:t>
            </w:r>
          </w:p>
          <w:p>
            <w:pPr>
              <w:pStyle w:val="null3"/>
              <w:ind w:firstLine="400"/>
              <w:jc w:val="both"/>
            </w:pPr>
            <w:r>
              <w:rPr>
                <w:rFonts w:ascii="仿宋_GB2312" w:hAnsi="仿宋_GB2312" w:cs="仿宋_GB2312" w:eastAsia="仿宋_GB2312"/>
                <w:sz w:val="20"/>
              </w:rPr>
              <w:t>平台运行稳定，内容无误，功能与要求一致。</w:t>
            </w:r>
          </w:p>
          <w:p>
            <w:pPr>
              <w:pStyle w:val="null3"/>
              <w:ind w:firstLine="400"/>
              <w:jc w:val="both"/>
            </w:pPr>
            <w:r>
              <w:rPr>
                <w:rFonts w:ascii="仿宋_GB2312" w:hAnsi="仿宋_GB2312" w:cs="仿宋_GB2312" w:eastAsia="仿宋_GB2312"/>
                <w:sz w:val="20"/>
              </w:rPr>
              <w:t>（四）违约责任</w:t>
            </w:r>
          </w:p>
          <w:p>
            <w:pPr>
              <w:pStyle w:val="null3"/>
            </w:pPr>
            <w:r>
              <w:rPr>
                <w:rFonts w:ascii="仿宋_GB2312" w:hAnsi="仿宋_GB2312" w:cs="仿宋_GB2312" w:eastAsia="仿宋_GB2312"/>
                <w:sz w:val="20"/>
              </w:rPr>
              <w:t>乙方逾期完成服务，每逾期一日，应支付甲方合同总额</w:t>
            </w:r>
            <w:r>
              <w:rPr>
                <w:rFonts w:ascii="仿宋_GB2312" w:hAnsi="仿宋_GB2312" w:cs="仿宋_GB2312" w:eastAsia="仿宋_GB2312"/>
                <w:sz w:val="20"/>
              </w:rPr>
              <w:t>2‰（千分之二）的违约金，违约金总额不超过合同总额的5%（百分之五）。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根据竞争性磋商文件采购需求及合同规定执行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满足竞争性磋商文件和采购人规范标准要求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自合同签订之日起两年（合同一年度一签）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符合考核（验收）行业标准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预付款，合同签订并经甲方确认账号可正常使用后的5个工作日内，乙方为甲方开具正式发票，达到付款条件起30个工作日内，支付合同总金额的90.0%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乙方逾期完成服务，每逾期一日，应支付甲方合同总额2‰（千分之二）的违约金，违约金总额不超过合同总额的5%（百分之五）。 合同在履行过程如发生争议，由双方协商解决。协商不成，可向招标方所在地的人民法院起诉解决。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（一）进度要求 交付工期：5个工作日 （二）成果交付要求 所提供账号均可正常使用且开通相应权限。 （三）质量验收标准或规范 平台运行稳定，内容无误，功能与要求一致。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1、具有独立承担民事责任的能力：提供注册登记凭证（营业执照、其他组织经营的合法凭证，自然人的提供身份证明文件）； 2、具有良好的商业信誉和健全的财务会计制度：提供2025年度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 3、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 4、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 5、声明：提供具有履行合同所必需的设备和专业技术能力的声明； 6、书面声明：参加政府采购活动前3年内，在经营活动中没有重大违法记录的书面声明; 7、法定代表人授权书/法定代表人身份证明：投标人应授权合法的人员参加投标，其中法定代表人直接参加的须出具法定代表人身份证复印件并与营业执照上信息一致，法定代表人授权代表参加的须出具法定代表人授权书及被授权人本单位证明 (近三个月内任意一个月社保缴纳证明) ； 8、信用记录：供应商不得为“信用中国”网站（www.creditchina.gov.cn）列入失信被执行人、重大税收违法失信主体、政府采购严重违法失信行为记录名单的供应商，不得为“中国政府采购网”（www.ccgp.gov.cn）政府采购严重违法失信行为记录名单中的供应商； 9、承诺书 ：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提供承诺书）； 10、供应商应澄清其公司非采购人及项目代理机构员工和亲属投资开办的公司，其法人、股东、高级管理人员非采购人单位员工及亲属。采购人、代理机构和投标人之间无相互兼职的情形（提供承诺书）； 11、无知识产权诉讼纠纷承诺书； 12、承诺书：违规违纪被列入市卫健系统或我院“黑名单”的供应商，在规定的期限内不得参与我院项目的投标（响应）。 13、联合体：本项目不接受联合体磋商(提供非联合体承诺书）。</w:t>
            </w:r>
          </w:p>
        </w:tc>
        <w:tc>
          <w:tcPr>
            <w:tcW w:type="dxa" w:w="1661"/>
          </w:tcPr>
          <w:p>
            <w:pPr>
              <w:pStyle w:val="null3"/>
            </w:pPr>
            <w:r>
              <w:rPr>
                <w:rFonts w:ascii="仿宋_GB2312" w:hAnsi="仿宋_GB2312" w:cs="仿宋_GB2312" w:eastAsia="仿宋_GB2312"/>
              </w:rPr>
              <w:t>响应文件封面 供应商廉洁自律承诺书.docx 中小企业声明函 残疾人福利性单位声明函 拒绝政府采购领域商业贿赂承诺书.docx 供应商应提交的相关资格证明材料 供应商资格证明文件.docx 响应函 监狱企业的证明文件 供应商关联承诺书.docx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1、提供的资格证明文件是否符合国家法律法规和磋商文件的要求，并且齐全、真实、有效； 2、投标文件是否按照磋商文件要求的格式编写； 3、投标内容是否有重大缺漏项； 4、投标报价是否具有唯一性； 5、投标文件的签署、加盖印章是否合格、有效； 6、投标报价是否未超过采购预算； 7、投标文件是否响应了磋商文件规定的其他实质性条款、条件和规格要求，并且提供了支持文件，没有重大偏离。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供应商廉洁自律承诺书.docx 残疾人福利性单位声明函 拒绝政府采购领域商业贿赂承诺书.docx 标的清单 供应商资格证明文件.docx 响应函 监狱企业的证明文件 供应商关联承诺书.docx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采购文件第三章3.2.2服务要求技术参数与性能指标中服务内容、技术要求、服务要求等共有28小项技术参数，在技术（服务）要求响应偏离表中逐条进行明确响应。若须提供证明材料才可证明其真实性的应当提供相关证明材料。参数要求共有28小项，满分28分，每出现一项负偏离扣1分，扣完为止。 备注： 1、证明材料要求：服务内容、技术要求提供不限于官网截图或用户使用说明书或技术规格书或产品彩页或加盖供应商公章的白皮书或技术规格书；服务要求提供不限于承诺函等。 2、未按要求提供证明材料视为负偏离。注：投标人需对所提供内容的真实性负责。如有虚假，将依法承担相应责任。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一、评审标准 针对本项目提供详细的技术方案，包括但不限于：①对本项目工作内容的理解，特点分析及计划目标；②针对本项目的中外文医学文献临床、科研与教学知识库接入方案；③提供中外文医学文献临床顾问知识库扩充、升级、更新方案；④针对本项目的维修巡检服务方案。 二、赋分标准（满分12分）共4项内容，每项内容满分3分。上述四项“评审标准”内容中：每一项方案内容完全响应采购需求，且符合实际情况、方案详实，有针对性和可操作性，适用于本项目得3分；方案内容较完善，满足项目需求，内容较科学有效得2分；方案内容粗略，无明显针对性的得1分；未提供响应方案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一、评审标准 针对本项目提供实施方案，方案内容包含但不限于：①项目进度安排及资源配置计划；②提供安装调试方案；③项目管理与风险控制方案；④突发事件应急处置方案。 二、赋分标准（满分8分）共4项内容，每项内容满分2分。上述三项“评审标准”内容中：每一项方案内容完全响应采购需求，且符合实际情况、设计详实，有针对性和可操作性，适用于本项目的，得2分；方案内容粗略，无明显针对性的得1分； 未提供响应方案内容得0分。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一、评审标准 针对本项目提供详细的服务保障，包括但不限于：①针对本项目的质量保障承诺；②项目交付使用后的质量保证期限、质量保证范围、响应速度及措施等；③知识库产品供应渠道正常、质量保证、检验手续合法有效、无产权纠纷。 二、赋分标准（满分6分）共3项内容，每项内容满分2分。上述三项“评审标准”内容中：每一项方案内容完全响应采购需求，且符合实际情况、设计详实，有针对性和可操作性，适用于本项目的，得2分；方案内容基本合理，涵盖上述维度，基本满足医院需求的得1分；未提供响应方案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一、评审标准 针对本项目提供详细的培训方案，包括但不限于：①具有针对本项目培训的组织能力。不限于培训计划安排、人员配备等；②具有针对本项目明确的培训内容，内容涉及面广泛，覆盖全部系统相关操作人员及责任工程师。③具有针对本项目的培训技术资料，资料齐全。 二、赋分标准（满分6分）共3项内容，每项内容满分2分。上述三项“评审标准”内容中： 每一项方案内容完全响应采购需求，且符合实际情况、设计详实，有针对性和可操作性，适用于本项目的，得2分；方案内容基本合理，涵盖上述维度，基本满足医院需求的得1分；未提供响应方案内容得0分。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一、评审标准 针对本项目提供详细的售后服务方案，包括但不限于：①针对本项目的售后服务方案及承诺；②具有建全的售后服务机构、配备专职售后人员； 二、赋分标准（满分4分）共2项内容，每项内容满分2分。上述两项“评审标准”内容中：每一项方案内容完全响应采购需求，且符合实际情况、设计详实，有针对性和可操作性，适用于本项目的，得2分；方案内容粗略，无明显针对性的得1分；未提供响应方案内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售后服务能力.docx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一、评审标准 供应商提供针对本项目的保密方案，内容包括:①保密管理制度；②针对本项目的保密措施。 二、赋分标准（满分4分）共2项内容，每项内容满分2分。上述两项“评审标准”内容中：每一项方案内容完全响应采购需求，且符合实际情况、设计详实，有针对性和可操作性，适用于本项目的，得2分；方案内容粗略，无明显针对性的得1分；未提供响应方案内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有针对本项目的专业项目团队，人员配备数量充足，人员组织结构合理，有明确的岗位职责； 评审标准：各专业配置齐全，适用于本项目的，得3分；专业配置较完善，满足项目实施需求，得2分；专业配置较合理，基本满足医院需求的，得1分；未提供内容，得0分。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项目团队中数据库编辑人员或质控部门人员具有医药学相关专业硕士或以上学位的，每提供1人得1分，最多得6分。须附有效的学位证书及近三个月社保证明复印件，未提供或提供不全得0分。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供应商提供2023年1月1日至今（以合同签订时间为准）的同类业绩证明文件，提供加盖供应商公章的完整的合同复印件或扫描件，每一份提供得2分，满分8分。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1.满足磋商文件实质性要求且最后报价最低的供应商价格为投标基准价，其价格分为满分15分。 2.投标报价得分=（投标基准价/投标报价）×15。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详见附件：售后服务能力.docx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详见附件：中外文医学文献数据库服务合同(1).docx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