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版本号：ZCLH-202606720260717001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留坝中学厕所维修改造项目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ZCLH-2026067</w:t>
      </w:r>
      <w:r>
        <w:br/>
      </w:r>
      <w:r>
        <w:br/>
      </w:r>
      <w:r>
        <w:br/>
      </w:r>
    </w:p>
    <w:p>
      <w:pPr>
        <w:pStyle w:val="null3"/>
        <w:jc w:val="center"/>
        <w:outlineLvl w:val="2"/>
      </w:pPr>
      <w:r>
        <w:rPr>
          <w:rFonts w:ascii="仿宋_GB2312" w:hAnsi="仿宋_GB2312" w:cs="仿宋_GB2312" w:eastAsia="仿宋_GB2312"/>
          <w:sz w:val="28"/>
          <w:b/>
        </w:rPr>
        <w:t>留坝县中学</w:t>
      </w:r>
    </w:p>
    <w:p>
      <w:pPr>
        <w:pStyle w:val="null3"/>
        <w:jc w:val="center"/>
        <w:outlineLvl w:val="2"/>
      </w:pPr>
      <w:r>
        <w:rPr>
          <w:rFonts w:ascii="仿宋_GB2312" w:hAnsi="仿宋_GB2312" w:cs="仿宋_GB2312" w:eastAsia="仿宋_GB2312"/>
          <w:sz w:val="28"/>
          <w:b/>
        </w:rPr>
        <w:t>力华项目管理有限公司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力华项目管理有限公司</w:t>
      </w:r>
      <w:r>
        <w:rPr>
          <w:rFonts w:ascii="仿宋_GB2312" w:hAnsi="仿宋_GB2312" w:cs="仿宋_GB2312" w:eastAsia="仿宋_GB2312"/>
        </w:rPr>
        <w:t>（以下简称“代理机构”）受</w:t>
      </w:r>
      <w:r>
        <w:rPr>
          <w:rFonts w:ascii="仿宋_GB2312" w:hAnsi="仿宋_GB2312" w:cs="仿宋_GB2312" w:eastAsia="仿宋_GB2312"/>
        </w:rPr>
        <w:t>留坝县中学</w:t>
      </w:r>
      <w:r>
        <w:rPr>
          <w:rFonts w:ascii="仿宋_GB2312" w:hAnsi="仿宋_GB2312" w:cs="仿宋_GB2312" w:eastAsia="仿宋_GB2312"/>
        </w:rPr>
        <w:t>委托，拟对</w:t>
      </w:r>
      <w:r>
        <w:rPr>
          <w:rFonts w:ascii="仿宋_GB2312" w:hAnsi="仿宋_GB2312" w:cs="仿宋_GB2312" w:eastAsia="仿宋_GB2312"/>
        </w:rPr>
        <w:t>留坝中学厕所维修改造项目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ZCLH-2026067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留坝中学厕所维修改造项目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留坝县中学厕所维修改造。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采购包1（厕所维修改造）：属于专门面向中小企业采购。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0916-3921984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力华项目管理有限公司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成都市青羊区西货站路6号南塔7层703号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610091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15129692629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开户名称：力华项目管理有限公司汉中分公司</w:t>
            </w:r>
          </w:p>
          <w:p>
            <w:pPr>
              <w:pStyle w:val="null3"/>
            </w:pPr>
            <w:r>
              <w:rPr>
                <w:rFonts w:ascii="仿宋_GB2312" w:hAnsi="仿宋_GB2312" w:cs="仿宋_GB2312" w:eastAsia="仿宋_GB2312"/>
              </w:rPr>
              <w:t>开户银行：中国银行股份有限公司汉中椰岛广场支行</w:t>
            </w:r>
          </w:p>
          <w:p>
            <w:pPr>
              <w:pStyle w:val="null3"/>
            </w:pPr>
            <w:r>
              <w:rPr>
                <w:rFonts w:ascii="仿宋_GB2312" w:hAnsi="仿宋_GB2312" w:cs="仿宋_GB2312" w:eastAsia="仿宋_GB2312"/>
              </w:rPr>
              <w:t>银行账号：1033 0764 0284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开户名称：力华项目管理有限公司汉中分公司 开户银行：中国银行股份有限公司汉中椰岛广场支行 银行账号：1033 0764 0284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留坝县中学</w:t>
      </w:r>
      <w:r>
        <w:rPr>
          <w:rFonts w:ascii="仿宋_GB2312" w:hAnsi="仿宋_GB2312" w:cs="仿宋_GB2312" w:eastAsia="仿宋_GB2312"/>
        </w:rPr>
        <w:t>和</w:t>
      </w:r>
      <w:r>
        <w:rPr>
          <w:rFonts w:ascii="仿宋_GB2312" w:hAnsi="仿宋_GB2312" w:cs="仿宋_GB2312" w:eastAsia="仿宋_GB2312"/>
        </w:rPr>
        <w:t>力华项目管理有限公司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留坝县中学</w:t>
      </w:r>
      <w:r>
        <w:rPr>
          <w:rFonts w:ascii="仿宋_GB2312" w:hAnsi="仿宋_GB2312" w:cs="仿宋_GB2312" w:eastAsia="仿宋_GB2312"/>
        </w:rPr>
        <w:t>负责解释。除上述磋商文件内容，其他内容由</w:t>
      </w:r>
      <w:r>
        <w:rPr>
          <w:rFonts w:ascii="仿宋_GB2312" w:hAnsi="仿宋_GB2312" w:cs="仿宋_GB2312" w:eastAsia="仿宋_GB2312"/>
        </w:rPr>
        <w:t>力华项目管理有限公司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力华项目管理有限公司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联系电话：15129692629</w:t>
      </w:r>
    </w:p>
    <w:p>
      <w:pPr>
        <w:pStyle w:val="null3"/>
      </w:pPr>
      <w:r>
        <w:rPr>
          <w:rFonts w:ascii="仿宋_GB2312" w:hAnsi="仿宋_GB2312" w:cs="仿宋_GB2312" w:eastAsia="仿宋_GB2312"/>
        </w:rPr>
        <w:t>地址：汉中市汉台区竹园天玺办公楼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292,000.00</w:t>
      </w:r>
    </w:p>
    <w:p>
      <w:pPr>
        <w:pStyle w:val="null3"/>
      </w:pPr>
      <w:r>
        <w:rPr>
          <w:rFonts w:ascii="仿宋_GB2312" w:hAnsi="仿宋_GB2312" w:cs="仿宋_GB2312" w:eastAsia="仿宋_GB2312"/>
        </w:rPr>
        <w:t>采购包最高限价（元）: 291,965.86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 3、如竞争性磋商文件中融资相关内容与新政策要求有出入，按照最新要求执行。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 供应商认为需要说明的其他内容.docx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应按照竞争性磋商文件要求签署、盖章</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施工准备；②施工平面布置与安排；③关键工序的施工方法及实施要点；④应急方案；二、评审标准：1.完整性：方案必须全面，对评审内容中的各项要求有详细描述；2.可实施性：切合本项目实际情况，提出步骤清晰、合理的方案；3.针对性：方案能够紧扣项目实际情况，内容科学合理。三、赋分标准（满分12分）： ①施工准备：每完全满足一个评审标准得1分，满分3分；②施工平面布置与安排：每完全满足一个评审标准得1分，满分3分；③关键工序的施工方法及实施要点：每完全满足一个评审标准得1分，满分3分；④应急方案：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 ①进度控制体系；②施工进度计划横道图；③进度计划保证措施； 二、评审标准： 1.完整性：方案必须全面，对评审内容中的各项要求有详细描述； 2.可实施性： 切合本项目实际情况，提出步骤清晰、合理的方案； 3.针对性：方案能够紧扣项目实际情况，内容科学合理。 三、赋分标准（满分9分）：①进度控制体系：每完全满足一个评审标准得1分，满分3分；②施工进度计划横道图：每完全满足一个评审标准得1分，满分3分； ③进度计划保证措施：每完全满足一个评审标准得1分，满分3分；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一、评审内容：供应商针对本项目编制完善的质量保证措施，内容包含但不限于：①工程质量管理体系；②施工质量的检验制度；③质量管理措施。 二、评审标准： 1.完整性：方案必须全面，对评审内容中的各项要求有详细描述； 2.可实施性：切合本项目实际情况，提出步骤清晰、合理的方案； 3.针对性：方案能够紧扣项目实际情况，内容科学合理。 三、赋分标准 （满分9分）：①工程质量管理体系：每完全满足一个评审标准得1分，满分3分；②施工质量的检验制度：每完全满足一个评审标准得1分，满分3分；③质量管理措施：每完全满足一个评审标准得1分，满分3分；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9分）：①劳动力资源配置计划：每完全满足一个评审标准得1分，满分3分；②施工机械设备投入计划：每完全满足一个评审标准得1分，满分3分；③主要施工材料供应计划：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1分，满分3分；②安全施工措施：每完全满足一个评审标准得1分,满分3分；③安全应急预案：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①文明施工管理目标及技术措施；②文明施工现场管理；③环境保护措施。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0.5分，满分1.5分；③环境保护措施：每完全满足一个评审标准得0.5分，满分1.5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确保文明施工的技术措施及环境保护措施.docx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一、评审内容：供应商针对本项目编制完善的项目经理部组织机构，内容包含但不限于：①项目组配备人员的专业素质、人员结构；②项目成员的主要职责及工作内容。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项目经理部组织机构.docx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三、赋分标准（满分6 分）：①维修措施：每完全满足一个评审标准得0.5分，满分1.5分；②保修责任：每完全满足一个评审标准得0.5分，满分1.5分；③保修承诺：每完全满足一个评审标准得1分，满分3分；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供应商具有2023年5月1日至今（以合同签订时间为准）类似项目业绩，以成交通知书或协议书（合同）原件或复印件为准，每提供一个得2分，最高得4分。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详见附件：项目经理部组织机构.docx</w:t>
      </w:r>
    </w:p>
    <w:p>
      <w:pPr>
        <w:pStyle w:val="null3"/>
        <w:ind w:firstLine="960"/>
      </w:pPr>
      <w:r>
        <w:rPr>
          <w:rFonts w:ascii="仿宋_GB2312" w:hAnsi="仿宋_GB2312" w:cs="仿宋_GB2312" w:eastAsia="仿宋_GB2312"/>
        </w:rPr>
        <w:t>详见附件：项目施工方案.docx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