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版本号：SXZH-2026-06820260608002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市政基础资料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SXZH-2026-068</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市政基础资料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SXZH-2026-068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市政基础资料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对现有纸质档案材料（7000件）进行整理、抢救、整改。2.对已整理完毕的7000件（一件约100页）档案进行传统载体档案数字化（加工），实现存量纸质图纸的电子化并录入成品软件系统。3.档案数字化加工后需配备一套国产数字化加工成品系统软件，该软件系统应覆盖市政工程技术档案电子化后“收集、归档、利用”的全生命周期，确保档案数据存储安全可靠。4.档案数字化加工所需的硬件设备包括高拍仪、高速扫描仪、大幅面图纸扫描仪、图形工作站、磁盘列阵、备份硬磁盘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采购包1（市政基础资料）：属于专门面向中小企业采购。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w:t>
      </w:r>
    </w:p>
    <w:p>
      <w:pPr>
        <w:pStyle w:val="null3"/>
      </w:pPr>
      <w:r>
        <w:rPr>
          <w:rFonts w:ascii="仿宋_GB2312" w:hAnsi="仿宋_GB2312" w:cs="仿宋_GB2312" w:eastAsia="仿宋_GB2312"/>
        </w:rPr>
        <w:t>2、财务状况证明：提供2024年度或2025年度的财务审计报告（报告需在注册会计师行业统一监管平台备案赋码）或提交响应文件截止时间六个月内其基本存款账户开户银行出具的资信证明（附开户许可证或开户备案证明或基本账户信息）；</w:t>
      </w:r>
    </w:p>
    <w:p>
      <w:pPr>
        <w:pStyle w:val="null3"/>
      </w:pPr>
      <w:r>
        <w:rPr>
          <w:rFonts w:ascii="仿宋_GB2312" w:hAnsi="仿宋_GB2312" w:cs="仿宋_GB2312" w:eastAsia="仿宋_GB2312"/>
        </w:rPr>
        <w:t>3、税收缴纳证明：提供响应文件截止时间前六个月内任意一个月的纳税证明或完税证明（任意税种），依法免税的单位应提供相关证明材料；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4、社会保障资金缴纳证明：提供响应文件截止时间前六个月内任意一个月的社会保障资金缴存单据或社保机构开具的社会保险参保缴费情况证明，依法不需要缴纳社会保障资金的单位应提供相关证明材料；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6、专业技术能力证明：提供具有履行合同所必需的设备和专业技术能力的承诺（格式自拟）；</w:t>
      </w:r>
    </w:p>
    <w:p>
      <w:pPr>
        <w:pStyle w:val="null3"/>
      </w:pPr>
      <w:r>
        <w:rPr>
          <w:rFonts w:ascii="仿宋_GB2312" w:hAnsi="仿宋_GB2312" w:cs="仿宋_GB2312" w:eastAsia="仿宋_GB2312"/>
        </w:rPr>
        <w:t>7、法定代表人委托授权书：法定代表人授权书（附法定代表人、被授权人身份证复印件；法定代表人直接参加磋商的须出具法定代表人证明书）；</w:t>
      </w:r>
    </w:p>
    <w:p>
      <w:pPr>
        <w:pStyle w:val="null3"/>
      </w:pPr>
      <w:r>
        <w:rPr>
          <w:rFonts w:ascii="仿宋_GB2312" w:hAnsi="仿宋_GB2312" w:cs="仿宋_GB2312" w:eastAsia="仿宋_GB2312"/>
        </w:rPr>
        <w:t>8、特定资格：供应商须具备国家秘密载体印制资质中涉密档案数字化加工乙级及以上资质，并取得档案行政管理部门提供的有效备案证明材料；</w:t>
      </w:r>
    </w:p>
    <w:p>
      <w:pPr>
        <w:pStyle w:val="null3"/>
      </w:pPr>
      <w:r>
        <w:rPr>
          <w:rFonts w:ascii="仿宋_GB2312" w:hAnsi="仿宋_GB2312" w:cs="仿宋_GB2312" w:eastAsia="仿宋_GB2312"/>
        </w:rPr>
        <w:t>9、声明函：供应商声明2021年-2025年未发生过档案安全事故、泄密事件，无非法获取或非法持有档案、档案复印件、国家秘密载体等行为记录；</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11、关联关系：单位负责人为同一人或者存在直接控股、管理关系的不同供应商，不得参加同一合同项下的政府采购活动；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12、联合体情况：本项目不接受联合体。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陕西省西安市未央区二环北路西段29号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029-86537532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西安市雁塔区南二环东段22号（凯森盛世1号）B座2楼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17392900503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采购代理服务费以中标价格为基础，参考《国家计委关于印发&lt;招标代理服务收费管理暂行办法&gt;的通知》（计价格【2002】1980号）及《国家发改委关于降低部分建设项目收费标准规范收费行为等有关问题的通知》（发改价格[2011]534号）文件收费标准，按收费标准的90%收取，具体收费金额将在中标公告中公布，在发出中标通知书前由成交供应商向代理机构一次性支付。 2、代理服务费可以采取现金、支票、银行汇票、电汇、网银等方式缴纳。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(一)《中华人民共和国档案法》 (二)《中华人民共和国保守国家秘密法》 (三)《文书档案案卷格式》(GB/T9705) (四)《电子文件管理系统通用功能要求》（GB/T29194-2012） (五)《建设工程文件归档管理规范》（GB-T50328-2019） (六)《档案服务外包工作规范》DA T 68.1-2020(第1部分） (七)《档案服务外包工作规范》DA T 68.1-2020(第2部分） (九)《纸质档案数字化规范》(DA T 31-2017) (十)《中华人民共和国行业标准(DAT31-2005)纸质档案数字化技术规范》 （十一）《陕西省机关数字档案室系统测试办法》（2025.3）</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联系人：罗丹</w:t>
      </w:r>
    </w:p>
    <w:p>
      <w:pPr>
        <w:pStyle w:val="null3"/>
      </w:pPr>
      <w:r>
        <w:rPr>
          <w:rFonts w:ascii="仿宋_GB2312" w:hAnsi="仿宋_GB2312" w:cs="仿宋_GB2312" w:eastAsia="仿宋_GB2312"/>
        </w:rPr>
        <w:t>联系电话：17392900503</w:t>
      </w:r>
    </w:p>
    <w:p>
      <w:pPr>
        <w:pStyle w:val="null3"/>
      </w:pPr>
      <w:r>
        <w:rPr>
          <w:rFonts w:ascii="仿宋_GB2312" w:hAnsi="仿宋_GB2312" w:cs="仿宋_GB2312" w:eastAsia="仿宋_GB2312"/>
        </w:rPr>
        <w:t>地址：西安市雁塔区南二环东段22号（凯森盛世1号）B座2楼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对现有纸质档案材料（7000件）进行整理、抢救、整改。2.对已整理完毕的7000件（一件约100页）档案进行传统载体档案数字化（加工），实现存量纸质图纸的电子化并录入成品软件系统。3.档案数字化加工后需配备一套国产数字化加工成品系统软件，该软件系统应覆盖市政工程技术档案电子化后“收集、归档、利用”的全生命周期，确保档案数据存储安全可靠。4.档案数字化加工所需的硬件设备包括高拍仪、高速扫描仪、大幅面图纸扫描仪、图形工作站、磁盘列阵、备份硬磁盘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市政基础资料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标的名称：市政基础资料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spacing w:after="150"/>
              <w:jc w:val="both"/>
            </w:pPr>
            <w:r>
              <w:rPr>
                <w:rFonts w:ascii="仿宋_GB2312" w:hAnsi="仿宋_GB2312" w:cs="仿宋_GB2312" w:eastAsia="仿宋_GB2312"/>
                <w:sz w:val="20"/>
              </w:rPr>
              <w:t>1.对现有纸质档案材料（7000件）进行整理、抢救、整改。2.对已整理完毕的7000件（一件约100页）档案进行传统载体档案数字化（加工），实现存量纸质图纸的电子化并录入成品软件系统。3.档案数字化加工后需配备一套国产数字化加工成品系统软件，该软件系统应覆盖市政工程技术档案电子化后“收集、归档、利用”的全生命周期，确保档案数据存储安全可靠。4.档案数字化加工所需的硬件设备包括高拍仪、高速扫描仪、大幅面图纸扫描仪、图形工作站、磁盘列阵、备份硬磁盘等。本项目服务内容包括现存档案整理、档案电子化扫描及录入、图像处理、图像质检、数据验收、数据备份等工作</w:t>
            </w:r>
            <w:r>
              <w:rPr>
                <w:rFonts w:ascii="仿宋_GB2312" w:hAnsi="仿宋_GB2312" w:cs="仿宋_GB2312" w:eastAsia="仿宋_GB2312"/>
                <w:sz w:val="20"/>
              </w:rPr>
              <w:t>。</w:t>
            </w:r>
            <w:r>
              <w:rPr>
                <w:rFonts w:ascii="仿宋_GB2312" w:hAnsi="仿宋_GB2312" w:cs="仿宋_GB2312" w:eastAsia="仿宋_GB2312"/>
                <w:sz w:val="20"/>
              </w:rPr>
              <w:t>项目服务时间</w:t>
            </w:r>
            <w:r>
              <w:rPr>
                <w:rFonts w:ascii="仿宋_GB2312" w:hAnsi="仿宋_GB2312" w:cs="仿宋_GB2312" w:eastAsia="仿宋_GB2312"/>
                <w:sz w:val="20"/>
              </w:rPr>
              <w:t>:1年</w:t>
            </w:r>
            <w:r>
              <w:rPr>
                <w:rFonts w:ascii="仿宋_GB2312" w:hAnsi="仿宋_GB2312" w:cs="仿宋_GB2312" w:eastAsia="仿宋_GB2312"/>
                <w:sz w:val="20"/>
              </w:rPr>
              <w:t>。</w:t>
            </w:r>
          </w:p>
          <w:p>
            <w:pPr>
              <w:pStyle w:val="null3"/>
              <w:spacing w:after="150"/>
              <w:jc w:val="both"/>
            </w:pPr>
            <w:r>
              <w:rPr>
                <w:rFonts w:ascii="仿宋_GB2312" w:hAnsi="仿宋_GB2312" w:cs="仿宋_GB2312" w:eastAsia="仿宋_GB2312"/>
                <w:sz w:val="20"/>
              </w:rPr>
              <w:t>采购需求表</w:t>
            </w:r>
          </w:p>
          <w:tbl>
            <w:tblPr>
              <w:tblBorders>
                <w:top w:val="none" w:color="000000" w:sz="4"/>
                <w:left w:val="none" w:color="000000" w:sz="4"/>
                <w:bottom w:val="none" w:color="000000" w:sz="4"/>
                <w:right w:val="none" w:color="000000" w:sz="4"/>
                <w:insideH w:val="none"/>
                <w:insideV w:val="none"/>
              </w:tblBorders>
            </w:tblPr>
            <w:tblGrid>
              <w:gridCol w:w="278"/>
              <w:gridCol w:w="538"/>
              <w:gridCol w:w="464"/>
              <w:gridCol w:w="1273"/>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档案数字化加工</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700000页</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配备软件系统</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1套</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高拍仪</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1台</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≧800dpi；</w:t>
                  </w:r>
                </w:p>
                <w:p>
                  <w:pPr>
                    <w:pStyle w:val="null3"/>
                    <w:jc w:val="left"/>
                  </w:pPr>
                  <w:r>
                    <w:rPr>
                      <w:rFonts w:ascii="仿宋_GB2312" w:hAnsi="仿宋_GB2312" w:cs="仿宋_GB2312" w:eastAsia="仿宋_GB2312"/>
                      <w:sz w:val="20"/>
                    </w:rPr>
                    <w:t>拍摄尺寸：</w:t>
                  </w:r>
                  <w:r>
                    <w:rPr>
                      <w:rFonts w:ascii="仿宋_GB2312" w:hAnsi="仿宋_GB2312" w:cs="仿宋_GB2312" w:eastAsia="仿宋_GB2312"/>
                      <w:sz w:val="20"/>
                    </w:rPr>
                    <w:t>A3及A3以下；</w:t>
                  </w:r>
                </w:p>
                <w:p>
                  <w:pPr>
                    <w:pStyle w:val="null3"/>
                    <w:jc w:val="left"/>
                  </w:pPr>
                  <w:r>
                    <w:rPr>
                      <w:rFonts w:ascii="仿宋_GB2312" w:hAnsi="仿宋_GB2312" w:cs="仿宋_GB2312" w:eastAsia="仿宋_GB2312"/>
                      <w:sz w:val="20"/>
                    </w:rPr>
                    <w:t>支持</w:t>
                  </w:r>
                  <w:r>
                    <w:rPr>
                      <w:rFonts w:ascii="仿宋_GB2312" w:hAnsi="仿宋_GB2312" w:cs="仿宋_GB2312" w:eastAsia="仿宋_GB2312"/>
                      <w:sz w:val="20"/>
                    </w:rPr>
                    <w:t>OCR识别。</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大幅面图纸扫描仪</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1台</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扫描仪类型：单页进纸，</w:t>
                  </w:r>
                  <w:r>
                    <w:rPr>
                      <w:rFonts w:ascii="仿宋_GB2312" w:hAnsi="仿宋_GB2312" w:cs="仿宋_GB2312" w:eastAsia="仿宋_GB2312"/>
                      <w:sz w:val="20"/>
                    </w:rPr>
                    <w:t>CIS(接触式图像传感器)；</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≧2400dpi；</w:t>
                  </w:r>
                </w:p>
                <w:p>
                  <w:pPr>
                    <w:pStyle w:val="null3"/>
                    <w:jc w:val="left"/>
                  </w:pPr>
                  <w:r>
                    <w:rPr>
                      <w:rFonts w:ascii="仿宋_GB2312" w:hAnsi="仿宋_GB2312" w:cs="仿宋_GB2312" w:eastAsia="仿宋_GB2312"/>
                      <w:sz w:val="20"/>
                    </w:rPr>
                    <w:t>扫描文件格式可支持：</w:t>
                  </w:r>
                  <w:r>
                    <w:rPr>
                      <w:rFonts w:ascii="仿宋_GB2312" w:hAnsi="仿宋_GB2312" w:cs="仿宋_GB2312" w:eastAsia="仿宋_GB2312"/>
                      <w:sz w:val="20"/>
                    </w:rPr>
                    <w:t>PDF、JPEG、BMP、TIFF等；</w:t>
                  </w:r>
                </w:p>
                <w:p>
                  <w:pPr>
                    <w:pStyle w:val="null3"/>
                    <w:jc w:val="left"/>
                  </w:pPr>
                  <w:r>
                    <w:rPr>
                      <w:rFonts w:ascii="仿宋_GB2312" w:hAnsi="仿宋_GB2312" w:cs="仿宋_GB2312" w:eastAsia="仿宋_GB2312"/>
                      <w:sz w:val="20"/>
                    </w:rPr>
                    <w:t>纸张篇幅：</w:t>
                  </w:r>
                  <w:r>
                    <w:rPr>
                      <w:rFonts w:ascii="仿宋_GB2312" w:hAnsi="仿宋_GB2312" w:cs="仿宋_GB2312" w:eastAsia="仿宋_GB2312"/>
                      <w:sz w:val="20"/>
                    </w:rPr>
                    <w:t>A2,A1,A0；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高速扫描仪</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1台</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扫描仪类型：平板式</w:t>
                  </w:r>
                  <w:r>
                    <w:rPr>
                      <w:rFonts w:ascii="仿宋_GB2312" w:hAnsi="仿宋_GB2312" w:cs="仿宋_GB2312" w:eastAsia="仿宋_GB2312"/>
                      <w:sz w:val="20"/>
                    </w:rPr>
                    <w:t xml:space="preserve">ADF扫描仪；   </w:t>
                  </w:r>
                </w:p>
                <w:p>
                  <w:pPr>
                    <w:pStyle w:val="null3"/>
                    <w:jc w:val="left"/>
                  </w:pPr>
                  <w:r>
                    <w:rPr>
                      <w:rFonts w:ascii="仿宋_GB2312" w:hAnsi="仿宋_GB2312" w:cs="仿宋_GB2312" w:eastAsia="仿宋_GB2312"/>
                      <w:sz w:val="20"/>
                    </w:rPr>
                    <w:t>分辨率</w:t>
                  </w:r>
                  <w:r>
                    <w:rPr>
                      <w:rFonts w:ascii="仿宋_GB2312" w:hAnsi="仿宋_GB2312" w:cs="仿宋_GB2312" w:eastAsia="仿宋_GB2312"/>
                      <w:sz w:val="20"/>
                    </w:rPr>
                    <w:t>:≧800dpi(彩色和黑白)；</w:t>
                  </w:r>
                </w:p>
                <w:p>
                  <w:pPr>
                    <w:pStyle w:val="null3"/>
                    <w:jc w:val="left"/>
                  </w:pPr>
                  <w:r>
                    <w:rPr>
                      <w:rFonts w:ascii="仿宋_GB2312" w:hAnsi="仿宋_GB2312" w:cs="仿宋_GB2312" w:eastAsia="仿宋_GB2312"/>
                      <w:sz w:val="20"/>
                    </w:rPr>
                    <w:t>扫描文件格式</w:t>
                  </w:r>
                  <w:r>
                    <w:rPr>
                      <w:rFonts w:ascii="仿宋_GB2312" w:hAnsi="仿宋_GB2312" w:cs="仿宋_GB2312" w:eastAsia="仿宋_GB2312"/>
                      <w:sz w:val="20"/>
                    </w:rPr>
                    <w:t>：</w:t>
                  </w:r>
                  <w:r>
                    <w:rPr>
                      <w:rFonts w:ascii="仿宋_GB2312" w:hAnsi="仿宋_GB2312" w:cs="仿宋_GB2312" w:eastAsia="仿宋_GB2312"/>
                      <w:sz w:val="20"/>
                    </w:rPr>
                    <w:t>PDF、JPEG、PNG、BMP、TIFF；</w:t>
                  </w:r>
                </w:p>
                <w:p>
                  <w:pPr>
                    <w:pStyle w:val="null3"/>
                    <w:jc w:val="left"/>
                  </w:pPr>
                  <w:r>
                    <w:rPr>
                      <w:rFonts w:ascii="仿宋_GB2312" w:hAnsi="仿宋_GB2312" w:cs="仿宋_GB2312" w:eastAsia="仿宋_GB2312"/>
                      <w:sz w:val="20"/>
                    </w:rPr>
                    <w:t>自动文件进纸器容量：不小于</w:t>
                  </w:r>
                  <w:r>
                    <w:rPr>
                      <w:rFonts w:ascii="仿宋_GB2312" w:hAnsi="仿宋_GB2312" w:cs="仿宋_GB2312" w:eastAsia="仿宋_GB2312"/>
                      <w:sz w:val="20"/>
                    </w:rPr>
                    <w:t>50页；</w:t>
                  </w:r>
                </w:p>
                <w:p>
                  <w:pPr>
                    <w:pStyle w:val="null3"/>
                    <w:jc w:val="left"/>
                  </w:pPr>
                  <w:r>
                    <w:rPr>
                      <w:rFonts w:ascii="仿宋_GB2312" w:hAnsi="仿宋_GB2312" w:cs="仿宋_GB2312" w:eastAsia="仿宋_GB2312"/>
                      <w:sz w:val="20"/>
                    </w:rPr>
                    <w:t>纸张篇幅：</w:t>
                  </w:r>
                  <w:r>
                    <w:rPr>
                      <w:rFonts w:ascii="仿宋_GB2312" w:hAnsi="仿宋_GB2312" w:cs="仿宋_GB2312" w:eastAsia="仿宋_GB2312"/>
                      <w:sz w:val="20"/>
                    </w:rPr>
                    <w:t>A4,A3；</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图形工作站</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1台</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操作系统</w:t>
                  </w:r>
                  <w:r>
                    <w:rPr>
                      <w:rFonts w:ascii="仿宋_GB2312" w:hAnsi="仿宋_GB2312" w:cs="仿宋_GB2312" w:eastAsia="仿宋_GB2312"/>
                      <w:sz w:val="20"/>
                    </w:rPr>
                    <w:t>:支持麒麟/统信等国产系统；</w:t>
                  </w:r>
                </w:p>
                <w:p>
                  <w:pPr>
                    <w:pStyle w:val="null3"/>
                    <w:jc w:val="left"/>
                  </w:pPr>
                  <w:r>
                    <w:rPr>
                      <w:rFonts w:ascii="仿宋_GB2312" w:hAnsi="仿宋_GB2312" w:cs="仿宋_GB2312" w:eastAsia="仿宋_GB2312"/>
                      <w:sz w:val="20"/>
                    </w:rPr>
                    <w:t>CPU:八核、主频2.2GHz以上;</w:t>
                  </w:r>
                </w:p>
                <w:p>
                  <w:pPr>
                    <w:pStyle w:val="null3"/>
                    <w:jc w:val="left"/>
                  </w:pPr>
                  <w:r>
                    <w:rPr>
                      <w:rFonts w:ascii="仿宋_GB2312" w:hAnsi="仿宋_GB2312" w:cs="仿宋_GB2312" w:eastAsia="仿宋_GB2312"/>
                      <w:sz w:val="20"/>
                    </w:rPr>
                    <w:t>内存：</w:t>
                  </w:r>
                  <w:r>
                    <w:rPr>
                      <w:rFonts w:ascii="仿宋_GB2312" w:hAnsi="仿宋_GB2312" w:cs="仿宋_GB2312" w:eastAsia="仿宋_GB2312"/>
                      <w:sz w:val="20"/>
                    </w:rPr>
                    <w:t>≧32G;</w:t>
                  </w:r>
                </w:p>
                <w:p>
                  <w:pPr>
                    <w:pStyle w:val="null3"/>
                    <w:jc w:val="left"/>
                  </w:pPr>
                  <w:r>
                    <w:rPr>
                      <w:rFonts w:ascii="仿宋_GB2312" w:hAnsi="仿宋_GB2312" w:cs="仿宋_GB2312" w:eastAsia="仿宋_GB2312"/>
                      <w:sz w:val="20"/>
                    </w:rPr>
                    <w:t>硬盘：</w:t>
                  </w:r>
                  <w:r>
                    <w:rPr>
                      <w:rFonts w:ascii="仿宋_GB2312" w:hAnsi="仿宋_GB2312" w:cs="仿宋_GB2312" w:eastAsia="仿宋_GB2312"/>
                      <w:sz w:val="20"/>
                    </w:rPr>
                    <w:t>≧1T;</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磁盘列阵（</w:t>
                  </w:r>
                  <w:r>
                    <w:rPr>
                      <w:rFonts w:ascii="仿宋_GB2312" w:hAnsi="仿宋_GB2312" w:cs="仿宋_GB2312" w:eastAsia="仿宋_GB2312"/>
                      <w:sz w:val="20"/>
                    </w:rPr>
                    <w:t>32T）</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1台</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w:t>
                  </w:r>
                  <w:r>
                    <w:rPr>
                      <w:rFonts w:ascii="仿宋_GB2312" w:hAnsi="仿宋_GB2312" w:cs="仿宋_GB2312" w:eastAsia="仿宋_GB2312"/>
                      <w:sz w:val="20"/>
                    </w:rPr>
                    <w:t>≧10块、每块≧10T；</w:t>
                  </w:r>
                </w:p>
                <w:p>
                  <w:pPr>
                    <w:pStyle w:val="null3"/>
                    <w:jc w:val="left"/>
                  </w:pPr>
                  <w:r>
                    <w:rPr>
                      <w:rFonts w:ascii="仿宋_GB2312" w:hAnsi="仿宋_GB2312" w:cs="仿宋_GB2312" w:eastAsia="仿宋_GB2312"/>
                      <w:sz w:val="20"/>
                    </w:rPr>
                    <w:t>缓存</w:t>
                  </w:r>
                  <w:r>
                    <w:rPr>
                      <w:rFonts w:ascii="仿宋_GB2312" w:hAnsi="仿宋_GB2312" w:cs="仿宋_GB2312" w:eastAsia="仿宋_GB2312"/>
                      <w:sz w:val="20"/>
                    </w:rPr>
                    <w:t>≧64G；</w:t>
                  </w:r>
                </w:p>
                <w:p>
                  <w:pPr>
                    <w:pStyle w:val="null3"/>
                    <w:jc w:val="left"/>
                  </w:pPr>
                  <w:r>
                    <w:rPr>
                      <w:rFonts w:ascii="仿宋_GB2312" w:hAnsi="仿宋_GB2312" w:cs="仿宋_GB2312" w:eastAsia="仿宋_GB2312"/>
                      <w:sz w:val="20"/>
                    </w:rPr>
                    <w:t>读写速度：</w:t>
                  </w:r>
                  <w:r>
                    <w:rPr>
                      <w:rFonts w:ascii="仿宋_GB2312" w:hAnsi="仿宋_GB2312" w:cs="仿宋_GB2312" w:eastAsia="仿宋_GB2312"/>
                      <w:sz w:val="20"/>
                    </w:rPr>
                    <w:t>≧2000MB/s;</w:t>
                  </w:r>
                </w:p>
                <w:p>
                  <w:pPr>
                    <w:pStyle w:val="null3"/>
                    <w:jc w:val="left"/>
                  </w:pPr>
                  <w:r>
                    <w:rPr>
                      <w:rFonts w:ascii="仿宋_GB2312" w:hAnsi="仿宋_GB2312" w:cs="仿宋_GB2312" w:eastAsia="仿宋_GB2312"/>
                      <w:sz w:val="20"/>
                    </w:rPr>
                    <w:t>RAID级别：5/10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备份硬磁盘</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2台</w:t>
                  </w:r>
                </w:p>
              </w:tc>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容量</w:t>
                  </w:r>
                  <w:r>
                    <w:rPr>
                      <w:rFonts w:ascii="仿宋_GB2312" w:hAnsi="仿宋_GB2312" w:cs="仿宋_GB2312" w:eastAsia="仿宋_GB2312"/>
                      <w:sz w:val="20"/>
                    </w:rPr>
                    <w:t>≧10T</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备注：</w:t>
                  </w:r>
                  <w:r>
                    <w:rPr>
                      <w:rFonts w:ascii="仿宋_GB2312" w:hAnsi="仿宋_GB2312" w:cs="仿宋_GB2312" w:eastAsia="仿宋_GB2312"/>
                      <w:sz w:val="20"/>
                    </w:rPr>
                    <w:t>1.最终完成数量不得低于标的数量；2.＞A4幅面不折算</w:t>
                  </w:r>
                  <w:r>
                    <w:rPr>
                      <w:rFonts w:ascii="仿宋_GB2312" w:hAnsi="仿宋_GB2312" w:cs="仿宋_GB2312" w:eastAsia="仿宋_GB2312"/>
                      <w:sz w:val="20"/>
                    </w:rPr>
                    <w:t>；</w:t>
                  </w:r>
                  <w:r>
                    <w:rPr>
                      <w:rFonts w:ascii="仿宋_GB2312" w:hAnsi="仿宋_GB2312" w:cs="仿宋_GB2312" w:eastAsia="仿宋_GB2312"/>
                      <w:sz w:val="20"/>
                    </w:rPr>
                    <w:t>3.配备软件系统及档案数字化加工相关硬件设备必须全部国产化且能互相兼容。</w:t>
                  </w:r>
                </w:p>
              </w:tc>
            </w:tr>
          </w:tbl>
          <w:p>
            <w:pPr>
              <w:pStyle w:val="null3"/>
              <w:jc w:val="left"/>
            </w:pPr>
            <w:r>
              <w:rPr>
                <w:rFonts w:ascii="仿宋_GB2312" w:hAnsi="仿宋_GB2312" w:cs="仿宋_GB2312" w:eastAsia="仿宋_GB2312"/>
                <w:sz w:val="20"/>
                <w:b/>
              </w:rPr>
              <w:t>二、服务依据</w:t>
            </w:r>
          </w:p>
          <w:p>
            <w:pPr>
              <w:pStyle w:val="null3"/>
              <w:jc w:val="left"/>
            </w:pPr>
            <w:r>
              <w:rPr>
                <w:rFonts w:ascii="仿宋_GB2312" w:hAnsi="仿宋_GB2312" w:cs="仿宋_GB2312" w:eastAsia="仿宋_GB2312"/>
                <w:sz w:val="20"/>
              </w:rPr>
              <w:t>必须严格遵守国家相关法律法规，严格遵守国家和陕西省档案部门有关文件的规定，主要法律法规包括</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(一)《中华人民共和国档案法》</w:t>
            </w:r>
          </w:p>
          <w:p>
            <w:pPr>
              <w:pStyle w:val="null3"/>
              <w:jc w:val="left"/>
            </w:pPr>
            <w:r>
              <w:rPr>
                <w:rFonts w:ascii="仿宋_GB2312" w:hAnsi="仿宋_GB2312" w:cs="仿宋_GB2312" w:eastAsia="仿宋_GB2312"/>
                <w:sz w:val="20"/>
              </w:rPr>
              <w:t>(二)《中华人民共和国保守国家秘密法》</w:t>
            </w:r>
          </w:p>
          <w:p>
            <w:pPr>
              <w:pStyle w:val="null3"/>
              <w:jc w:val="left"/>
            </w:pPr>
            <w:r>
              <w:rPr>
                <w:rFonts w:ascii="仿宋_GB2312" w:hAnsi="仿宋_GB2312" w:cs="仿宋_GB2312" w:eastAsia="仿宋_GB2312"/>
                <w:sz w:val="20"/>
              </w:rPr>
              <w:t>(三)《文书档案案卷格式》(GB/T9705)</w:t>
            </w:r>
          </w:p>
          <w:p>
            <w:pPr>
              <w:pStyle w:val="null3"/>
              <w:jc w:val="left"/>
            </w:pPr>
            <w:r>
              <w:rPr>
                <w:rFonts w:ascii="仿宋_GB2312" w:hAnsi="仿宋_GB2312" w:cs="仿宋_GB2312" w:eastAsia="仿宋_GB2312"/>
                <w:sz w:val="20"/>
              </w:rPr>
              <w:t>(四)《电子文件管理系统通用功能要求》（GB/T29194-2012）</w:t>
            </w:r>
          </w:p>
          <w:p>
            <w:pPr>
              <w:pStyle w:val="null3"/>
              <w:jc w:val="left"/>
            </w:pPr>
            <w:r>
              <w:rPr>
                <w:rFonts w:ascii="仿宋_GB2312" w:hAnsi="仿宋_GB2312" w:cs="仿宋_GB2312" w:eastAsia="仿宋_GB2312"/>
                <w:sz w:val="20"/>
              </w:rPr>
              <w:t>(五)《建设工程文件归档管理规范》（GB-T50328-2019）</w:t>
            </w:r>
          </w:p>
          <w:p>
            <w:pPr>
              <w:pStyle w:val="null3"/>
              <w:jc w:val="left"/>
            </w:pPr>
            <w:r>
              <w:rPr>
                <w:rFonts w:ascii="仿宋_GB2312" w:hAnsi="仿宋_GB2312" w:cs="仿宋_GB2312" w:eastAsia="仿宋_GB2312"/>
                <w:sz w:val="20"/>
              </w:rPr>
              <w:t>(六)《档案服务外包工作规范》DA T 68.1-2020(第1部分）</w:t>
            </w:r>
          </w:p>
          <w:p>
            <w:pPr>
              <w:pStyle w:val="null3"/>
              <w:jc w:val="left"/>
            </w:pPr>
            <w:r>
              <w:rPr>
                <w:rFonts w:ascii="仿宋_GB2312" w:hAnsi="仿宋_GB2312" w:cs="仿宋_GB2312" w:eastAsia="仿宋_GB2312"/>
                <w:sz w:val="20"/>
              </w:rPr>
              <w:t>(七)《档案服务外包工作规范》DA T 68.1-2020(第2部分）</w:t>
            </w:r>
          </w:p>
          <w:p>
            <w:pPr>
              <w:pStyle w:val="null3"/>
              <w:jc w:val="left"/>
            </w:pPr>
            <w:r>
              <w:rPr>
                <w:rFonts w:ascii="仿宋_GB2312" w:hAnsi="仿宋_GB2312" w:cs="仿宋_GB2312" w:eastAsia="仿宋_GB2312"/>
                <w:sz w:val="20"/>
              </w:rPr>
              <w:t>(八)《纸质档案数字化规范》(DA T 31-2017)</w:t>
            </w:r>
          </w:p>
          <w:p>
            <w:pPr>
              <w:pStyle w:val="null3"/>
              <w:jc w:val="left"/>
            </w:pPr>
            <w:r>
              <w:rPr>
                <w:rFonts w:ascii="仿宋_GB2312" w:hAnsi="仿宋_GB2312" w:cs="仿宋_GB2312" w:eastAsia="仿宋_GB2312"/>
                <w:sz w:val="20"/>
              </w:rPr>
              <w:t>(九)《中华人民共和国行业标准(DAT31-2005)纸质档案数字化技术规范》</w:t>
            </w:r>
          </w:p>
          <w:p>
            <w:pPr>
              <w:pStyle w:val="null3"/>
              <w:jc w:val="left"/>
            </w:pPr>
            <w:r>
              <w:rPr>
                <w:rFonts w:ascii="仿宋_GB2312" w:hAnsi="仿宋_GB2312" w:cs="仿宋_GB2312" w:eastAsia="仿宋_GB2312"/>
                <w:sz w:val="20"/>
              </w:rPr>
              <w:t>（十）《陕西省机关数字档案室系统测试办法》（</w:t>
            </w:r>
            <w:r>
              <w:rPr>
                <w:rFonts w:ascii="仿宋_GB2312" w:hAnsi="仿宋_GB2312" w:cs="仿宋_GB2312" w:eastAsia="仿宋_GB2312"/>
                <w:sz w:val="20"/>
              </w:rPr>
              <w:t>2025.3）</w:t>
            </w:r>
          </w:p>
          <w:p>
            <w:pPr>
              <w:pStyle w:val="null3"/>
              <w:jc w:val="left"/>
            </w:pPr>
            <w:r>
              <w:rPr>
                <w:rFonts w:ascii="仿宋_GB2312" w:hAnsi="仿宋_GB2312" w:cs="仿宋_GB2312" w:eastAsia="仿宋_GB2312"/>
                <w:sz w:val="20"/>
                <w:b/>
              </w:rPr>
              <w:t>三、服务内容及要求</w:t>
            </w:r>
          </w:p>
          <w:p>
            <w:pPr>
              <w:pStyle w:val="null3"/>
              <w:jc w:val="left"/>
            </w:pPr>
            <w:r>
              <w:rPr>
                <w:rFonts w:ascii="仿宋_GB2312" w:hAnsi="仿宋_GB2312" w:cs="仿宋_GB2312" w:eastAsia="仿宋_GB2312"/>
                <w:sz w:val="20"/>
              </w:rPr>
              <w:t>（一）服务内容</w:t>
            </w:r>
          </w:p>
          <w:p>
            <w:pPr>
              <w:pStyle w:val="null3"/>
              <w:jc w:val="left"/>
            </w:pPr>
            <w:r>
              <w:rPr>
                <w:rFonts w:ascii="仿宋_GB2312" w:hAnsi="仿宋_GB2312" w:cs="仿宋_GB2312" w:eastAsia="仿宋_GB2312"/>
                <w:sz w:val="20"/>
              </w:rPr>
              <w:t>服务内容包括现存档案整理、档案电子化扫描及录入、图像处理、图像质检、数据验收、数据备份等工作；</w:t>
            </w:r>
          </w:p>
          <w:p>
            <w:pPr>
              <w:pStyle w:val="null3"/>
              <w:jc w:val="left"/>
            </w:pPr>
            <w:r>
              <w:rPr>
                <w:rFonts w:ascii="仿宋_GB2312" w:hAnsi="仿宋_GB2312" w:cs="仿宋_GB2312" w:eastAsia="仿宋_GB2312"/>
                <w:sz w:val="20"/>
              </w:rPr>
              <w:t>（二）档案电子化扫描要求</w:t>
            </w:r>
          </w:p>
          <w:p>
            <w:pPr>
              <w:pStyle w:val="null3"/>
              <w:jc w:val="left"/>
            </w:pPr>
            <w:r>
              <w:rPr>
                <w:rFonts w:ascii="仿宋_GB2312" w:hAnsi="仿宋_GB2312" w:cs="仿宋_GB2312" w:eastAsia="仿宋_GB2312"/>
                <w:sz w:val="20"/>
              </w:rPr>
              <w:t>1.建案卷级目录数据库、建文件级目录数据库、目录缺失字段补充、打印卷内目录和归档文件目录、装卷、装盒、图像挂接、制作移交移动硬盘一式三套，档案电子化扫描印刷体识别准确率应≥99%并实现全文检索；</w:t>
            </w:r>
          </w:p>
          <w:p>
            <w:pPr>
              <w:pStyle w:val="null3"/>
              <w:jc w:val="left"/>
            </w:pPr>
            <w:r>
              <w:rPr>
                <w:rFonts w:ascii="仿宋_GB2312" w:hAnsi="仿宋_GB2312" w:cs="仿宋_GB2312" w:eastAsia="仿宋_GB2312"/>
                <w:sz w:val="20"/>
              </w:rPr>
              <w:t>2.原则上宜全部采用彩色模式扫描且自动纠偏、去噪、剪裁、旋转、补边。部分黑白字迹清晰不带插图的，可黑白二值模式扫描；黑白字迹清晰度差或有小图的灰度模式清晰度≥300dpi,技术图纸A3及以下≥600dpi,A3以上的≥1200dpi；</w:t>
            </w:r>
          </w:p>
          <w:p>
            <w:pPr>
              <w:pStyle w:val="null3"/>
              <w:jc w:val="left"/>
            </w:pPr>
            <w:r>
              <w:rPr>
                <w:rFonts w:ascii="仿宋_GB2312" w:hAnsi="仿宋_GB2312" w:cs="仿宋_GB2312" w:eastAsia="仿宋_GB2312"/>
                <w:sz w:val="20"/>
              </w:rPr>
              <w:t>3.应支持DOC/XLS/PPT/JPG/TIFF 转换PDF/OFD格式；支持Office、CAD、音视频+前面的等多种格式文件挂载；</w:t>
            </w:r>
          </w:p>
          <w:p>
            <w:pPr>
              <w:pStyle w:val="null3"/>
              <w:jc w:val="left"/>
            </w:pPr>
            <w:r>
              <w:rPr>
                <w:rFonts w:ascii="仿宋_GB2312" w:hAnsi="仿宋_GB2312" w:cs="仿宋_GB2312" w:eastAsia="仿宋_GB2312"/>
                <w:sz w:val="20"/>
              </w:rPr>
              <w:t>4.档案拆卷应还原，质检不合格回退，未处理合格不允许移交。</w:t>
            </w:r>
          </w:p>
          <w:p>
            <w:pPr>
              <w:pStyle w:val="null3"/>
              <w:jc w:val="left"/>
            </w:pPr>
            <w:r>
              <w:rPr>
                <w:rFonts w:ascii="仿宋_GB2312" w:hAnsi="仿宋_GB2312" w:cs="仿宋_GB2312" w:eastAsia="仿宋_GB2312"/>
                <w:sz w:val="20"/>
              </w:rPr>
              <w:t>（三）配备软件系统要求</w:t>
            </w:r>
          </w:p>
          <w:p>
            <w:pPr>
              <w:pStyle w:val="null3"/>
              <w:jc w:val="left"/>
            </w:pPr>
            <w:r>
              <w:rPr>
                <w:rFonts w:ascii="仿宋_GB2312" w:hAnsi="仿宋_GB2312" w:cs="仿宋_GB2312" w:eastAsia="仿宋_GB2312"/>
                <w:sz w:val="20"/>
              </w:rPr>
              <w:t>系统功能符合《电子档案管理系统基本功能规定》《电子档案管理系统通用功能要求》</w:t>
            </w:r>
            <w:r>
              <w:rPr>
                <w:rFonts w:ascii="仿宋_GB2312" w:hAnsi="仿宋_GB2312" w:cs="仿宋_GB2312" w:eastAsia="仿宋_GB2312"/>
                <w:sz w:val="20"/>
              </w:rPr>
              <w:t>GB/T 39784-2021、《电子文件归档与电子档案管理规范》GB/T 18894-2016等规范要求。</w:t>
            </w:r>
          </w:p>
          <w:p>
            <w:pPr>
              <w:pStyle w:val="null3"/>
              <w:jc w:val="left"/>
            </w:pPr>
            <w:r>
              <w:rPr>
                <w:rFonts w:ascii="仿宋_GB2312" w:hAnsi="仿宋_GB2312" w:cs="仿宋_GB2312" w:eastAsia="仿宋_GB2312"/>
                <w:sz w:val="20"/>
              </w:rPr>
              <w:t>1.档案电子化配备的软件系统应为成品单机软件系统，满足档案收集、整理、鉴定、保管、检索、统计、利用、编研全流程管理功能；</w:t>
            </w:r>
          </w:p>
          <w:p>
            <w:pPr>
              <w:pStyle w:val="null3"/>
              <w:jc w:val="left"/>
            </w:pPr>
            <w:r>
              <w:rPr>
                <w:rFonts w:ascii="仿宋_GB2312" w:hAnsi="仿宋_GB2312" w:cs="仿宋_GB2312" w:eastAsia="仿宋_GB2312"/>
                <w:sz w:val="20"/>
              </w:rPr>
              <w:t>2.应支持一体化检索、跨库检索、跨字段检索、组合检索等检索功能；具备模糊查询、以图搜图、OCR 全文识别、智能分类、自动著录等档案智能化能力；</w:t>
            </w:r>
          </w:p>
          <w:p>
            <w:pPr>
              <w:pStyle w:val="null3"/>
              <w:jc w:val="left"/>
            </w:pPr>
            <w:r>
              <w:rPr>
                <w:rFonts w:ascii="仿宋_GB2312" w:hAnsi="仿宋_GB2312" w:cs="仿宋_GB2312" w:eastAsia="仿宋_GB2312"/>
                <w:sz w:val="20"/>
              </w:rPr>
              <w:t>3.可支持电子档案四性检测（真实性、完整性、可用性、安全性），自动生成检测报告并可下载；</w:t>
            </w:r>
          </w:p>
          <w:p>
            <w:pPr>
              <w:pStyle w:val="null3"/>
              <w:jc w:val="left"/>
            </w:pPr>
            <w:r>
              <w:rPr>
                <w:rFonts w:ascii="仿宋_GB2312" w:hAnsi="仿宋_GB2312" w:cs="仿宋_GB2312" w:eastAsia="仿宋_GB2312"/>
                <w:sz w:val="20"/>
              </w:rPr>
              <w:t>4.支持文书、基建、会计、声像、实物等档案类型，适配组卷、一文一件管理模式；</w:t>
            </w:r>
          </w:p>
          <w:p>
            <w:pPr>
              <w:pStyle w:val="null3"/>
              <w:jc w:val="left"/>
            </w:pPr>
            <w:r>
              <w:rPr>
                <w:rFonts w:ascii="仿宋_GB2312" w:hAnsi="仿宋_GB2312" w:cs="仿宋_GB2312" w:eastAsia="仿宋_GB2312"/>
                <w:sz w:val="20"/>
              </w:rPr>
              <w:t>5.支持自动生成库藏统计、全文统计、利用统计、年报统计；支持图表展示（柱状图、饼图等），可导出 Excel/PDF；支持自定义统计维度、自定义报表；</w:t>
            </w:r>
          </w:p>
          <w:p>
            <w:pPr>
              <w:pStyle w:val="null3"/>
              <w:jc w:val="left"/>
            </w:pPr>
            <w:r>
              <w:rPr>
                <w:rFonts w:ascii="仿宋_GB2312" w:hAnsi="仿宋_GB2312" w:cs="仿宋_GB2312" w:eastAsia="仿宋_GB2312"/>
                <w:sz w:val="20"/>
              </w:rPr>
              <w:t>6.支持档案归类、排序、组卷、拆卷、卷内调整；自动生成档号、卷内序号、页数、归档章，支持自定义位置；支持 Excel 批量导入目录，自动校验、生成条码、绑定组卷；支持多种格式挂接：DOC/XLS/PPT/JPG/TIFF/PDF/OFD，其他音视频文件等；</w:t>
            </w:r>
          </w:p>
          <w:p>
            <w:pPr>
              <w:pStyle w:val="null3"/>
              <w:jc w:val="left"/>
            </w:pPr>
            <w:r>
              <w:rPr>
                <w:rFonts w:ascii="仿宋_GB2312" w:hAnsi="仿宋_GB2312" w:cs="仿宋_GB2312" w:eastAsia="仿宋_GB2312"/>
                <w:sz w:val="20"/>
              </w:rPr>
              <w:t>7.应遵循元数据标准，保障电子档案原始性、不可篡改、可追溯；</w:t>
            </w:r>
          </w:p>
          <w:p>
            <w:pPr>
              <w:pStyle w:val="null3"/>
              <w:jc w:val="left"/>
            </w:pPr>
            <w:r>
              <w:rPr>
                <w:rFonts w:ascii="仿宋_GB2312" w:hAnsi="仿宋_GB2312" w:cs="仿宋_GB2312" w:eastAsia="仿宋_GB2312"/>
                <w:sz w:val="20"/>
              </w:rPr>
              <w:t>8.应综合考虑到系统的国产信创兼容问题，应用软件的环境控制安防，工具软件的全文检索、识别、版式阅读等。</w:t>
            </w:r>
          </w:p>
          <w:p>
            <w:pPr>
              <w:pStyle w:val="null3"/>
              <w:jc w:val="left"/>
            </w:pPr>
            <w:r>
              <w:rPr>
                <w:rFonts w:ascii="仿宋_GB2312" w:hAnsi="仿宋_GB2312" w:cs="仿宋_GB2312" w:eastAsia="仿宋_GB2312"/>
                <w:sz w:val="20"/>
              </w:rPr>
              <w:t>（四）非功能性与安全要求</w:t>
            </w:r>
          </w:p>
          <w:p>
            <w:pPr>
              <w:pStyle w:val="null3"/>
              <w:jc w:val="left"/>
            </w:pPr>
            <w:r>
              <w:rPr>
                <w:rFonts w:ascii="仿宋_GB2312" w:hAnsi="仿宋_GB2312" w:cs="仿宋_GB2312" w:eastAsia="仿宋_GB2312"/>
                <w:sz w:val="20"/>
              </w:rPr>
              <w:t>1.录入数据应防篡改、加密存储、加密传输；</w:t>
            </w:r>
          </w:p>
          <w:p>
            <w:pPr>
              <w:pStyle w:val="null3"/>
              <w:jc w:val="left"/>
            </w:pPr>
            <w:r>
              <w:rPr>
                <w:rFonts w:ascii="仿宋_GB2312" w:hAnsi="仿宋_GB2312" w:cs="仿宋_GB2312" w:eastAsia="仿宋_GB2312"/>
                <w:sz w:val="20"/>
              </w:rPr>
              <w:t>2.支持全程操作日志、审计追踪、不可删除；</w:t>
            </w:r>
          </w:p>
          <w:p>
            <w:pPr>
              <w:pStyle w:val="null3"/>
              <w:jc w:val="left"/>
            </w:pPr>
            <w:r>
              <w:rPr>
                <w:rFonts w:ascii="仿宋_GB2312" w:hAnsi="仿宋_GB2312" w:cs="仿宋_GB2312" w:eastAsia="仿宋_GB2312"/>
                <w:sz w:val="20"/>
              </w:rPr>
              <w:t>3.支持本地离线备份、数据恢复；</w:t>
            </w:r>
          </w:p>
          <w:p>
            <w:pPr>
              <w:pStyle w:val="null3"/>
              <w:jc w:val="left"/>
            </w:pPr>
            <w:r>
              <w:rPr>
                <w:rFonts w:ascii="仿宋_GB2312" w:hAnsi="仿宋_GB2312" w:cs="仿宋_GB2312" w:eastAsia="仿宋_GB2312"/>
                <w:sz w:val="20"/>
              </w:rPr>
              <w:t>4.系统7×24小时稳定运行，支持异常恢复，保障业务连续性。</w:t>
            </w:r>
          </w:p>
          <w:p>
            <w:pPr>
              <w:pStyle w:val="null3"/>
              <w:jc w:val="left"/>
            </w:pPr>
            <w:r>
              <w:rPr>
                <w:rFonts w:ascii="仿宋_GB2312" w:hAnsi="仿宋_GB2312" w:cs="仿宋_GB2312" w:eastAsia="仿宋_GB2312"/>
                <w:sz w:val="20"/>
              </w:rPr>
              <w:t>（五）性能要求</w:t>
            </w:r>
          </w:p>
          <w:p>
            <w:pPr>
              <w:pStyle w:val="null3"/>
              <w:jc w:val="left"/>
            </w:pPr>
            <w:r>
              <w:rPr>
                <w:rFonts w:ascii="仿宋_GB2312" w:hAnsi="仿宋_GB2312" w:cs="仿宋_GB2312" w:eastAsia="仿宋_GB2312"/>
                <w:sz w:val="20"/>
              </w:rPr>
              <w:t>1.平均响应时间＜1 秒，并发峰值响应＜3 秒；</w:t>
            </w:r>
          </w:p>
          <w:p>
            <w:pPr>
              <w:pStyle w:val="null3"/>
              <w:jc w:val="left"/>
            </w:pPr>
            <w:r>
              <w:rPr>
                <w:rFonts w:ascii="仿宋_GB2312" w:hAnsi="仿宋_GB2312" w:cs="仿宋_GB2312" w:eastAsia="仿宋_GB2312"/>
                <w:sz w:val="20"/>
              </w:rPr>
              <w:t>2.支持多人同时在线查阅图纸。</w:t>
            </w:r>
          </w:p>
          <w:p>
            <w:pPr>
              <w:pStyle w:val="null3"/>
              <w:jc w:val="left"/>
            </w:pPr>
            <w:r>
              <w:rPr>
                <w:rFonts w:ascii="仿宋_GB2312" w:hAnsi="仿宋_GB2312" w:cs="仿宋_GB2312" w:eastAsia="仿宋_GB2312"/>
                <w:sz w:val="20"/>
              </w:rPr>
              <w:t>（六）运维、售后与培训</w:t>
            </w:r>
          </w:p>
          <w:p>
            <w:pPr>
              <w:pStyle w:val="null3"/>
              <w:jc w:val="left"/>
            </w:pPr>
            <w:r>
              <w:rPr>
                <w:rFonts w:ascii="仿宋_GB2312" w:hAnsi="仿宋_GB2312" w:cs="仿宋_GB2312" w:eastAsia="仿宋_GB2312"/>
                <w:sz w:val="20"/>
              </w:rPr>
              <w:t>1.应提供3年7×24小时免费质保与售后，30分钟响应，一般问题4小时解决；</w:t>
            </w:r>
          </w:p>
          <w:p>
            <w:pPr>
              <w:pStyle w:val="null3"/>
              <w:jc w:val="left"/>
            </w:pPr>
            <w:r>
              <w:rPr>
                <w:rFonts w:ascii="仿宋_GB2312" w:hAnsi="仿宋_GB2312" w:cs="仿宋_GB2312" w:eastAsia="仿宋_GB2312"/>
                <w:sz w:val="20"/>
              </w:rPr>
              <w:t>2.重大故障4小时内到场；</w:t>
            </w:r>
          </w:p>
          <w:p>
            <w:pPr>
              <w:pStyle w:val="null3"/>
              <w:jc w:val="left"/>
            </w:pPr>
            <w:r>
              <w:rPr>
                <w:rFonts w:ascii="仿宋_GB2312" w:hAnsi="仿宋_GB2312" w:cs="仿宋_GB2312" w:eastAsia="仿宋_GB2312"/>
                <w:sz w:val="20"/>
              </w:rPr>
              <w:t>3.提供操作培训、技术培训、管理培训，含法规标准、安全规范；</w:t>
            </w:r>
          </w:p>
          <w:p>
            <w:pPr>
              <w:pStyle w:val="null3"/>
              <w:jc w:val="left"/>
            </w:pPr>
            <w:r>
              <w:rPr>
                <w:rFonts w:ascii="仿宋_GB2312" w:hAnsi="仿宋_GB2312" w:cs="仿宋_GB2312" w:eastAsia="仿宋_GB2312"/>
                <w:sz w:val="20"/>
              </w:rPr>
              <w:t>4.交付内容应包括但不限于开发计划、需求说明书、设计文档、测试报告、操作手册、运维手册等文件。</w:t>
            </w:r>
          </w:p>
          <w:p>
            <w:pPr>
              <w:pStyle w:val="null3"/>
              <w:jc w:val="left"/>
            </w:pPr>
            <w:r>
              <w:rPr>
                <w:rFonts w:ascii="仿宋_GB2312" w:hAnsi="仿宋_GB2312" w:cs="仿宋_GB2312" w:eastAsia="仿宋_GB2312"/>
                <w:sz w:val="20"/>
                <w:b/>
              </w:rPr>
              <w:t>四、安全保密要求</w:t>
            </w:r>
          </w:p>
          <w:p>
            <w:pPr>
              <w:pStyle w:val="null3"/>
              <w:jc w:val="left"/>
            </w:pPr>
            <w:r>
              <w:rPr>
                <w:rFonts w:ascii="仿宋_GB2312" w:hAnsi="仿宋_GB2312" w:cs="仿宋_GB2312" w:eastAsia="仿宋_GB2312"/>
                <w:sz w:val="20"/>
              </w:rPr>
              <w:t>服务供应商必须严格遵守《档案法》和《保密法》，与采购人签订《保密协议》，对在整理和数字化加工服务中涉及的档案内容承担保密义务，并有责任对参与本项目工作的人员进行档案保密安全教育，以防止泄密事件的发生。否则，</w:t>
            </w:r>
            <w:r>
              <w:rPr>
                <w:rFonts w:ascii="仿宋_GB2312" w:hAnsi="仿宋_GB2312" w:cs="仿宋_GB2312" w:eastAsia="仿宋_GB2312"/>
                <w:sz w:val="20"/>
              </w:rPr>
              <w:t>本中心</w:t>
            </w:r>
            <w:r>
              <w:rPr>
                <w:rFonts w:ascii="仿宋_GB2312" w:hAnsi="仿宋_GB2312" w:cs="仿宋_GB2312" w:eastAsia="仿宋_GB2312"/>
                <w:sz w:val="20"/>
              </w:rPr>
              <w:t>有权根据发生问题的严重程度，追究成交服务供应商及其相关责任人的涉密责任。</w:t>
            </w:r>
          </w:p>
          <w:p>
            <w:pPr>
              <w:pStyle w:val="null3"/>
              <w:jc w:val="left"/>
            </w:pPr>
            <w:r>
              <w:rPr>
                <w:rFonts w:ascii="仿宋_GB2312" w:hAnsi="仿宋_GB2312" w:cs="仿宋_GB2312" w:eastAsia="仿宋_GB2312"/>
                <w:sz w:val="20"/>
              </w:rPr>
              <w:t>1.外籍人员不能参与本项目，也不能与本项目有任何直接或间接联系。</w:t>
            </w:r>
          </w:p>
          <w:p>
            <w:pPr>
              <w:pStyle w:val="null3"/>
              <w:jc w:val="left"/>
            </w:pPr>
            <w:r>
              <w:rPr>
                <w:rFonts w:ascii="仿宋_GB2312" w:hAnsi="仿宋_GB2312" w:cs="仿宋_GB2312" w:eastAsia="仿宋_GB2312"/>
                <w:sz w:val="20"/>
              </w:rPr>
              <w:t>2.服务供应商须建立严格的保密制度，加强管理，工作人员不得无故查看及讨论档案内容。</w:t>
            </w:r>
          </w:p>
          <w:p>
            <w:pPr>
              <w:pStyle w:val="null3"/>
              <w:jc w:val="left"/>
            </w:pPr>
            <w:r>
              <w:rPr>
                <w:rFonts w:ascii="仿宋_GB2312" w:hAnsi="仿宋_GB2312" w:cs="仿宋_GB2312" w:eastAsia="仿宋_GB2312"/>
                <w:sz w:val="20"/>
              </w:rPr>
              <w:t>3.服务供应商要与</w:t>
            </w:r>
            <w:r>
              <w:rPr>
                <w:rFonts w:ascii="仿宋_GB2312" w:hAnsi="仿宋_GB2312" w:cs="仿宋_GB2312" w:eastAsia="仿宋_GB2312"/>
                <w:sz w:val="20"/>
              </w:rPr>
              <w:t>本中心</w:t>
            </w:r>
            <w:r>
              <w:rPr>
                <w:rFonts w:ascii="仿宋_GB2312" w:hAnsi="仿宋_GB2312" w:cs="仿宋_GB2312" w:eastAsia="仿宋_GB2312"/>
                <w:sz w:val="20"/>
              </w:rPr>
              <w:t>签订安全保密协议</w:t>
            </w:r>
            <w:r>
              <w:rPr>
                <w:rFonts w:ascii="仿宋_GB2312" w:hAnsi="仿宋_GB2312" w:cs="仿宋_GB2312" w:eastAsia="仿宋_GB2312"/>
                <w:sz w:val="20"/>
              </w:rPr>
              <w:t>;服务供应商须与每个工作人员签订保密协议，该保密协议一式三份，交</w:t>
            </w:r>
            <w:r>
              <w:rPr>
                <w:rFonts w:ascii="仿宋_GB2312" w:hAnsi="仿宋_GB2312" w:cs="仿宋_GB2312" w:eastAsia="仿宋_GB2312"/>
                <w:sz w:val="20"/>
              </w:rPr>
              <w:t>本中心</w:t>
            </w:r>
            <w:r>
              <w:rPr>
                <w:rFonts w:ascii="仿宋_GB2312" w:hAnsi="仿宋_GB2312" w:cs="仿宋_GB2312" w:eastAsia="仿宋_GB2312"/>
                <w:sz w:val="20"/>
              </w:rPr>
              <w:t>留底一份。</w:t>
            </w:r>
          </w:p>
          <w:p>
            <w:pPr>
              <w:pStyle w:val="null3"/>
              <w:jc w:val="left"/>
            </w:pPr>
            <w:r>
              <w:rPr>
                <w:rFonts w:ascii="仿宋_GB2312" w:hAnsi="仿宋_GB2312" w:cs="仿宋_GB2312" w:eastAsia="仿宋_GB2312"/>
                <w:sz w:val="20"/>
              </w:rPr>
              <w:t>4.服务供应商须在加工场地采取安全及保密措施，保证档案原件的安全和保密。不得涂改、损坏档案。</w:t>
            </w:r>
          </w:p>
          <w:p>
            <w:pPr>
              <w:pStyle w:val="null3"/>
              <w:jc w:val="left"/>
            </w:pPr>
            <w:r>
              <w:rPr>
                <w:rFonts w:ascii="仿宋_GB2312" w:hAnsi="仿宋_GB2312" w:cs="仿宋_GB2312" w:eastAsia="仿宋_GB2312"/>
                <w:sz w:val="20"/>
              </w:rPr>
              <w:t>5.不得在工作场所使用与工作无关的任何电器设备。计算机要贴封闭标签，USB端口要封闭，上班期间工作人员手机统一存放，专人保管。</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需提供加工现场所需监控设备，做到监控无死角</w:t>
            </w:r>
            <w:r>
              <w:rPr>
                <w:rFonts w:ascii="仿宋_GB2312" w:hAnsi="仿宋_GB2312" w:cs="仿宋_GB2312" w:eastAsia="仿宋_GB2312"/>
                <w:sz w:val="20"/>
              </w:rPr>
              <w:t>,监控录像存储硬盘与数字化成果存储硬盘同时移交，且承诺监控录像可以随时打开查看。</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.服务供应商须在商选文件中提供完善的项目安全管理措施、安全保密管理制度，明确安全岗位责任。</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.项目完成供应商撤离时，设备上的信息必须在项目业主的工作人员现场监督下销毁。</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.服务供应商不能遗失档案，服务供应商工作人员不得以任何方式复制、下载、留存、持有、使用和向外人泄露采购人的任何档案信息。</w:t>
            </w:r>
          </w:p>
          <w:p>
            <w:pPr>
              <w:pStyle w:val="null3"/>
              <w:jc w:val="left"/>
            </w:pPr>
            <w:r>
              <w:rPr>
                <w:rFonts w:ascii="仿宋_GB2312" w:hAnsi="仿宋_GB2312" w:cs="仿宋_GB2312" w:eastAsia="仿宋_GB2312"/>
                <w:sz w:val="20"/>
                <w:b/>
              </w:rPr>
              <w:t>五、维护及售后服务要求</w:t>
            </w:r>
          </w:p>
          <w:p>
            <w:pPr>
              <w:pStyle w:val="null3"/>
              <w:jc w:val="left"/>
            </w:pPr>
            <w:r>
              <w:rPr>
                <w:rFonts w:ascii="仿宋_GB2312" w:hAnsi="仿宋_GB2312" w:cs="仿宋_GB2312" w:eastAsia="仿宋_GB2312"/>
                <w:sz w:val="20"/>
              </w:rPr>
              <w:t>（一）产品维护</w:t>
            </w:r>
          </w:p>
          <w:p>
            <w:pPr>
              <w:pStyle w:val="null3"/>
              <w:jc w:val="left"/>
            </w:pPr>
            <w:r>
              <w:rPr>
                <w:rFonts w:ascii="仿宋_GB2312" w:hAnsi="仿宋_GB2312" w:cs="仿宋_GB2312" w:eastAsia="仿宋_GB2312"/>
                <w:sz w:val="20"/>
              </w:rPr>
              <w:t>1.供应商应签订《服务级别协议（SLA）》，明确系统可用性（≥99.9%）、故障响应时间（≤2小时）、数据备份频率（每日增量、每周全量），保障系统稳定运行。</w:t>
            </w:r>
          </w:p>
          <w:p>
            <w:pPr>
              <w:pStyle w:val="null3"/>
              <w:jc w:val="left"/>
            </w:pPr>
            <w:r>
              <w:rPr>
                <w:rFonts w:ascii="仿宋_GB2312" w:hAnsi="仿宋_GB2312" w:cs="仿宋_GB2312" w:eastAsia="仿宋_GB2312"/>
                <w:sz w:val="20"/>
              </w:rPr>
              <w:t>2.供应商应采用“等保三级”防护标准，部署防火墙、入侵检测系统（IDS）、数据防泄漏（DLP）工具，定期开展渗透测试，防范网络安全风险。</w:t>
            </w:r>
          </w:p>
          <w:p>
            <w:pPr>
              <w:pStyle w:val="null3"/>
              <w:jc w:val="left"/>
            </w:pPr>
            <w:r>
              <w:rPr>
                <w:rFonts w:ascii="仿宋_GB2312" w:hAnsi="仿宋_GB2312" w:cs="仿宋_GB2312" w:eastAsia="仿宋_GB2312"/>
                <w:sz w:val="20"/>
              </w:rPr>
              <w:t>3.为确保服务质量，须设置专职客户经理，并提供VIP服务。</w:t>
            </w:r>
          </w:p>
          <w:p>
            <w:pPr>
              <w:pStyle w:val="null3"/>
              <w:jc w:val="left"/>
            </w:pPr>
            <w:r>
              <w:rPr>
                <w:rFonts w:ascii="仿宋_GB2312" w:hAnsi="仿宋_GB2312" w:cs="仿宋_GB2312" w:eastAsia="仿宋_GB2312"/>
                <w:sz w:val="20"/>
              </w:rPr>
              <w:t>（二）售后服务</w:t>
            </w:r>
          </w:p>
          <w:p>
            <w:pPr>
              <w:pStyle w:val="null3"/>
              <w:jc w:val="left"/>
            </w:pPr>
            <w:r>
              <w:rPr>
                <w:rFonts w:ascii="仿宋_GB2312" w:hAnsi="仿宋_GB2312" w:cs="仿宋_GB2312" w:eastAsia="仿宋_GB2312"/>
                <w:sz w:val="20"/>
              </w:rPr>
              <w:t>要求提供至少</w:t>
            </w:r>
            <w:r>
              <w:rPr>
                <w:rFonts w:ascii="仿宋_GB2312" w:hAnsi="仿宋_GB2312" w:cs="仿宋_GB2312" w:eastAsia="仿宋_GB2312"/>
                <w:sz w:val="20"/>
              </w:rPr>
              <w:t>3年的产品质保期与免费维保服务，提供7*24小时技术响应支持。供应方应在本地或本省有稳定的技术支持团队。</w:t>
            </w:r>
          </w:p>
          <w:p>
            <w:pPr>
              <w:pStyle w:val="null3"/>
              <w:jc w:val="left"/>
            </w:pPr>
            <w:r>
              <w:rPr>
                <w:rFonts w:ascii="仿宋_GB2312" w:hAnsi="仿宋_GB2312" w:cs="仿宋_GB2312" w:eastAsia="仿宋_GB2312"/>
                <w:sz w:val="20"/>
                <w:b/>
              </w:rPr>
              <w:t>六、质量控制及验收要求</w:t>
            </w:r>
          </w:p>
          <w:p>
            <w:pPr>
              <w:pStyle w:val="null3"/>
              <w:jc w:val="left"/>
            </w:pPr>
            <w:r>
              <w:rPr>
                <w:rFonts w:ascii="仿宋_GB2312" w:hAnsi="仿宋_GB2312" w:cs="仿宋_GB2312" w:eastAsia="仿宋_GB2312"/>
                <w:sz w:val="20"/>
              </w:rPr>
              <w:t>（一）</w:t>
            </w:r>
            <w:r>
              <w:rPr>
                <w:rFonts w:ascii="仿宋_GB2312" w:hAnsi="仿宋_GB2312" w:cs="仿宋_GB2312" w:eastAsia="仿宋_GB2312"/>
                <w:sz w:val="20"/>
              </w:rPr>
              <w:t>交付成果不仅包括软件系统，还应交付完整的系统操作手册、数据库设计文档、培训材料等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（二）供应商须保证质量，包括对扫描图像质量、图像和实体的对应，数据完整性等多方面进行多重质量监控和检查。服务供应商应按照</w:t>
            </w:r>
            <w:r>
              <w:rPr>
                <w:rFonts w:ascii="仿宋_GB2312" w:hAnsi="仿宋_GB2312" w:cs="仿宋_GB2312" w:eastAsia="仿宋_GB2312"/>
                <w:sz w:val="20"/>
              </w:rPr>
              <w:t>100%的比例检查加工完成的档案，发现问题应立即更正或返工，保证加工质量。</w:t>
            </w:r>
          </w:p>
          <w:p>
            <w:pPr>
              <w:pStyle w:val="null3"/>
              <w:jc w:val="left"/>
            </w:pPr>
            <w:r>
              <w:rPr>
                <w:rFonts w:ascii="仿宋_GB2312" w:hAnsi="仿宋_GB2312" w:cs="仿宋_GB2312" w:eastAsia="仿宋_GB2312"/>
                <w:sz w:val="20"/>
              </w:rPr>
              <w:t>(三)供应商须交付采购需求表中全部硬件设备，同时保证设备完好。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确保有稳定专业的档案整理及数字化队伍，为保证项目的进度和质量，驻场工作人员应不少于4人，具备大专以上的学历且持有档案专业机构培训证书，其中项目经理需具备本科以上学历或档案专业副高级及以上职称。满足项目实施所需的专业知识与技能，能胜任相应岗位的工作，并保证项目的进度和质量。</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根据本项目实施情况，供应商自行提供。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西安市市政设施管理中心指定地点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数字化成果移交与验收 (1)验收方式。供应商应组织成立验收组与甲方代表共同参与验收。采用计算机自动检验与人工检验相结合的方式对纸质档案数字化成果进行验收检验。 (2)验收内容。主要包括对档案数字图像、档案目录数据、数据挂接、元数据、数字化工作中产生的工作文件、存储载体、软件系统等进行验收。 (3)验收指标。能够采用计算机自动检验的项目应采用计算机自动检验的方式进行100%检验，检验合格率应为100%。对于无法用计算机自动检验的项目，可根据情况以件或卷为单位采用抽检的方式进行人工检验。抽检比率不得低于5%，对于数据库条目与数字图像内容对应的准确性，抽检合格率应为100%,其他内容的抽检合格率应不低于95%。 (4)验收结论。档案数字化成果质量检验达到标准的要求，予以验收“通过”。验收未通过应视情况进行返工或修改后，重新进行验收。 (5)移交。验收合格的数据应按照档案数字化工作方案及时移交，并履行交接手续。 数字化后档案入库环节事项要求 档案数字化工作完成后，拆除过装订物的档案如需装订，应注意保持档案原貌，做到安全、准确、无遗漏。档案归还人库时，按照档案入库相关要求对档案进行处理和清点，并履行档案入库手续，入库完成后数字化加工移交方、接收方签字确认。 成品软件系统移交与验收 (1)验收方式：由供应商成立的验收组与甲方代表共同参与验收。 (2)验收内容：软件基础资料包括授权、账号、资料、版本；软件安装调试、环境配置、启动运行、基础功能、稳定兼容等；软件业务核心功能、数据挂接、数据处理、安全保密等。 (3)验收指标：软件为非盗版正式版本，授权有效，非临时、限时版、非功能限制版；软件可正常激活、安装、卸载，无报错、闪退、卡顿、恶意插件；软件与甲方现有办公操作系统、内网办公环境完全兼容、无冲突、兼容障碍；软件界面规范、菜单清晰、操作逻辑符合档案管理业务习惯，无外文障碍、错误提示、功能紊乱；软件系统目录数据与电子图像精准关联、扫描图像挂接准确、数量一致；软件资料齐全，可归档、可审计。 (4)验收结论：验收内容存在一项不合格，直接判定软件系统整体验收不合格，软件系统各项功能指标达到标准要求，予以验收“通过”。 (5)移交：供应商除软件系统本身移交外还须免费为甲方提供现场实操培训，直至参训人员可独立完成流程操作、日常维护、简单故障排查；应移交完整的培训课件、操作视频、常见问题解答资料等；乙方不得保留任何远程运维后门、超级管理员账户、隐形控制权限，如需远程维保，须经甲方书面批准并全程监控；移交过程不复制、不带走、不泄露任何档案信息。 硬件设备移交与验收 (1)验收方式:由供应商成立的验收组与甲方代表共同参与验收。 (2)验收内容。包括设备的整机实物验收、安装调试验收、功能性能验收。整机实物验收包括但不限于设备外观的完整性，无破损、拆封、改装；设备的品牌、型号、规格、配置参数等；设备主体、数据线、说明书、保修卡、合格证、安装工具、原厂配件等；设备的机身粘贴的原厂品牌标识、型号标识、序列号标识、安全警示标识、涉密专用标识等；设备的原厂包装箱、防震泡沫、防潮袋、运输包装等。安装调试验收包括设备的系统调试、网络适配、正常启动、无故障报错等；功能性能验收包括设备数字化加工功能、运行情况、技术参数、安全性能、兼容适配性等。 (3)验收结论：设备各项质量检验达到标准要求、符合合同约定，予以验收“通过”。验收不合格甲方有权拒收、退货、解除合同并追究供应商违约责任。 (4)移交：供应商除设备实物移交外须同步移交设备发票、原厂出厂合格证、质量检测报告、设备技术规格书、使用说明书、安装手册、操作手册、维保手册、质保承诺书、售后服务方案、维保人员联系方式、应急响应承诺、保密承诺书等纸质+电子双版本设备相关全套资料，加盖乙方公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进度款，本年度11月10日之前完成合同服务的全部内容，并验收合格后付合同总价的60%；若合同内容未完成，供应商出具履约保函后，达到付款条件起30个工作日内，支付合同总金额的60.0%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若乙方未能在合同约定时间内完工，每逾期一天应承担合同总价3%的违约金。若超过15日仍未完工甲方有权解除本合同，乙方应向甲方支付合同总价30%的违约金，若违约金数额不足以弥补由此给甲方造成的损失，乙方需补足。 （三）按合同要求提供服务或服务质量不能满足磋商技术要求，乙方必须无条件更换产品或设备，提高技术，完善服务质量，否则，甲方会同鉴证方有权终止合同，并对乙方的违约行为进行追究，同时按《政府采购法》等进行相应的处罚。 （四）如乙方在工作中违反本合同的约定，造成甲方档案信息泄密，档案丢失、毁损，甲方会同鉴证方有权终止合同，并要求乙方承担合同总价20%的违约金及由此产生的一切后果。 （五）因乙方违约的，甲方有权从应付款项中扣除其应当承担的违约金。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须向采购代理机构提供纸质版响应文件3套及电子版2套（电子版提供U盘），且提供的响应文件必须与在陕西省政府采购综合管理平台的项目电子化交易系统中递交的电子响应文件内容一致，纸质版响应文件必须装订成册签字盖章，电子版响应文件为纸质版签字盖章后的扫描件。 2、如磋商文件中融资相关内容与新政策要求有出入，按照最新要求执行。 注：第八章拟签订合同文本所述相关技术及产品要求和乙方责任均为本项目采购服务要求，供应商应仔细阅读，凡在响应文件中未明确提出偏离的均视为完全响应磋商文件合同条款要求。 3、本项目类别为服务采购项目，在服务采购项目中，服务的承接商应当为中小企业，不对其中涉及的货物的制造商作出要求。4、磋商文件中所要求的规程、规范和标准如出现过期或作废的情况，均以现行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的财务审计报告（报告需在注册会计师行业统一监管平台备案赋码）或提交响应文件截止时间六个月内其基本存款账户开户银行出具的资信证明（附开户许可证或开户备案证明或基本账户信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提供响应文件截止时间前六个月内任意一个月的纳税证明或完税证明（任意税种），依法免税的单位应提供相关证明材料；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提供具有履行合同所必需的设备和专业技术能力的承诺（格式自拟）；</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法定代表人授权书（附法定代表人、被授权人身份证复印件；法定代表人直接参加磋商的须出具法定代表人证明书）；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供应商须具备国家秘密载体印制资质中涉密档案数字化加工乙级及以上资质，并取得档案行政管理部门提供的有效备案证明材料；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供应商声明2021年-2025年未发生过档案安全事故、泄密事件，无非法获取或非法持有档案、档案复印件、国家秘密载体等行为记录；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供应商认为有必要补充说明的事项.docx 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完全响应磋商文件要求的各项技术及服务、服务期限、商务实质性条款。</w:t>
            </w:r>
          </w:p>
        </w:tc>
        <w:tc>
          <w:tcPr>
            <w:tcW w:type="dxa" w:w="1661"/>
          </w:tcPr>
          <w:p>
            <w:pPr>
              <w:pStyle w:val="null3"/>
            </w:pPr>
            <w:r>
              <w:rPr>
                <w:rFonts w:ascii="仿宋_GB2312" w:hAnsi="仿宋_GB2312" w:cs="仿宋_GB2312" w:eastAsia="仿宋_GB2312"/>
              </w:rPr>
              <w:t>响应文件封面 供应商认为有必要补充说明的事项.docx 中小企业声明函 分项报价明细表.docx 标的清单 规格技术参数偏离表.docx 报价表 资格证明材料.docx 响应函 商务条款偏离表.docx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（4）符合《报价函》及《分项报价表》的填报要求</w:t>
            </w:r>
          </w:p>
        </w:tc>
        <w:tc>
          <w:tcPr>
            <w:tcW w:type="dxa" w:w="1661"/>
          </w:tcPr>
          <w:p>
            <w:pPr>
              <w:pStyle w:val="null3"/>
            </w:pPr>
            <w:r>
              <w:rPr>
                <w:rFonts w:ascii="仿宋_GB2312" w:hAnsi="仿宋_GB2312" w:cs="仿宋_GB2312" w:eastAsia="仿宋_GB2312"/>
              </w:rPr>
              <w:t>分项报价明细表.docx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响应有效期是否达到磋商文件要求</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签章均符合磋商文件要求，且无遗漏。</w:t>
            </w:r>
          </w:p>
        </w:tc>
        <w:tc>
          <w:tcPr>
            <w:tcW w:type="dxa" w:w="1661"/>
          </w:tcPr>
          <w:p>
            <w:pPr>
              <w:pStyle w:val="null3"/>
            </w:pPr>
            <w:r>
              <w:rPr>
                <w:rFonts w:ascii="仿宋_GB2312" w:hAnsi="仿宋_GB2312" w:cs="仿宋_GB2312" w:eastAsia="仿宋_GB2312"/>
              </w:rPr>
              <w:t>磋商响应方案.docx 中小企业声明函 分项报价明细表.docx 报价表 响应文件封面 类似项目业绩.docx 供应商认为有必要补充说明的事项.docx 残疾人福利性单位声明函 标的清单 规格技术参数偏离表.docx 资格证明材料.docx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各供应商对项目实际需求提供的实施方案。内容包含：①技术实施细则（包含且不限于档案整理、档案数字化加工等）②技术服务流程③技术手段④工作思路及任务⑤内部管理制度⑥项目计划与进度安排⑦安全保障及保密方案⑧服务质量保证⑨实施应急预案⑩培训方案。按其响应程度进行综合赋分。（1）每有一项内容进行了详细阐述且完全满足项目需求的，得4分； （2）每有一项内容进行了阐述且基本满足项目需求的，得2分；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纸质档案整理及数字化加工</w:t>
            </w:r>
          </w:p>
        </w:tc>
        <w:tc>
          <w:tcPr>
            <w:tcW w:type="dxa" w:w="2492"/>
          </w:tcPr>
          <w:p>
            <w:pPr>
              <w:pStyle w:val="null3"/>
            </w:pPr>
            <w:r>
              <w:rPr>
                <w:rFonts w:ascii="仿宋_GB2312" w:hAnsi="仿宋_GB2312" w:cs="仿宋_GB2312" w:eastAsia="仿宋_GB2312"/>
              </w:rPr>
              <w:t>根据各供应商提供的纸质档案整理实施方案（包括但不限于对采购人业务档案整理、组卷、打码、著录、修整、装订、业务归档资料的装盒、排架与立卷等）和数字化加工实施方案（包括但不限于档案录入文字或数字的正确率保障措施；执行的数字化标准及规范；关键性技术问题的阐述等）。 （1）实施方案内容全面详细、合理可行，得12分； （2）实施方案内容较全面、较合理可行，得8分； （3）实施方案内容基本全面、基本合理可行，得6分； （4）实施方案内容简单、欠合理，得2分； （5）未提供不得分。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软件系统</w:t>
            </w:r>
          </w:p>
        </w:tc>
        <w:tc>
          <w:tcPr>
            <w:tcW w:type="dxa" w:w="2492"/>
          </w:tcPr>
          <w:p>
            <w:pPr>
              <w:pStyle w:val="null3"/>
            </w:pPr>
            <w:r>
              <w:rPr>
                <w:rFonts w:ascii="仿宋_GB2312" w:hAnsi="仿宋_GB2312" w:cs="仿宋_GB2312" w:eastAsia="仿宋_GB2312"/>
              </w:rPr>
              <w:t>根据各供应商提供的软件系统设计方案进行综合评审，方案须包括但不限于成品软件的运行测试数据、用户满意度、维护记录、无障碍天数以及故障应对措施等。 由磋商小组进行评分。 （1）方案内容完整、详实，重点突出，逻辑清晰。提供的证明材料丰富、真实可信，系统功能设计科学合理，运维及故障应对措施完善，完全契合本项目实际需求，可操作性极强，优于采购要求的得8分； （2）方案内容较完整，条理较清晰。提供的证明材料较充分，系统功能设计基本合理，具备常规的运维及故障处理能力，能够较好地满足项目需求，可操作性较强得6分； （3）方案内容基本完整，但深度一般。提供的证明材料较少，系统功能设计无明显错误，运维及故障应对措施基本具备，基本符合项目需求，可操作性一般得4分； （4）方案内容简单粗糙，存在明显缺漏。提供的证明材料不充分或缺乏针对性，系统功能设计模糊，运维及故障应对措施流于形式，可操作性较差得2分； （5）未提供相关方案或内容完全不适用的不得分。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供应商需成立市政基础资料项目部。 （1）提供的服务人员配备组建完整、搭配合理、团队成员具有丰富的类似项目经验，完全满足项目需求，总体实力较强的得6分； （2）提供的服务团队组成搭配合理，团队成员具有较多的同类项目经验，可基本满足项目需求的得4分； （3）提供的服务团队组成搭配基本可行，团队成员同类项目经验一般，较难满足项目需求的得2分。 （4）提供的服务团队组成搭配缺乏合理性，团队成员同类项目经验少，较难满足项目需求的得1分。 （5）未提供不得分。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依据所提供的针对本项目投入的设备配置情况，结合相关技术支持材料，根据设备配置数量、设备先进性等情况，自主赋分。 （1）投入本项目的设备配置满足实际使用需求，各类设备齐全，整体参数优，设备先进性高，技术支持材料详实，得8分； （2）投入本项目的设备配置基本齐全，整体参数基本满足，技术支持材料较少，得5分。 （3）投入本项目的设备配置不齐全，整体参数较差，技术支持材料少，得2分。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分项报价明细表.docx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供应商提供详细的售后服务方案（有售后服务能力，能满足采购人后续售后服务需求的人员和技术支持，在服务期内对于所需处理的问题及其他可能发生的状况有技术和人员保障）。 （1）售后服务方案科学完整，服务措施到位，符合项目实际和需求，得6分； （2）售后服务方案内容基本完整，服务措施基本到位，基本符合项目实际需求，得3分。 （3）售后服务方案内容欠缺，服务措施一般，一般符合项目实际需求，得1分。 （4）未提供不得分。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磋商小组根据供应商提供的2023年1月1日至今类似档案整理项目业绩（以合同签订日期为准，提供合同复印件，含合同关键页（即合同首页、合同标的物、合同金额页及双方签字盖章页））进行评定，每份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经资格审查、符合性审查合格的磋商响应文件，其磋商报价为有效报价。满足磋商文件要求且磋商报价最低的磋商报价为评标基准价，其价格分为满分。其他供应商的价格分统一按照下列公式计算： 磋商报价得分=（评标基准价/磋商报价）×15。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详见附件：类似项目业绩.docx</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