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4B391">
      <w:pPr>
        <w:adjustRightInd/>
        <w:snapToGrid/>
        <w:spacing w:line="360" w:lineRule="auto"/>
        <w:jc w:val="center"/>
        <w:outlineLvl w:val="0"/>
        <w:rPr>
          <w:rFonts w:hint="eastAsia" w:ascii="仿宋_GB2312" w:hAnsi="仿宋_GB2312" w:eastAsia="仿宋_GB2312" w:cs="仿宋_GB2312"/>
          <w:b/>
          <w:kern w:val="0"/>
          <w:sz w:val="36"/>
          <w:szCs w:val="20"/>
          <w:lang w:val="en-US" w:eastAsia="zh-CN"/>
        </w:rPr>
      </w:pPr>
      <w:bookmarkStart w:id="0" w:name="_Toc27555"/>
      <w:r>
        <w:rPr>
          <w:rFonts w:hint="eastAsia" w:ascii="仿宋_GB2312" w:hAnsi="仿宋_GB2312" w:eastAsia="仿宋_GB2312" w:cs="仿宋_GB2312"/>
          <w:b/>
          <w:kern w:val="0"/>
          <w:sz w:val="36"/>
          <w:szCs w:val="20"/>
          <w:lang w:val="en-US" w:eastAsia="zh-CN"/>
        </w:rPr>
        <w:t>第八章 拟签订采购合同文本</w:t>
      </w:r>
      <w:bookmarkEnd w:id="0"/>
    </w:p>
    <w:p w14:paraId="7DB9D1D2">
      <w:pPr>
        <w:pStyle w:val="2"/>
        <w:spacing w:line="366" w:lineRule="auto"/>
        <w:rPr>
          <w:rFonts w:hint="eastAsia" w:ascii="仿宋_GB2312" w:hAnsi="仿宋_GB2312" w:eastAsia="仿宋_GB2312" w:cs="仿宋_GB2312"/>
          <w:highlight w:val="none"/>
          <w:lang w:eastAsia="zh-CN"/>
        </w:rPr>
      </w:pPr>
    </w:p>
    <w:p w14:paraId="5AA02363">
      <w:pPr>
        <w:spacing w:line="360" w:lineRule="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pacing w:val="-7"/>
          <w:sz w:val="28"/>
          <w:szCs w:val="28"/>
          <w:highlight w:val="none"/>
          <w:lang w:eastAsia="zh-CN"/>
        </w:rPr>
        <w:t>合同编号：</w:t>
      </w:r>
    </w:p>
    <w:p w14:paraId="53A4FEC0">
      <w:pPr>
        <w:pStyle w:val="2"/>
        <w:spacing w:line="360" w:lineRule="auto"/>
        <w:rPr>
          <w:rFonts w:hint="eastAsia" w:ascii="仿宋_GB2312" w:hAnsi="仿宋_GB2312" w:eastAsia="仿宋_GB2312" w:cs="仿宋_GB2312"/>
          <w:highlight w:val="none"/>
          <w:lang w:eastAsia="zh-CN"/>
        </w:rPr>
      </w:pPr>
    </w:p>
    <w:p w14:paraId="6AD03574">
      <w:pPr>
        <w:shd w:val="clear" w:color="auto" w:fill="auto"/>
        <w:spacing w:line="240" w:lineRule="auto"/>
        <w:jc w:val="center"/>
        <w:rPr>
          <w:rFonts w:hint="eastAsia" w:ascii="仿宋_GB2312" w:hAnsi="仿宋_GB2312" w:eastAsia="仿宋_GB2312" w:cs="仿宋_GB2312"/>
          <w:b/>
          <w:bCs/>
          <w:kern w:val="0"/>
          <w:sz w:val="48"/>
          <w:szCs w:val="20"/>
          <w:highlight w:val="none"/>
          <w:u w:val="none"/>
          <w:lang w:eastAsia="zh-CN"/>
        </w:rPr>
      </w:pPr>
      <w:r>
        <w:rPr>
          <w:rFonts w:hint="eastAsia" w:ascii="仿宋_GB2312" w:hAnsi="仿宋_GB2312" w:eastAsia="仿宋_GB2312" w:cs="仿宋_GB2312"/>
          <w:b/>
          <w:bCs/>
          <w:kern w:val="0"/>
          <w:sz w:val="48"/>
          <w:szCs w:val="20"/>
          <w:highlight w:val="none"/>
          <w:u w:val="none"/>
          <w:lang w:eastAsia="zh-CN"/>
        </w:rPr>
        <w:t>市政基础资料</w:t>
      </w:r>
    </w:p>
    <w:p w14:paraId="5FBD969F">
      <w:pPr>
        <w:pStyle w:val="2"/>
        <w:spacing w:line="360" w:lineRule="auto"/>
        <w:rPr>
          <w:rFonts w:hint="eastAsia" w:ascii="仿宋_GB2312" w:hAnsi="仿宋_GB2312" w:eastAsia="仿宋_GB2312" w:cs="仿宋_GB2312"/>
          <w:highlight w:val="none"/>
          <w:lang w:eastAsia="zh-CN"/>
        </w:rPr>
      </w:pPr>
    </w:p>
    <w:p w14:paraId="0EB52EC6">
      <w:pPr>
        <w:pStyle w:val="2"/>
        <w:spacing w:line="360" w:lineRule="auto"/>
        <w:rPr>
          <w:rFonts w:hint="eastAsia" w:ascii="仿宋_GB2312" w:hAnsi="仿宋_GB2312" w:eastAsia="仿宋_GB2312" w:cs="仿宋_GB2312"/>
          <w:highlight w:val="none"/>
          <w:lang w:eastAsia="zh-CN"/>
        </w:rPr>
      </w:pPr>
    </w:p>
    <w:p w14:paraId="731775DC">
      <w:pPr>
        <w:pStyle w:val="2"/>
        <w:spacing w:line="360" w:lineRule="auto"/>
        <w:rPr>
          <w:rFonts w:hint="eastAsia" w:ascii="仿宋_GB2312" w:hAnsi="仿宋_GB2312" w:eastAsia="仿宋_GB2312" w:cs="仿宋_GB2312"/>
          <w:highlight w:val="none"/>
          <w:lang w:eastAsia="zh-CN"/>
        </w:rPr>
      </w:pPr>
    </w:p>
    <w:p w14:paraId="658B0366">
      <w:pPr>
        <w:pStyle w:val="2"/>
        <w:spacing w:line="360" w:lineRule="auto"/>
        <w:rPr>
          <w:rFonts w:hint="eastAsia" w:ascii="仿宋_GB2312" w:hAnsi="仿宋_GB2312" w:eastAsia="仿宋_GB2312" w:cs="仿宋_GB2312"/>
          <w:highlight w:val="none"/>
          <w:lang w:eastAsia="zh-CN"/>
        </w:rPr>
      </w:pPr>
    </w:p>
    <w:p w14:paraId="376AD40F">
      <w:pPr>
        <w:pStyle w:val="2"/>
        <w:spacing w:line="360" w:lineRule="auto"/>
        <w:rPr>
          <w:rFonts w:hint="eastAsia" w:ascii="仿宋_GB2312" w:hAnsi="仿宋_GB2312" w:eastAsia="仿宋_GB2312" w:cs="仿宋_GB2312"/>
          <w:highlight w:val="none"/>
          <w:lang w:eastAsia="zh-CN"/>
        </w:rPr>
      </w:pPr>
    </w:p>
    <w:p w14:paraId="05D8ED6B">
      <w:pPr>
        <w:spacing w:line="360" w:lineRule="auto"/>
        <w:jc w:val="center"/>
        <w:outlineLvl w:val="0"/>
        <w:rPr>
          <w:rFonts w:hint="eastAsia" w:ascii="仿宋_GB2312" w:hAnsi="仿宋_GB2312" w:eastAsia="仿宋_GB2312" w:cs="仿宋_GB2312"/>
          <w:sz w:val="44"/>
          <w:szCs w:val="44"/>
          <w:highlight w:val="none"/>
          <w:lang w:eastAsia="zh-CN"/>
        </w:rPr>
      </w:pPr>
      <w:r>
        <w:rPr>
          <w:rFonts w:hint="eastAsia" w:ascii="仿宋_GB2312" w:hAnsi="仿宋_GB2312" w:eastAsia="仿宋_GB2312" w:cs="仿宋_GB2312"/>
          <w:b/>
          <w:bCs/>
          <w:spacing w:val="8"/>
          <w:sz w:val="44"/>
          <w:szCs w:val="44"/>
          <w:highlight w:val="none"/>
          <w:lang w:val="en-US" w:eastAsia="zh-CN"/>
        </w:rPr>
        <w:t>采购</w:t>
      </w:r>
      <w:r>
        <w:rPr>
          <w:rFonts w:hint="eastAsia" w:ascii="仿宋_GB2312" w:hAnsi="仿宋_GB2312" w:eastAsia="仿宋_GB2312" w:cs="仿宋_GB2312"/>
          <w:b/>
          <w:bCs/>
          <w:spacing w:val="8"/>
          <w:sz w:val="44"/>
          <w:szCs w:val="44"/>
          <w:highlight w:val="none"/>
          <w:lang w:eastAsia="zh-CN"/>
        </w:rPr>
        <w:t>合同</w:t>
      </w:r>
    </w:p>
    <w:p w14:paraId="5E1BB402">
      <w:pPr>
        <w:pStyle w:val="2"/>
        <w:spacing w:line="360" w:lineRule="auto"/>
        <w:rPr>
          <w:rFonts w:hint="eastAsia" w:ascii="宋体" w:hAnsi="宋体" w:eastAsia="宋体" w:cs="宋体"/>
          <w:highlight w:val="none"/>
          <w:lang w:eastAsia="zh-CN"/>
        </w:rPr>
      </w:pPr>
    </w:p>
    <w:p w14:paraId="4A7B6FAF">
      <w:pPr>
        <w:pStyle w:val="2"/>
        <w:spacing w:line="360" w:lineRule="auto"/>
        <w:rPr>
          <w:rFonts w:hint="eastAsia" w:ascii="宋体" w:hAnsi="宋体" w:eastAsia="宋体" w:cs="宋体"/>
          <w:highlight w:val="none"/>
          <w:lang w:eastAsia="zh-CN"/>
        </w:rPr>
      </w:pPr>
    </w:p>
    <w:p w14:paraId="0A8F6401">
      <w:pPr>
        <w:pStyle w:val="2"/>
        <w:spacing w:line="360" w:lineRule="auto"/>
        <w:rPr>
          <w:rFonts w:hint="eastAsia" w:ascii="宋体" w:hAnsi="宋体" w:eastAsia="宋体" w:cs="宋体"/>
          <w:highlight w:val="none"/>
          <w:lang w:eastAsia="zh-CN"/>
        </w:rPr>
      </w:pPr>
    </w:p>
    <w:p w14:paraId="6BA0C125">
      <w:pPr>
        <w:pStyle w:val="2"/>
        <w:spacing w:line="360" w:lineRule="auto"/>
        <w:rPr>
          <w:rFonts w:hint="eastAsia" w:ascii="宋体" w:hAnsi="宋体" w:eastAsia="宋体" w:cs="宋体"/>
          <w:highlight w:val="none"/>
          <w:lang w:eastAsia="zh-CN"/>
        </w:rPr>
      </w:pPr>
    </w:p>
    <w:p w14:paraId="217BA22C">
      <w:pPr>
        <w:pStyle w:val="2"/>
        <w:spacing w:line="360" w:lineRule="auto"/>
        <w:rPr>
          <w:rFonts w:hint="eastAsia" w:ascii="宋体" w:hAnsi="宋体" w:eastAsia="宋体" w:cs="宋体"/>
          <w:highlight w:val="none"/>
          <w:lang w:eastAsia="zh-CN"/>
        </w:rPr>
      </w:pPr>
    </w:p>
    <w:p w14:paraId="06FFF5CB">
      <w:pPr>
        <w:pStyle w:val="2"/>
        <w:spacing w:line="360" w:lineRule="auto"/>
        <w:rPr>
          <w:rFonts w:hint="eastAsia" w:ascii="宋体" w:hAnsi="宋体" w:eastAsia="宋体" w:cs="宋体"/>
          <w:highlight w:val="none"/>
          <w:lang w:eastAsia="zh-CN"/>
        </w:rPr>
      </w:pPr>
    </w:p>
    <w:p w14:paraId="67D059D8">
      <w:pPr>
        <w:pStyle w:val="2"/>
        <w:spacing w:line="360" w:lineRule="auto"/>
        <w:rPr>
          <w:rFonts w:hint="eastAsia" w:ascii="宋体" w:hAnsi="宋体" w:eastAsia="宋体" w:cs="宋体"/>
          <w:highlight w:val="none"/>
          <w:lang w:eastAsia="zh-CN"/>
        </w:rPr>
      </w:pPr>
    </w:p>
    <w:p w14:paraId="1EEF92DD">
      <w:pPr>
        <w:pStyle w:val="2"/>
        <w:spacing w:line="360" w:lineRule="auto"/>
        <w:rPr>
          <w:rFonts w:hint="eastAsia" w:ascii="宋体" w:hAnsi="宋体" w:eastAsia="宋体" w:cs="宋体"/>
          <w:highlight w:val="none"/>
          <w:lang w:eastAsia="zh-CN"/>
        </w:rPr>
      </w:pPr>
    </w:p>
    <w:p w14:paraId="1801234D">
      <w:pPr>
        <w:spacing w:line="360" w:lineRule="auto"/>
        <w:ind w:firstLine="2992" w:firstLineChars="1100"/>
        <w:jc w:val="both"/>
        <w:rPr>
          <w:rFonts w:hint="eastAsia" w:ascii="仿宋_GB2312" w:hAnsi="仿宋_GB2312" w:eastAsia="仿宋_GB2312" w:cs="仿宋_GB2312"/>
          <w:sz w:val="28"/>
          <w:szCs w:val="28"/>
          <w:highlight w:val="none"/>
          <w:u w:val="single"/>
          <w:lang w:val="en-US" w:eastAsia="zh-CN"/>
        </w:rPr>
      </w:pPr>
      <w:r>
        <w:rPr>
          <w:rFonts w:hint="eastAsia" w:ascii="仿宋_GB2312" w:hAnsi="仿宋_GB2312" w:eastAsia="仿宋_GB2312" w:cs="仿宋_GB2312"/>
          <w:spacing w:val="-4"/>
          <w:sz w:val="28"/>
          <w:szCs w:val="28"/>
          <w:highlight w:val="none"/>
          <w:lang w:eastAsia="zh-CN"/>
        </w:rPr>
        <w:t>甲方：</w:t>
      </w:r>
      <w:r>
        <w:rPr>
          <w:rFonts w:hint="eastAsia" w:ascii="仿宋_GB2312" w:hAnsi="仿宋_GB2312" w:eastAsia="仿宋_GB2312" w:cs="仿宋_GB2312"/>
          <w:spacing w:val="-4"/>
          <w:sz w:val="28"/>
          <w:szCs w:val="28"/>
          <w:highlight w:val="none"/>
          <w:u w:val="single"/>
          <w:lang w:eastAsia="zh-CN"/>
        </w:rPr>
        <w:t>西安市市政设施管理中心</w:t>
      </w:r>
    </w:p>
    <w:p w14:paraId="1265CADC">
      <w:pPr>
        <w:spacing w:line="360" w:lineRule="auto"/>
        <w:ind w:firstLine="3014" w:firstLineChars="1100"/>
        <w:jc w:val="both"/>
        <w:rPr>
          <w:rFonts w:hint="eastAsia" w:ascii="仿宋_GB2312" w:hAnsi="仿宋_GB2312" w:eastAsia="仿宋_GB2312" w:cs="仿宋_GB2312"/>
          <w:spacing w:val="-3"/>
          <w:sz w:val="28"/>
          <w:szCs w:val="28"/>
          <w:highlight w:val="none"/>
          <w:u w:val="single"/>
          <w:lang w:val="en-US" w:eastAsia="zh-CN"/>
        </w:rPr>
      </w:pPr>
      <w:r>
        <w:rPr>
          <w:rFonts w:hint="eastAsia" w:ascii="仿宋_GB2312" w:hAnsi="仿宋_GB2312" w:eastAsia="仿宋_GB2312" w:cs="仿宋_GB2312"/>
          <w:spacing w:val="-3"/>
          <w:sz w:val="28"/>
          <w:szCs w:val="28"/>
          <w:highlight w:val="none"/>
          <w:lang w:eastAsia="zh-CN"/>
        </w:rPr>
        <w:t>乙方：</w:t>
      </w:r>
      <w:r>
        <w:rPr>
          <w:rFonts w:hint="eastAsia" w:ascii="仿宋_GB2312" w:hAnsi="仿宋_GB2312" w:eastAsia="仿宋_GB2312" w:cs="仿宋_GB2312"/>
          <w:spacing w:val="-3"/>
          <w:sz w:val="28"/>
          <w:szCs w:val="28"/>
          <w:highlight w:val="none"/>
          <w:u w:val="single"/>
          <w:lang w:val="en-US" w:eastAsia="zh-CN"/>
        </w:rPr>
        <w:t xml:space="preserve">                   </w:t>
      </w:r>
    </w:p>
    <w:p w14:paraId="54CAF741">
      <w:pPr>
        <w:pStyle w:val="3"/>
        <w:rPr>
          <w:rFonts w:hint="eastAsia" w:ascii="仿宋_GB2312" w:hAnsi="仿宋_GB2312" w:eastAsia="仿宋_GB2312" w:cs="仿宋_GB2312"/>
          <w:spacing w:val="-4"/>
          <w:kern w:val="2"/>
          <w:sz w:val="28"/>
          <w:szCs w:val="28"/>
          <w:highlight w:val="none"/>
          <w:u w:val="none"/>
          <w:lang w:val="en-US" w:eastAsia="zh-CN" w:bidi="ar-SA"/>
        </w:rPr>
      </w:pP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spacing w:val="-4"/>
          <w:kern w:val="2"/>
          <w:sz w:val="28"/>
          <w:szCs w:val="28"/>
          <w:highlight w:val="none"/>
          <w:u w:val="none"/>
          <w:lang w:val="en-US" w:eastAsia="zh-CN" w:bidi="ar-SA"/>
        </w:rPr>
        <w:t xml:space="preserve">    签订日期：     年    月    日</w:t>
      </w:r>
    </w:p>
    <w:p w14:paraId="6EDF2158">
      <w:pPr>
        <w:rPr>
          <w:rFonts w:hint="eastAsia" w:ascii="仿宋_GB2312" w:hAnsi="仿宋_GB2312" w:eastAsia="仿宋_GB2312" w:cs="仿宋_GB2312"/>
          <w:spacing w:val="-4"/>
          <w:kern w:val="2"/>
          <w:sz w:val="28"/>
          <w:szCs w:val="28"/>
          <w:highlight w:val="none"/>
          <w:u w:val="none"/>
          <w:lang w:val="en-US" w:eastAsia="zh-CN" w:bidi="ar-SA"/>
        </w:rPr>
      </w:pPr>
      <w:r>
        <w:rPr>
          <w:rFonts w:hint="eastAsia" w:ascii="仿宋_GB2312" w:hAnsi="仿宋_GB2312" w:eastAsia="仿宋_GB2312" w:cs="仿宋_GB2312"/>
          <w:spacing w:val="-4"/>
          <w:kern w:val="2"/>
          <w:sz w:val="28"/>
          <w:szCs w:val="28"/>
          <w:highlight w:val="none"/>
          <w:u w:val="none"/>
          <w:lang w:val="en-US" w:eastAsia="zh-CN" w:bidi="ar-SA"/>
        </w:rPr>
        <w:br w:type="page"/>
      </w:r>
    </w:p>
    <w:p w14:paraId="014AAF4B">
      <w:pPr>
        <w:spacing w:line="500" w:lineRule="exact"/>
        <w:ind w:firstLine="360" w:firstLineChars="150"/>
        <w:rPr>
          <w:rFonts w:hint="eastAsia" w:ascii="仿宋" w:hAnsi="仿宋" w:eastAsia="仿宋" w:cs="仿宋"/>
          <w:sz w:val="24"/>
        </w:rPr>
      </w:pPr>
      <w:r>
        <w:rPr>
          <w:rFonts w:hint="eastAsia" w:ascii="仿宋" w:hAnsi="仿宋" w:eastAsia="仿宋" w:cs="仿宋"/>
          <w:sz w:val="24"/>
        </w:rPr>
        <w:t>甲方(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rPr>
        <w:fldChar w:fldCharType="separate"/>
      </w:r>
      <w:r>
        <w:rPr>
          <w:rFonts w:hint="eastAsia" w:ascii="仿宋" w:hAnsi="仿宋" w:eastAsia="仿宋" w:cs="仿宋"/>
          <w:sz w:val="24"/>
        </w:rPr>
        <w:t>采购人</w:t>
      </w:r>
      <w:r>
        <w:rPr>
          <w:rFonts w:hint="eastAsia" w:ascii="仿宋" w:hAnsi="仿宋" w:eastAsia="仿宋" w:cs="仿宋"/>
          <w:sz w:val="24"/>
        </w:rPr>
        <w:fldChar w:fldCharType="end"/>
      </w:r>
      <w:r>
        <w:rPr>
          <w:rFonts w:hint="eastAsia" w:ascii="仿宋" w:hAnsi="仿宋" w:eastAsia="仿宋" w:cs="仿宋"/>
          <w:sz w:val="24"/>
        </w:rPr>
        <w:t>)：</w:t>
      </w:r>
      <w:r>
        <w:rPr>
          <w:rFonts w:hint="eastAsia" w:ascii="仿宋" w:hAnsi="仿宋" w:eastAsia="仿宋" w:cs="仿宋"/>
          <w:sz w:val="24"/>
          <w:u w:val="single"/>
        </w:rPr>
        <w:t xml:space="preserve">                  </w:t>
      </w:r>
    </w:p>
    <w:p w14:paraId="49217B5C">
      <w:pPr>
        <w:spacing w:line="500" w:lineRule="exact"/>
        <w:ind w:firstLine="315" w:firstLineChars="150"/>
        <w:rPr>
          <w:rFonts w:hint="eastAsia" w:ascii="仿宋" w:hAnsi="仿宋" w:eastAsia="仿宋" w:cs="仿宋"/>
          <w:sz w:val="24"/>
        </w:rPr>
      </w:pP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rPr>
        <w:fldChar w:fldCharType="separate"/>
      </w:r>
      <w:r>
        <w:rPr>
          <w:rFonts w:hint="eastAsia" w:ascii="仿宋" w:hAnsi="仿宋" w:eastAsia="仿宋" w:cs="仿宋"/>
          <w:sz w:val="24"/>
        </w:rPr>
        <w:t>乙方</w:t>
      </w:r>
      <w:r>
        <w:rPr>
          <w:rFonts w:hint="eastAsia" w:ascii="仿宋" w:hAnsi="仿宋" w:eastAsia="仿宋" w:cs="仿宋"/>
          <w:sz w:val="24"/>
        </w:rPr>
        <w:fldChar w:fldCharType="end"/>
      </w:r>
      <w:r>
        <w:rPr>
          <w:rFonts w:hint="eastAsia" w:ascii="仿宋" w:hAnsi="仿宋" w:eastAsia="仿宋" w:cs="仿宋"/>
          <w:sz w:val="24"/>
        </w:rPr>
        <w:t>(供应商)：</w:t>
      </w:r>
      <w:r>
        <w:rPr>
          <w:rFonts w:hint="eastAsia" w:ascii="仿宋" w:hAnsi="仿宋" w:eastAsia="仿宋" w:cs="仿宋"/>
          <w:sz w:val="24"/>
          <w:u w:val="single"/>
        </w:rPr>
        <w:t xml:space="preserve">                  </w:t>
      </w:r>
    </w:p>
    <w:p w14:paraId="285AE0E9">
      <w:pPr>
        <w:widowControl/>
        <w:spacing w:line="500" w:lineRule="exact"/>
        <w:ind w:right="-197" w:rightChars="-94" w:firstLine="360" w:firstLineChars="150"/>
        <w:jc w:val="left"/>
        <w:rPr>
          <w:rFonts w:hint="eastAsia" w:ascii="仿宋" w:hAnsi="仿宋" w:eastAsia="仿宋" w:cs="仿宋"/>
          <w:kern w:val="0"/>
          <w:sz w:val="24"/>
          <w:highlight w:val="none"/>
          <w:u w:val="none"/>
        </w:rPr>
      </w:pPr>
      <w:r>
        <w:rPr>
          <w:rFonts w:hint="eastAsia" w:ascii="仿宋" w:hAnsi="仿宋" w:eastAsia="仿宋" w:cs="仿宋"/>
          <w:kern w:val="0"/>
          <w:sz w:val="24"/>
        </w:rPr>
        <w:t>甲乙双方根据采购招标项目采购结果及相关磋商文件及响应文件的要求，</w:t>
      </w:r>
      <w:r>
        <w:rPr>
          <w:rFonts w:hint="eastAsia" w:ascii="仿宋" w:hAnsi="仿宋" w:eastAsia="仿宋" w:cs="仿宋"/>
          <w:kern w:val="0"/>
          <w:sz w:val="24"/>
          <w:lang w:eastAsia="zh-CN"/>
        </w:rPr>
        <w:t>遵循</w:t>
      </w:r>
      <w:r>
        <w:rPr>
          <w:rFonts w:hint="eastAsia" w:ascii="仿宋" w:hAnsi="仿宋" w:eastAsia="仿宋" w:cs="仿宋"/>
          <w:kern w:val="0"/>
          <w:sz w:val="24"/>
          <w:u w:val="none"/>
        </w:rPr>
        <w:t>平等、诚信、协作的原则，按照《中华人民共和国政府采购法》和《中华人民共和国</w:t>
      </w:r>
      <w:r>
        <w:rPr>
          <w:rFonts w:hint="eastAsia" w:ascii="仿宋" w:hAnsi="仿宋" w:eastAsia="仿宋" w:cs="仿宋"/>
          <w:kern w:val="0"/>
          <w:sz w:val="24"/>
          <w:highlight w:val="none"/>
          <w:u w:val="none"/>
        </w:rPr>
        <w:t>民法典》经</w:t>
      </w:r>
      <w:r>
        <w:rPr>
          <w:rFonts w:hint="eastAsia" w:ascii="仿宋" w:hAnsi="仿宋" w:eastAsia="仿宋" w:cs="仿宋"/>
          <w:kern w:val="0"/>
          <w:sz w:val="24"/>
          <w:highlight w:val="none"/>
          <w:u w:val="none"/>
          <w:lang w:eastAsia="zh-CN"/>
        </w:rPr>
        <w:t>双方友好</w:t>
      </w:r>
      <w:r>
        <w:rPr>
          <w:rFonts w:hint="eastAsia" w:ascii="仿宋" w:hAnsi="仿宋" w:eastAsia="仿宋" w:cs="仿宋"/>
          <w:kern w:val="0"/>
          <w:sz w:val="24"/>
          <w:highlight w:val="none"/>
          <w:u w:val="none"/>
        </w:rPr>
        <w:t>协商，订立本合同，供双方共同遵守：</w:t>
      </w:r>
    </w:p>
    <w:p w14:paraId="632EC620">
      <w:pPr>
        <w:widowControl/>
        <w:spacing w:line="500" w:lineRule="exact"/>
        <w:ind w:right="-197" w:rightChars="-94"/>
        <w:jc w:val="left"/>
        <w:rPr>
          <w:rFonts w:hint="eastAsia" w:ascii="仿宋" w:hAnsi="仿宋" w:eastAsia="仿宋" w:cs="仿宋"/>
          <w:b/>
          <w:bCs/>
          <w:kern w:val="0"/>
          <w:sz w:val="24"/>
          <w:highlight w:val="none"/>
          <w:u w:val="none"/>
        </w:rPr>
      </w:pPr>
      <w:r>
        <w:rPr>
          <w:rFonts w:hint="eastAsia" w:ascii="仿宋" w:hAnsi="仿宋" w:eastAsia="仿宋" w:cs="仿宋"/>
          <w:b/>
          <w:bCs/>
          <w:kern w:val="0"/>
          <w:sz w:val="24"/>
          <w:highlight w:val="none"/>
          <w:u w:val="none"/>
        </w:rPr>
        <w:t>第一条  合同约定的服务范围及内容</w:t>
      </w:r>
    </w:p>
    <w:p w14:paraId="6FBFB3AC">
      <w:pPr>
        <w:widowControl/>
        <w:spacing w:line="360" w:lineRule="auto"/>
        <w:ind w:right="-197" w:rightChars="-94" w:firstLine="600" w:firstLineChars="250"/>
        <w:jc w:val="left"/>
        <w:rPr>
          <w:rFonts w:hint="eastAsia" w:ascii="仿宋" w:hAnsi="仿宋" w:eastAsia="仿宋" w:cs="仿宋"/>
          <w:kern w:val="0"/>
          <w:sz w:val="24"/>
          <w:highlight w:val="none"/>
          <w:u w:val="none"/>
        </w:rPr>
      </w:pPr>
      <w:r>
        <w:rPr>
          <w:rFonts w:hint="eastAsia" w:ascii="仿宋" w:hAnsi="仿宋" w:eastAsia="仿宋" w:cs="仿宋"/>
          <w:kern w:val="0"/>
          <w:sz w:val="24"/>
          <w:highlight w:val="none"/>
          <w:u w:val="none"/>
        </w:rPr>
        <w:t>1、服务内容：1.对现有纸质档案材料（7000件）进行整理、抢救、整改。2.对已整理完毕的7000件（一件约100页）档案进行传统载体档案数字化（加工），实现存量纸质图纸的电子化并录入成品软件系统。3.档案数字化加工后需配备一套国产数字化加工成品系统软件，该软件系统应覆盖市政工程技术档案电子化后“收集、归档、利用”的全生命周期，确保档案数据存储安全可靠。4.档案数字化加工所需的硬件设备包括高拍仪、高速扫描仪、大幅面图纸扫描仪、图形工作站、磁盘列阵、备份硬磁盘等。</w:t>
      </w:r>
    </w:p>
    <w:p w14:paraId="749AC569">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rPr>
        <w:t>2、服务期限：</w:t>
      </w:r>
      <w:r>
        <w:rPr>
          <w:rFonts w:hint="eastAsia" w:ascii="仿宋" w:hAnsi="仿宋" w:eastAsia="仿宋" w:cs="仿宋"/>
          <w:kern w:val="0"/>
          <w:sz w:val="24"/>
          <w:highlight w:val="none"/>
          <w:u w:val="none"/>
          <w:lang w:val="en-US" w:eastAsia="zh-CN"/>
        </w:rPr>
        <w:t>1年</w:t>
      </w:r>
    </w:p>
    <w:p w14:paraId="4C8D15AA">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color w:val="auto"/>
          <w:kern w:val="0"/>
          <w:sz w:val="24"/>
          <w:highlight w:val="none"/>
          <w:u w:val="none"/>
        </w:rPr>
        <w:t>3、</w:t>
      </w:r>
      <w:r>
        <w:rPr>
          <w:rFonts w:hint="eastAsia" w:ascii="仿宋" w:hAnsi="仿宋" w:eastAsia="仿宋" w:cs="仿宋"/>
          <w:color w:val="auto"/>
          <w:kern w:val="0"/>
          <w:sz w:val="24"/>
          <w:highlight w:val="none"/>
          <w:u w:val="none"/>
          <w:lang w:eastAsia="zh-CN"/>
        </w:rPr>
        <w:t>验收标</w:t>
      </w:r>
      <w:r>
        <w:rPr>
          <w:rFonts w:hint="eastAsia" w:ascii="仿宋" w:hAnsi="仿宋" w:eastAsia="仿宋" w:cs="仿宋"/>
          <w:kern w:val="0"/>
          <w:sz w:val="24"/>
          <w:highlight w:val="none"/>
          <w:u w:val="none"/>
          <w:lang w:val="en-US" w:eastAsia="zh-CN"/>
        </w:rPr>
        <w:t>准：必须严格遵守国家相关法律法规，严格遵守国家和陕西省档案部门有关文件的规定，主要法律法规包括:</w:t>
      </w:r>
    </w:p>
    <w:p w14:paraId="590634AE">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(一)《中华人民共和国档案法》</w:t>
      </w:r>
    </w:p>
    <w:p w14:paraId="6B3922E9">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(二)《中华人民共和国保守国家秘密法》</w:t>
      </w:r>
    </w:p>
    <w:p w14:paraId="48249762">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(三)《文书档案案卷格式》(GB/T9705)</w:t>
      </w:r>
    </w:p>
    <w:p w14:paraId="69BF4516">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(四)《电子文件管理系统通用功能要求》（GB/T29194-2012）</w:t>
      </w:r>
    </w:p>
    <w:p w14:paraId="232E2E8A">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(五)《建设工程文件归档管理规范》（GB-T50328-2019）</w:t>
      </w:r>
    </w:p>
    <w:p w14:paraId="2EE466C6">
      <w:pPr>
        <w:widowControl/>
        <w:spacing w:line="360" w:lineRule="auto"/>
        <w:ind w:right="-197" w:rightChars="-94" w:firstLine="600" w:firstLineChars="250"/>
        <w:jc w:val="left"/>
        <w:rPr>
          <w:rFonts w:hint="default"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(六)《档案服务外包工作规范》DA T 68.1-2020(第1部分）</w:t>
      </w:r>
    </w:p>
    <w:p w14:paraId="75FC6440">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(七)《档案服务外包工作规范》DA T 68.1-2020(第2部分）</w:t>
      </w:r>
    </w:p>
    <w:p w14:paraId="25858BA4">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(八)《纸质档案数字化规范》(DA T 31-2017)</w:t>
      </w:r>
    </w:p>
    <w:p w14:paraId="3F382B3B">
      <w:pPr>
        <w:widowControl/>
        <w:spacing w:line="360" w:lineRule="auto"/>
        <w:ind w:right="-197" w:rightChars="-94" w:firstLine="600" w:firstLineChars="250"/>
        <w:jc w:val="left"/>
        <w:rPr>
          <w:rFonts w:hint="eastAsia" w:ascii="仿宋" w:hAnsi="仿宋" w:eastAsia="仿宋" w:cs="仿宋"/>
          <w:kern w:val="0"/>
          <w:sz w:val="24"/>
          <w:highlight w:val="none"/>
          <w:u w:val="none"/>
          <w:lang w:val="en-US" w:eastAsia="zh-CN"/>
        </w:rPr>
      </w:pPr>
      <w:r>
        <w:rPr>
          <w:rFonts w:hint="eastAsia" w:ascii="仿宋" w:hAnsi="仿宋" w:eastAsia="仿宋" w:cs="仿宋"/>
          <w:kern w:val="0"/>
          <w:sz w:val="24"/>
          <w:highlight w:val="none"/>
          <w:u w:val="none"/>
          <w:lang w:val="en-US" w:eastAsia="zh-CN"/>
        </w:rPr>
        <w:t>(九)《中华人民共和国行业标准(DAT31-2005)纸质档案数字化技术规范》</w:t>
      </w:r>
    </w:p>
    <w:p w14:paraId="73D47096">
      <w:pPr>
        <w:widowControl/>
        <w:spacing w:line="360" w:lineRule="auto"/>
        <w:ind w:right="-197" w:rightChars="-94" w:firstLine="600" w:firstLineChars="250"/>
        <w:jc w:val="left"/>
        <w:rPr>
          <w:rFonts w:hint="eastAsia" w:ascii="仿宋" w:hAnsi="仿宋" w:eastAsia="仿宋" w:cs="仿宋"/>
          <w:sz w:val="24"/>
          <w:szCs w:val="24"/>
          <w:highlight w:val="none"/>
          <w:u w:val="none"/>
        </w:rPr>
      </w:pPr>
      <w:r>
        <w:rPr>
          <w:rFonts w:hint="eastAsia" w:ascii="仿宋" w:hAnsi="仿宋" w:eastAsia="仿宋" w:cs="仿宋"/>
          <w:kern w:val="0"/>
          <w:sz w:val="24"/>
          <w:highlight w:val="none"/>
          <w:u w:val="none"/>
          <w:lang w:val="en-US" w:eastAsia="zh-CN"/>
        </w:rPr>
        <w:t>（十）《陕西省机关数字档案室系统测试办法》（2025.3）</w:t>
      </w:r>
      <w:r>
        <w:rPr>
          <w:rFonts w:hint="eastAsia" w:ascii="仿宋" w:hAnsi="仿宋" w:eastAsia="仿宋" w:cs="仿宋"/>
          <w:sz w:val="24"/>
          <w:szCs w:val="24"/>
          <w:highlight w:val="none"/>
          <w:u w:val="none"/>
        </w:rPr>
        <w:t>。</w:t>
      </w:r>
    </w:p>
    <w:p w14:paraId="17E6CE21">
      <w:pPr>
        <w:widowControl/>
        <w:spacing w:line="360" w:lineRule="auto"/>
        <w:ind w:right="-197" w:rightChars="-94" w:firstLine="600" w:firstLineChars="25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4、</w:t>
      </w:r>
      <w:r>
        <w:rPr>
          <w:rFonts w:hint="eastAsia" w:ascii="仿宋" w:hAnsi="仿宋" w:eastAsia="仿宋" w:cs="仿宋"/>
          <w:kern w:val="0"/>
          <w:sz w:val="24"/>
          <w:highlight w:val="none"/>
          <w:lang w:eastAsia="zh-CN"/>
        </w:rPr>
        <w:t>验收方法：</w:t>
      </w:r>
    </w:p>
    <w:p w14:paraId="5571BB44">
      <w:pPr>
        <w:pStyle w:val="6"/>
        <w:spacing w:line="360" w:lineRule="auto"/>
        <w:outlineLvl w:val="3"/>
        <w:rPr>
          <w:rFonts w:hint="eastAsia" w:ascii="仿宋" w:hAnsi="仿宋" w:eastAsia="仿宋" w:cs="仿宋"/>
          <w:b/>
          <w:sz w:val="24"/>
          <w:szCs w:val="24"/>
          <w:highlight w:val="none"/>
        </w:rPr>
      </w:pPr>
      <w:r>
        <w:rPr>
          <w:rFonts w:hint="eastAsia" w:ascii="仿宋" w:hAnsi="仿宋" w:eastAsia="仿宋" w:cs="仿宋"/>
          <w:b/>
          <w:sz w:val="24"/>
          <w:szCs w:val="24"/>
          <w:highlight w:val="none"/>
        </w:rPr>
        <w:t>数字化成果移交与验收</w:t>
      </w:r>
    </w:p>
    <w:p w14:paraId="7867A913">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(1)验收方式。</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应组织成立验收组</w:t>
      </w:r>
      <w:r>
        <w:rPr>
          <w:rFonts w:hint="eastAsia" w:ascii="仿宋" w:hAnsi="仿宋" w:eastAsia="仿宋" w:cs="仿宋"/>
          <w:sz w:val="24"/>
          <w:szCs w:val="24"/>
          <w:highlight w:val="none"/>
          <w:lang w:eastAsia="zh-CN"/>
        </w:rPr>
        <w:t>与甲方代表共同参与</w:t>
      </w:r>
      <w:r>
        <w:rPr>
          <w:rFonts w:hint="eastAsia" w:ascii="仿宋" w:hAnsi="仿宋" w:eastAsia="仿宋" w:cs="仿宋"/>
          <w:sz w:val="24"/>
          <w:szCs w:val="24"/>
          <w:highlight w:val="none"/>
        </w:rPr>
        <w:t>验收。采用计算机自动检验与人工检验相结合的方式对纸质档案数字化成果进行验收检验。</w:t>
      </w:r>
    </w:p>
    <w:p w14:paraId="1F128D91">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(2)验收内容。主要包括对档案数字图像、档案目录数据、数据挂接、元数据、数字化工作中产生的工作文件、存储载体</w:t>
      </w:r>
      <w:r>
        <w:rPr>
          <w:rFonts w:hint="eastAsia" w:ascii="仿宋" w:hAnsi="仿宋" w:eastAsia="仿宋" w:cs="仿宋"/>
          <w:sz w:val="24"/>
          <w:szCs w:val="24"/>
          <w:highlight w:val="none"/>
          <w:lang w:eastAsia="zh-CN"/>
        </w:rPr>
        <w:t>、软件系统</w:t>
      </w:r>
      <w:r>
        <w:rPr>
          <w:rFonts w:hint="eastAsia" w:ascii="仿宋" w:hAnsi="仿宋" w:eastAsia="仿宋" w:cs="仿宋"/>
          <w:sz w:val="24"/>
          <w:szCs w:val="24"/>
          <w:highlight w:val="none"/>
        </w:rPr>
        <w:t>等进行验收。</w:t>
      </w:r>
    </w:p>
    <w:p w14:paraId="17448BEB">
      <w:pPr>
        <w:pStyle w:val="6"/>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(3)验收指标。能够采用计算机自动检验的项目应采用计算机自动检验的方式进行100%检验，检验合格率应为100%。对于无法用计算机自动检验的项目，可根据情况以件或卷为单位采用抽检的方式进行人工检验。抽检比率不得低于5%，对于数据库条目与数字图像内容对应的准确性，抽检合格率应为100%,其他内容的抽检合格率应不低于95%</w:t>
      </w:r>
      <w:r>
        <w:rPr>
          <w:rFonts w:hint="eastAsia" w:ascii="仿宋" w:hAnsi="仿宋" w:eastAsia="仿宋" w:cs="仿宋"/>
          <w:sz w:val="24"/>
          <w:szCs w:val="24"/>
          <w:highlight w:val="none"/>
          <w:lang w:eastAsia="zh-CN"/>
        </w:rPr>
        <w:t>。</w:t>
      </w:r>
    </w:p>
    <w:p w14:paraId="3EC68957">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(4)验收结论。档案数字化成果质量检验达到标准的要求，予以验收“通过”。验收未通过应视情况进行返工或修改后，重新进行验收。</w:t>
      </w:r>
    </w:p>
    <w:p w14:paraId="539C804F">
      <w:pPr>
        <w:pStyle w:val="6"/>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(5)移交。验收合格的数据应按照档案数字化工作方案及时移交，并履行交接手续</w:t>
      </w:r>
      <w:r>
        <w:rPr>
          <w:rFonts w:hint="eastAsia" w:ascii="仿宋" w:hAnsi="仿宋" w:eastAsia="仿宋" w:cs="仿宋"/>
          <w:sz w:val="24"/>
          <w:szCs w:val="24"/>
          <w:highlight w:val="none"/>
          <w:lang w:eastAsia="zh-CN"/>
        </w:rPr>
        <w:t>。</w:t>
      </w:r>
    </w:p>
    <w:p w14:paraId="1002A776">
      <w:pPr>
        <w:pStyle w:val="6"/>
        <w:spacing w:line="360" w:lineRule="auto"/>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lang w:eastAsia="zh-CN"/>
        </w:rPr>
        <w:t>数字化后档案入库环节事项要求</w:t>
      </w:r>
    </w:p>
    <w:p w14:paraId="7560542A">
      <w:pPr>
        <w:widowControl/>
        <w:spacing w:line="360" w:lineRule="auto"/>
        <w:ind w:right="-197" w:rightChars="-94" w:firstLine="0" w:firstLineChars="0"/>
        <w:jc w:val="left"/>
        <w:rPr>
          <w:rFonts w:hint="eastAsia" w:ascii="仿宋" w:hAnsi="仿宋" w:eastAsia="仿宋" w:cs="仿宋"/>
          <w:sz w:val="24"/>
          <w:highlight w:val="none"/>
        </w:rPr>
      </w:pPr>
      <w:r>
        <w:rPr>
          <w:rFonts w:hint="eastAsia" w:ascii="仿宋" w:hAnsi="仿宋" w:eastAsia="仿宋" w:cs="仿宋"/>
          <w:sz w:val="24"/>
          <w:highlight w:val="none"/>
        </w:rPr>
        <w:t>档案数字化工作完成后，拆除过装订物的档案如需装订，应注意保持档案原貌，做到安全、准确、无遗漏。档案归还人库时，按照档案入库相关要求对档案进行处理和清点，并履行档案入库手续，入库完成后数字化加工移交方、接收方签字确认。</w:t>
      </w:r>
    </w:p>
    <w:p w14:paraId="2F3B36BA">
      <w:pPr>
        <w:pStyle w:val="6"/>
        <w:spacing w:line="360" w:lineRule="auto"/>
        <w:outlineLvl w:val="3"/>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成品软件系统移交与验收</w:t>
      </w:r>
    </w:p>
    <w:p w14:paraId="27D8DDDF">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）验收方式：</w:t>
      </w:r>
      <w:r>
        <w:rPr>
          <w:rFonts w:hint="eastAsia" w:ascii="仿宋" w:hAnsi="仿宋" w:eastAsia="仿宋" w:cs="仿宋"/>
          <w:sz w:val="24"/>
          <w:szCs w:val="24"/>
          <w:highlight w:val="none"/>
          <w:lang w:val="en-US" w:eastAsia="zh-CN"/>
        </w:rPr>
        <w:t>由供应商成立的验收组与甲方代表共同参与验收。</w:t>
      </w:r>
    </w:p>
    <w:p w14:paraId="27CA72E9">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（2）验收内容：软件基础资料包括授权、账号、资料、版本；软件安装调试、环境配置、启动运行、基础功能、稳定兼容等；软件业务核心功能、数据挂接、数据处理、安全保密等。</w:t>
      </w:r>
    </w:p>
    <w:p w14:paraId="2D59BD6F">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验收指标：软件为非盗版正式版本，授权有效，非临时、限时版、非功能限制版；软件可正常激活、安装、卸载，无报错、闪退、卡顿、恶意插件；软件与甲方现有办公操作系统、内网办公环境完全兼容、无冲突、兼容障碍；软件界面规范、菜单清晰、操作逻辑符合档案管理业务习惯，无外文障碍、错误提示、功能紊乱；软件系统目录数据与电子图像精准关联、扫描图像挂接准确、数量一致；软件资料齐全，可归档、可审计。</w:t>
      </w:r>
    </w:p>
    <w:p w14:paraId="7D3113C3">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（4）验收结论：验收内容存在一项不合格，直接判定软件系统整体验收不合格，软件系统各项功能指标达到标准要求，予以验收“通过”。</w:t>
      </w:r>
    </w:p>
    <w:p w14:paraId="518483D1">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移交：供应商除软件系统本身移交外还须免费为甲方提供现场实操培训，直至参训人员可独立完成流程操作、日常维护、简单故障排查；应移交完整的培训课件、操作视频、常见问题解答资料等；乙方不得保留任何远程运维后门、超级管理员账户、隐形控制权限，如需远程维保，须经甲方书面批准并全程监控；移交过程不复制、不带走、不泄露任何档案信息。</w:t>
      </w:r>
    </w:p>
    <w:p w14:paraId="5727EFBB">
      <w:pPr>
        <w:pStyle w:val="6"/>
        <w:spacing w:line="360" w:lineRule="auto"/>
        <w:outlineLvl w:val="3"/>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硬件设备移交与验收</w:t>
      </w:r>
    </w:p>
    <w:p w14:paraId="0D1F3977">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）验收方式</w:t>
      </w:r>
      <w:r>
        <w:rPr>
          <w:rFonts w:hint="eastAsia" w:ascii="仿宋" w:hAnsi="仿宋" w:eastAsia="仿宋" w:cs="仿宋"/>
          <w:sz w:val="24"/>
          <w:szCs w:val="24"/>
          <w:highlight w:val="none"/>
          <w:lang w:val="en-US" w:eastAsia="zh-CN"/>
        </w:rPr>
        <w:t>:由供应商成立的验收组与甲方代表共同参与验收。</w:t>
      </w:r>
    </w:p>
    <w:p w14:paraId="3F1E28C4">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验收内容。包括设备的整机实物验收、安装调试验收、功能性能验收。整机实物验收包括但不限于设备外观的完整性，无破损、拆封、改装；设备的品牌、型号、规格、配置参数等；设备主体、数据线、说明书、保修卡、合格证、安装工具、原厂配件等；设备的机身粘贴的原厂品牌标识、型号标识、序列号标识、安全警示标识、涉密专用标识等；设备的原厂包装箱、防震泡沫、防潮袋、运输包装等。安装调试验收包括设备的系统调试、网络适配、正常启动、无故障报错等；功能性能验收包括设备数字化加工功能、运行情况、技术参数、安全性能、兼容适配性等。</w:t>
      </w:r>
    </w:p>
    <w:p w14:paraId="4768A975">
      <w:pPr>
        <w:pStyle w:val="6"/>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（3）验收结论：设备各项质量检验达到标准要求、符合合同约定，予以验收“通过”。验收不合格甲方有权拒收、退货、解除合同并追究供应商违约责任。</w:t>
      </w:r>
    </w:p>
    <w:p w14:paraId="16587CD7">
      <w:pPr>
        <w:widowControl/>
        <w:spacing w:line="360" w:lineRule="auto"/>
        <w:ind w:right="-197" w:rightChars="-94"/>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移交：供应商除设备实物移交外须同步移交设备发票、原厂出厂合格证、质量检测报告、设备技术规格书、使用说明书、安装手册、操作手册、维保手册、质保承诺书、售后服务方案、维保人员联系方式、应急响应承诺、保密承诺书等纸质+电子双版本设备相关全套资料，加盖乙方公章。</w:t>
      </w:r>
    </w:p>
    <w:p w14:paraId="0B5135A3">
      <w:pPr>
        <w:pStyle w:val="6"/>
        <w:spacing w:line="360" w:lineRule="auto"/>
        <w:outlineLvl w:val="3"/>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项目归档需移交文件材料</w:t>
      </w:r>
    </w:p>
    <w:p w14:paraId="7786A26D">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(1)立项文件:项目申请、项目批复。</w:t>
      </w:r>
    </w:p>
    <w:p w14:paraId="1B60B5B8">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(2)招投标文件:项目招标文件、投标文件(包括营业执照、涉密资质、无犯罪记录证明、二次招标资料等)、中标通知书、项目合同(合同律师签字版和合同签订版)、保密协议。</w:t>
      </w:r>
    </w:p>
    <w:p w14:paraId="0BFFC5D5">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项目管理文件:项目管理的制度、业务规范、工作流程、项目管理重要会议文件、项目开工会资料(开工会照片、会议议程、会议记录、会议纪要、项目工作方案)、年度工作总结、通知、通报等日常管理性文件、组织法律法规、标准规范、制度培训的材料、发包方的日常检查记录、发包方与承包方联系通知单、回复等。</w:t>
      </w:r>
    </w:p>
    <w:p w14:paraId="5EBD1E15">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(4)项目实施过程中形成的文件:</w:t>
      </w:r>
    </w:p>
    <w:p w14:paraId="05B82E66">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制度管理方面：</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的项目管理业务规范、工作流程等相关管理制度、技术细则等</w:t>
      </w:r>
    </w:p>
    <w:p w14:paraId="11891391">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人员管理方面：项目人员任命文件、员工保密背景调查材料(人员身份证、无犯罪证明、个人信息审查);现场人员登记表、现场工作人员保密协议、员工体检报告、出入证发放登记表、员工出入登记表、项目管理人员任免文件、人员变更报审、工作值班表、项目节假日交接单、外来人员来访登记表、携带物品人员离场登记表、保密制度培训情况记录、员工岗位培训记录(组织法律法规、标准规范制度等的培训记录)、现场工作日志、安全保密检查登记表。</w:t>
      </w:r>
    </w:p>
    <w:p w14:paraId="09AE1DA6">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设备管理方面:计算机USB接口封条、安全管理软件证书、移动硬盘借还登记表、设备进场报审文件、现场(进场)设备登记表、设备撤场登记表、数字化加工现场巡检记录。</w:t>
      </w:r>
    </w:p>
    <w:p w14:paraId="0CA7A309">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流程管理方面：开工报告、技术交底、工作安排及实施方案、项目流程图、案卷前处理登记表、档案送修单及破损登记表、图像质检登记表(一检、二检)、条目质检登记表(一检、二检)、分全宗分目图像著录条目汇总表数据挂接检测截图、案卷实体归库质量检测记录、数字化加工流转单、调归卷入库明细清单、档案全文数字化数据质量检查情况表、档案数据移交单、数据备份登记表、现场规则及重要单据变更登记表、档案还原装订登记、涉密档案数据汇总表等。</w:t>
      </w:r>
    </w:p>
    <w:p w14:paraId="4A280DB8">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数字化监理：监理人员的任命、变更文件、保密管理监理大纲、监理规划、监理实施细则、监理通知单、回复单、工作联系单、监理工作总结、专题报告、监理月报、年报图象质检报告及结论(一检、二检)、条目质检报告及结论(一检、二检)、数据挂接质检报告及结论(一检、二检)、监理按全宗按目录提交数据检测报告、监理提交的项目验收申请。</w:t>
      </w:r>
    </w:p>
    <w:p w14:paraId="65C6CC46">
      <w:pPr>
        <w:widowControl/>
        <w:spacing w:line="360" w:lineRule="auto"/>
        <w:ind w:right="-197" w:rightChars="-94"/>
        <w:jc w:val="left"/>
        <w:rPr>
          <w:rFonts w:hint="eastAsia" w:ascii="仿宋" w:hAnsi="仿宋" w:eastAsia="仿宋" w:cs="仿宋"/>
          <w:b/>
          <w:bCs/>
          <w:kern w:val="0"/>
          <w:sz w:val="24"/>
          <w:highlight w:val="none"/>
        </w:rPr>
      </w:pPr>
      <w:r>
        <w:rPr>
          <w:rFonts w:hint="eastAsia" w:ascii="仿宋" w:hAnsi="仿宋" w:eastAsia="仿宋" w:cs="仿宋"/>
          <w:sz w:val="24"/>
          <w:highlight w:val="none"/>
        </w:rPr>
        <w:t>(6)验收:数据自检达标阶段汇报材料验收申请函、</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档案数据质量抽检表、专家验收评审意见表、验收整改方案、整改总结报告、验收确认单、项目档案管理卷(包括项目概况、参建单位归档情况说明、档案的整理情况说明、交接清册等)、支付首付款发票进度款发票和尾款发票。</w:t>
      </w:r>
    </w:p>
    <w:p w14:paraId="6B530C61">
      <w:pPr>
        <w:widowControl/>
        <w:spacing w:line="500" w:lineRule="exact"/>
        <w:ind w:right="-197" w:rightChars="-94"/>
        <w:jc w:val="left"/>
        <w:rPr>
          <w:rFonts w:hint="eastAsia" w:ascii="仿宋" w:hAnsi="仿宋" w:eastAsia="仿宋" w:cs="仿宋"/>
          <w:sz w:val="24"/>
        </w:rPr>
      </w:pPr>
      <w:r>
        <w:rPr>
          <w:rFonts w:hint="eastAsia" w:ascii="仿宋" w:hAnsi="仿宋" w:eastAsia="仿宋" w:cs="仿宋"/>
          <w:b/>
          <w:bCs/>
          <w:kern w:val="0"/>
          <w:sz w:val="24"/>
        </w:rPr>
        <w:t xml:space="preserve">第二条 </w:t>
      </w:r>
      <w:r>
        <w:rPr>
          <w:rFonts w:hint="eastAsia" w:ascii="仿宋" w:hAnsi="仿宋" w:eastAsia="仿宋" w:cs="仿宋"/>
          <w:b/>
          <w:bCs/>
          <w:sz w:val="24"/>
        </w:rPr>
        <w:t>合同价款及付款方式</w:t>
      </w:r>
    </w:p>
    <w:p w14:paraId="17CEAE05">
      <w:pPr>
        <w:widowControl/>
        <w:spacing w:line="480" w:lineRule="exact"/>
        <w:ind w:right="-197" w:rightChars="-94" w:firstLine="360" w:firstLineChars="150"/>
        <w:jc w:val="left"/>
        <w:rPr>
          <w:rFonts w:hint="default" w:ascii="仿宋" w:hAnsi="仿宋" w:eastAsia="仿宋" w:cs="仿宋"/>
          <w:kern w:val="0"/>
          <w:sz w:val="24"/>
          <w:lang w:val="en-US" w:eastAsia="zh-CN"/>
        </w:rPr>
      </w:pPr>
      <w:r>
        <w:rPr>
          <w:rFonts w:hint="eastAsia" w:ascii="仿宋" w:hAnsi="仿宋" w:eastAsia="仿宋" w:cs="仿宋"/>
          <w:color w:val="auto"/>
          <w:kern w:val="0"/>
          <w:sz w:val="24"/>
        </w:rPr>
        <w:t>1、合同总价：人民币大写：</w:t>
      </w:r>
      <w:r>
        <w:rPr>
          <w:rFonts w:hint="eastAsia" w:ascii="仿宋" w:hAnsi="仿宋" w:eastAsia="仿宋" w:cs="仿宋"/>
          <w:color w:val="auto"/>
          <w:kern w:val="0"/>
          <w:sz w:val="24"/>
          <w:u w:val="single"/>
          <w:lang w:val="en-US" w:eastAsia="zh-CN"/>
        </w:rPr>
        <w:t xml:space="preserve">         </w:t>
      </w:r>
      <w:r>
        <w:rPr>
          <w:rFonts w:hint="eastAsia" w:ascii="仿宋" w:hAnsi="仿宋" w:eastAsia="仿宋" w:cs="仿宋"/>
          <w:color w:val="auto"/>
          <w:kern w:val="0"/>
          <w:sz w:val="24"/>
        </w:rPr>
        <w:t>，小写</w:t>
      </w:r>
      <w:r>
        <w:rPr>
          <w:rFonts w:hint="eastAsia" w:ascii="仿宋" w:hAnsi="仿宋" w:eastAsia="仿宋" w:cs="仿宋"/>
          <w:color w:val="auto"/>
          <w:kern w:val="0"/>
          <w:sz w:val="24"/>
          <w:u w:val="single"/>
          <w:lang w:val="en-US" w:eastAsia="zh-CN"/>
        </w:rPr>
        <w:t xml:space="preserve">        </w:t>
      </w:r>
      <w:r>
        <w:rPr>
          <w:rFonts w:hint="eastAsia" w:ascii="仿宋" w:hAnsi="仿宋" w:eastAsia="仿宋" w:cs="仿宋"/>
          <w:color w:val="auto"/>
          <w:kern w:val="0"/>
          <w:sz w:val="24"/>
        </w:rPr>
        <w:t>元。</w:t>
      </w:r>
      <w:r>
        <w:rPr>
          <w:rFonts w:hint="eastAsia" w:ascii="仿宋" w:hAnsi="仿宋" w:eastAsia="仿宋" w:cs="仿宋"/>
          <w:color w:val="auto"/>
          <w:kern w:val="0"/>
          <w:sz w:val="24"/>
          <w:lang w:val="en-US" w:eastAsia="zh-CN"/>
        </w:rPr>
        <w:t>单价清单见附表</w:t>
      </w:r>
    </w:p>
    <w:p w14:paraId="14A94E7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2、付款方式：</w:t>
      </w:r>
    </w:p>
    <w:p w14:paraId="45D05E59">
      <w:pPr>
        <w:widowControl/>
        <w:spacing w:line="480" w:lineRule="exact"/>
        <w:ind w:right="-197" w:rightChars="-94" w:firstLine="360" w:firstLineChars="150"/>
        <w:jc w:val="left"/>
        <w:rPr>
          <w:rFonts w:hint="eastAsia" w:ascii="仿宋" w:hAnsi="仿宋" w:eastAsia="仿宋" w:cs="仿宋"/>
          <w:kern w:val="0"/>
          <w:sz w:val="24"/>
          <w:szCs w:val="24"/>
          <w:highlight w:val="none"/>
          <w:u w:val="single"/>
          <w:lang w:val="en-US" w:eastAsia="zh-CN" w:bidi="ar-SA"/>
        </w:rPr>
      </w:pPr>
      <w:r>
        <w:rPr>
          <w:rFonts w:hint="eastAsia" w:ascii="仿宋" w:hAnsi="仿宋" w:eastAsia="仿宋" w:cs="仿宋"/>
          <w:kern w:val="0"/>
          <w:sz w:val="24"/>
          <w:szCs w:val="24"/>
          <w:highlight w:val="none"/>
          <w:u w:val="single"/>
          <w:lang w:val="en-US" w:eastAsia="zh-Hans"/>
        </w:rPr>
        <w:t>合同签订后支付合同总价的40%，本年度11月10日之前完成合同服务的全部内容，并验收合格后付合同总价的60%；若合同内容未完成，供应商出具履约保函后，再支付合同总价的60%。</w:t>
      </w:r>
    </w:p>
    <w:p w14:paraId="6E89DC84">
      <w:pPr>
        <w:pStyle w:val="2"/>
        <w:tabs>
          <w:tab w:val="left" w:pos="1999"/>
        </w:tabs>
        <w:spacing w:before="54" w:line="500" w:lineRule="exact"/>
        <w:ind w:firstLine="241" w:firstLineChars="100"/>
        <w:rPr>
          <w:rFonts w:hint="eastAsia" w:ascii="仿宋" w:hAnsi="仿宋" w:eastAsia="仿宋" w:cs="仿宋"/>
          <w:b/>
          <w:bCs/>
          <w:kern w:val="0"/>
          <w:sz w:val="24"/>
          <w:szCs w:val="24"/>
          <w:lang w:val="en-US" w:eastAsia="zh-CN" w:bidi="ar-SA"/>
        </w:rPr>
      </w:pPr>
      <w:r>
        <w:rPr>
          <w:rFonts w:hint="eastAsia" w:ascii="仿宋" w:hAnsi="仿宋" w:eastAsia="仿宋" w:cs="仿宋"/>
          <w:b/>
          <w:bCs/>
          <w:kern w:val="0"/>
          <w:sz w:val="24"/>
          <w:szCs w:val="24"/>
          <w:lang w:val="en-US" w:eastAsia="zh-CN" w:bidi="ar-SA"/>
        </w:rPr>
        <w:t>第三条  甲乙双方的权利及义务</w:t>
      </w:r>
    </w:p>
    <w:p w14:paraId="6C814AA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（一）甲方的权利和义务</w:t>
      </w:r>
    </w:p>
    <w:p w14:paraId="722175BA">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1、按照项目要求，做好档案的借调、归还工作，提供非涉密档案给乙方，同步做好乙方提交工作成果的审验工作；</w:t>
      </w:r>
    </w:p>
    <w:p w14:paraId="65BEF277">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2、甲方有权在不影响乙方工作的前提下，对乙方的工作进行监督检查，乙方应给予一定便利，若在检查过程中发现乙方任何不当行为，甲方有权予以制止，并要求乙方限期内予以整改。</w:t>
      </w:r>
    </w:p>
    <w:p w14:paraId="58CB5CCC">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3、在合同履行过程中，甲方有权要求乙方更换相关工作人员，乙方在接到甲方通知后2日内予以更换。</w:t>
      </w:r>
    </w:p>
    <w:p w14:paraId="2DCD5224">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4、项目执行过程中甲方负责人负责协调项目实施过程中的问题，不限于项目安全保密、确定验收标准、提供非涉密档案、借档还档、场地协调等。</w:t>
      </w:r>
    </w:p>
    <w:p w14:paraId="649024D6">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5、提供办公楼适合乙方项目要求规模大小的场地空间作为乙方施工场地，该场地应达到乙方工作必要条件。甲方应当安装视频监控设备，确保无监控死角；保存监控数据硬盘，指定专人保管；进、离场前逐一检查、登记，以保证档案、设备、数据的安全。提供工作用的电源、水，如遇到场地冲突，负责协调项目施工场地。</w:t>
      </w:r>
    </w:p>
    <w:p w14:paraId="38015BE6">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6、在项目正式进场15个工作日内，甲方就乙方提交的成果进行验收，并提出验收标准规范，若在验收中加工档案有特殊要求，甲乙双方协商，调整验收标准。</w:t>
      </w:r>
    </w:p>
    <w:p w14:paraId="035484D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7、按照合同规定向乙方支付项目款。</w:t>
      </w:r>
    </w:p>
    <w:p w14:paraId="0300AF3F">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8、在项目实施过程中对数字化档案进行涉密性、完整有序性及档案实体与目录的一致性进行检查。</w:t>
      </w:r>
    </w:p>
    <w:p w14:paraId="6755DEED">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9、提供符合国家标准并满足工作需要的档案装具，用于分别存放待数字化处理和已数字化处理的档案。</w:t>
      </w:r>
    </w:p>
    <w:p w14:paraId="58B78D0D">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（二）乙方的权利和义务</w:t>
      </w:r>
    </w:p>
    <w:p w14:paraId="5D18324A">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1、按照</w:t>
      </w:r>
      <w:r>
        <w:rPr>
          <w:rFonts w:hint="eastAsia" w:ascii="仿宋" w:hAnsi="仿宋" w:eastAsia="仿宋" w:cs="仿宋"/>
          <w:kern w:val="0"/>
          <w:sz w:val="24"/>
          <w:lang w:eastAsia="zh-CN"/>
        </w:rPr>
        <w:t>竞争性磋商文件</w:t>
      </w:r>
      <w:r>
        <w:rPr>
          <w:rFonts w:hint="eastAsia" w:ascii="仿宋" w:hAnsi="仿宋" w:eastAsia="仿宋" w:cs="仿宋"/>
          <w:kern w:val="0"/>
          <w:sz w:val="24"/>
        </w:rPr>
        <w:t>，配备组织充足的熟练的加工人员进行项目实施，保证质量和在规定工期内完成，及时更换甲方提出认为不适宜的工作人员。</w:t>
      </w:r>
    </w:p>
    <w:p w14:paraId="604382DE">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2、按照</w:t>
      </w:r>
      <w:r>
        <w:rPr>
          <w:rFonts w:hint="eastAsia" w:ascii="仿宋" w:hAnsi="仿宋" w:eastAsia="仿宋" w:cs="仿宋"/>
          <w:kern w:val="0"/>
          <w:sz w:val="24"/>
          <w:lang w:eastAsia="zh-CN"/>
        </w:rPr>
        <w:t>竞争性磋商文件</w:t>
      </w:r>
      <w:r>
        <w:rPr>
          <w:rFonts w:hint="eastAsia" w:ascii="仿宋" w:hAnsi="仿宋" w:eastAsia="仿宋" w:cs="仿宋"/>
          <w:kern w:val="0"/>
          <w:sz w:val="24"/>
        </w:rPr>
        <w:t>，调配充足的电脑、扫描仪等设备进行项目实施，保证质量和在规定的工期内完成。</w:t>
      </w:r>
    </w:p>
    <w:p w14:paraId="1DFDF9FF">
      <w:pPr>
        <w:widowControl/>
        <w:spacing w:line="500" w:lineRule="exact"/>
        <w:ind w:right="-197" w:rightChars="-94" w:firstLine="360" w:firstLineChars="150"/>
        <w:jc w:val="left"/>
        <w:rPr>
          <w:rFonts w:hint="eastAsia" w:ascii="仿宋" w:hAnsi="仿宋" w:eastAsia="仿宋" w:cs="仿宋"/>
          <w:kern w:val="0"/>
          <w:sz w:val="24"/>
          <w:highlight w:val="none"/>
        </w:rPr>
      </w:pPr>
      <w:r>
        <w:rPr>
          <w:rFonts w:hint="eastAsia" w:ascii="仿宋" w:hAnsi="仿宋" w:eastAsia="仿宋" w:cs="仿宋"/>
          <w:kern w:val="0"/>
          <w:sz w:val="24"/>
        </w:rPr>
        <w:t>3、乙方与甲方协商制订可行的工作计划，包含完成本项目任务量的时间计划、每日工作进度表、每日工作监管考核措施，并进行实际工作部署，制定质量管理</w:t>
      </w:r>
      <w:r>
        <w:rPr>
          <w:rFonts w:hint="eastAsia" w:ascii="仿宋" w:hAnsi="仿宋" w:eastAsia="仿宋" w:cs="仿宋"/>
          <w:kern w:val="0"/>
          <w:sz w:val="24"/>
          <w:highlight w:val="none"/>
        </w:rPr>
        <w:t>的方法及措施，以保证最佳的工作效果。乙方工作计划需经过甲方书面认可后方可实施，未经甲方书面认可乙方不得变更工作计划。</w:t>
      </w:r>
    </w:p>
    <w:p w14:paraId="149C9E47">
      <w:pPr>
        <w:widowControl/>
        <w:spacing w:line="500" w:lineRule="exact"/>
        <w:ind w:right="-197" w:rightChars="-94" w:firstLine="360" w:firstLineChars="150"/>
        <w:jc w:val="left"/>
        <w:rPr>
          <w:rFonts w:hint="eastAsia" w:ascii="仿宋" w:hAnsi="仿宋" w:eastAsia="仿宋" w:cs="仿宋"/>
          <w:kern w:val="0"/>
          <w:sz w:val="24"/>
          <w:highlight w:val="none"/>
        </w:rPr>
      </w:pPr>
      <w:r>
        <w:rPr>
          <w:rFonts w:hint="eastAsia" w:ascii="仿宋" w:hAnsi="仿宋" w:eastAsia="仿宋" w:cs="仿宋"/>
          <w:kern w:val="0"/>
          <w:sz w:val="24"/>
          <w:highlight w:val="none"/>
        </w:rPr>
        <w:t>4、乙方按照</w:t>
      </w:r>
      <w:r>
        <w:rPr>
          <w:rFonts w:hint="eastAsia" w:ascii="仿宋" w:hAnsi="仿宋" w:eastAsia="仿宋" w:cs="仿宋"/>
          <w:kern w:val="0"/>
          <w:sz w:val="24"/>
          <w:highlight w:val="none"/>
          <w:lang w:eastAsia="zh-CN"/>
        </w:rPr>
        <w:t>竞争性磋商文件</w:t>
      </w:r>
      <w:r>
        <w:rPr>
          <w:rFonts w:hint="eastAsia" w:ascii="仿宋" w:hAnsi="仿宋" w:eastAsia="仿宋" w:cs="仿宋"/>
          <w:kern w:val="0"/>
          <w:sz w:val="24"/>
          <w:highlight w:val="none"/>
        </w:rPr>
        <w:t>的质量要求，对加工的所有数据进行质量检验，分期提交给甲方质量检验组进行审验，甲方反馈的不合格数据应及时修正，否则，由此造成工期的延期，由乙方负责。</w:t>
      </w:r>
    </w:p>
    <w:p w14:paraId="3250BBF6">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highlight w:val="none"/>
        </w:rPr>
        <w:t>5、甲方提供</w:t>
      </w:r>
      <w:r>
        <w:rPr>
          <w:rFonts w:hint="eastAsia" w:ascii="仿宋" w:hAnsi="仿宋" w:eastAsia="仿宋" w:cs="仿宋"/>
          <w:kern w:val="0"/>
          <w:sz w:val="24"/>
        </w:rPr>
        <w:t>的设备、物品在实施过程中如有损坏，乙方负责照价赔偿。</w:t>
      </w:r>
    </w:p>
    <w:p w14:paraId="4DF2AC16">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6、严格遵守甲方相关的保密制度及甲方相关工作规章制度</w:t>
      </w:r>
      <w:r>
        <w:rPr>
          <w:rFonts w:hint="eastAsia" w:ascii="仿宋" w:hAnsi="仿宋" w:eastAsia="仿宋" w:cs="仿宋"/>
          <w:kern w:val="0"/>
          <w:sz w:val="24"/>
          <w:lang w:eastAsia="zh-CN"/>
        </w:rPr>
        <w:t>，乙方与聘用加工人员签订保密协议</w:t>
      </w:r>
      <w:r>
        <w:rPr>
          <w:rFonts w:hint="eastAsia" w:ascii="仿宋" w:hAnsi="仿宋" w:eastAsia="仿宋" w:cs="仿宋"/>
          <w:kern w:val="0"/>
          <w:sz w:val="24"/>
        </w:rPr>
        <w:t>。</w:t>
      </w:r>
    </w:p>
    <w:p w14:paraId="5061ADC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7、项目日常管理员随时检查施工现场安全、保密设施，发现问题立即报告及时解决。工作人员严禁在实施现场内吸烟，离开实施现场时，必须锁好门窗，切断电源，切实消除失窃、火灾等安全隐患，做好平时防范工作，保证档案安全。</w:t>
      </w:r>
    </w:p>
    <w:p w14:paraId="7F30FC2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8、加强安全检查，节假日前按规定将档案归还入库，并进行安全、保密检查，及时排除不安全因素。</w:t>
      </w:r>
    </w:p>
    <w:p w14:paraId="30820B8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9、施工现场内禁止存放易燃、易爆、杂物、食品等危险物品，保持施工场地清洁和卫生，切实做好借用档案的防盗、防损等安全工作。</w:t>
      </w:r>
    </w:p>
    <w:p w14:paraId="12B54092">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10、非经允许，非工作人员不得进入施工现场。</w:t>
      </w:r>
    </w:p>
    <w:p w14:paraId="7D59DB9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11、严格遵守保密制度，未经批准，任何人不准将档案原件、扫描后的电子档案带出施工现场，更不准私自摘抄、外传。</w:t>
      </w:r>
    </w:p>
    <w:p w14:paraId="2AAB9369">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12、未经甲方授权，乙方不得以本项目中的扫描、著录成果进行自身商业宣传。</w:t>
      </w:r>
    </w:p>
    <w:p w14:paraId="70590124">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13、本项目不得分包、转包。</w:t>
      </w:r>
    </w:p>
    <w:p w14:paraId="28738355">
      <w:pPr>
        <w:pStyle w:val="2"/>
        <w:tabs>
          <w:tab w:val="left" w:pos="1999"/>
        </w:tabs>
        <w:spacing w:before="54" w:line="500" w:lineRule="exact"/>
        <w:rPr>
          <w:rFonts w:hint="eastAsia" w:ascii="仿宋" w:hAnsi="仿宋" w:eastAsia="仿宋" w:cs="仿宋"/>
          <w:sz w:val="24"/>
        </w:rPr>
      </w:pPr>
      <w:r>
        <w:rPr>
          <w:rFonts w:hint="eastAsia" w:ascii="仿宋" w:hAnsi="仿宋" w:eastAsia="仿宋" w:cs="仿宋"/>
          <w:b/>
          <w:bCs/>
          <w:kern w:val="0"/>
          <w:sz w:val="24"/>
        </w:rPr>
        <w:t xml:space="preserve">第四条  </w:t>
      </w:r>
      <w:r>
        <w:rPr>
          <w:rFonts w:hint="eastAsia" w:ascii="仿宋" w:hAnsi="仿宋" w:eastAsia="仿宋" w:cs="仿宋"/>
          <w:b/>
          <w:bCs/>
          <w:sz w:val="24"/>
        </w:rPr>
        <w:t>违约责任</w:t>
      </w:r>
    </w:p>
    <w:p w14:paraId="4A0D5F5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（一）按《中华人民共和国民法典》中的相关条款执行。</w:t>
      </w:r>
    </w:p>
    <w:p w14:paraId="6EDE834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二）若乙方未能在合同约定时间内完工，每逾期一天应承担合同总价3%的违约金。若超过15日仍未完工甲方有权解除本合同，乙方应向甲方支付合同总价30%的违约金，若违约金数额不足以弥补由此给甲方造成的损失，乙方需补足。</w:t>
      </w:r>
    </w:p>
    <w:p w14:paraId="78B47752">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（三）按合同要求提供服务或服务质量不能满足</w:t>
      </w:r>
      <w:r>
        <w:rPr>
          <w:rFonts w:hint="eastAsia" w:ascii="仿宋" w:hAnsi="仿宋" w:eastAsia="仿宋" w:cs="仿宋"/>
          <w:kern w:val="0"/>
          <w:sz w:val="24"/>
          <w:lang w:eastAsia="zh-CN"/>
        </w:rPr>
        <w:t>磋商</w:t>
      </w:r>
      <w:r>
        <w:rPr>
          <w:rFonts w:hint="eastAsia" w:ascii="仿宋" w:hAnsi="仿宋" w:eastAsia="仿宋" w:cs="仿宋"/>
          <w:kern w:val="0"/>
          <w:sz w:val="24"/>
        </w:rPr>
        <w:t>技术要求，乙方必须无条件更换产品或设备，提高技术，完善服务质量，否则，甲方会同鉴证方有权终止合同，并对乙方的违约行为进行追究，同时按《政府采购法》等进行相应的处罚。</w:t>
      </w:r>
    </w:p>
    <w:p w14:paraId="08D9011D">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（四）如乙方在工作中违反本合同的约定，造成甲方档案信息泄密，档案丢失、毁损，甲方会同鉴证方有权终止合同，并要求乙方承担合同总价20%的违约金及由此产生的一切后果。</w:t>
      </w:r>
    </w:p>
    <w:p w14:paraId="07F997DF">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（五）因乙方违约的，甲方有权从应付款项中扣除其应当承担的违约金。</w:t>
      </w:r>
    </w:p>
    <w:p w14:paraId="7CC8B422">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 xml:space="preserve">第五条  </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rPr>
        <w:fldChar w:fldCharType="separate"/>
      </w:r>
      <w:r>
        <w:rPr>
          <w:rFonts w:hint="eastAsia" w:ascii="仿宋" w:hAnsi="仿宋" w:eastAsia="仿宋" w:cs="仿宋"/>
          <w:b/>
          <w:bCs/>
          <w:kern w:val="0"/>
          <w:sz w:val="24"/>
        </w:rPr>
        <w:t>不可抗力</w:t>
      </w:r>
      <w:r>
        <w:rPr>
          <w:rFonts w:hint="eastAsia" w:ascii="仿宋" w:hAnsi="仿宋" w:eastAsia="仿宋" w:cs="仿宋"/>
          <w:b/>
          <w:bCs/>
          <w:kern w:val="0"/>
          <w:sz w:val="24"/>
        </w:rPr>
        <w:fldChar w:fldCharType="end"/>
      </w:r>
    </w:p>
    <w:p w14:paraId="77EC3654">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甲乙双方任何一方由于</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不可抗</w:t>
      </w:r>
      <w:bookmarkStart w:id="1" w:name="_GoBack"/>
      <w:bookmarkEnd w:id="1"/>
      <w:r>
        <w:rPr>
          <w:rFonts w:hint="eastAsia" w:ascii="仿宋" w:hAnsi="仿宋" w:eastAsia="仿宋" w:cs="仿宋"/>
          <w:kern w:val="0"/>
          <w:sz w:val="24"/>
        </w:rPr>
        <w:t>力</w:t>
      </w:r>
      <w:r>
        <w:rPr>
          <w:rFonts w:hint="eastAsia" w:ascii="仿宋" w:hAnsi="仿宋" w:eastAsia="仿宋" w:cs="仿宋"/>
          <w:kern w:val="0"/>
          <w:sz w:val="24"/>
        </w:rPr>
        <w:fldChar w:fldCharType="end"/>
      </w:r>
      <w:r>
        <w:rPr>
          <w:rFonts w:hint="eastAsia" w:ascii="仿宋" w:hAnsi="仿宋" w:eastAsia="仿宋" w:cs="仿宋"/>
          <w:kern w:val="0"/>
          <w:sz w:val="24"/>
        </w:rPr>
        <w:t>原因不能履行合同时，应及时向对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方通</w:t>
      </w:r>
      <w:r>
        <w:rPr>
          <w:rFonts w:hint="eastAsia" w:ascii="仿宋" w:hAnsi="仿宋" w:eastAsia="仿宋" w:cs="仿宋"/>
          <w:kern w:val="0"/>
          <w:sz w:val="24"/>
        </w:rPr>
        <w:fldChar w:fldCharType="end"/>
      </w:r>
      <w:r>
        <w:rPr>
          <w:rFonts w:hint="eastAsia" w:ascii="仿宋" w:hAnsi="仿宋" w:eastAsia="仿宋" w:cs="仿宋"/>
          <w:kern w:val="0"/>
          <w:sz w:val="24"/>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违约责任</w:t>
      </w:r>
      <w:r>
        <w:rPr>
          <w:rFonts w:hint="eastAsia" w:ascii="仿宋" w:hAnsi="仿宋" w:eastAsia="仿宋" w:cs="仿宋"/>
          <w:kern w:val="0"/>
          <w:sz w:val="24"/>
        </w:rPr>
        <w:fldChar w:fldCharType="end"/>
      </w:r>
      <w:r>
        <w:rPr>
          <w:rFonts w:hint="eastAsia" w:ascii="仿宋" w:hAnsi="仿宋" w:eastAsia="仿宋" w:cs="仿宋"/>
          <w:kern w:val="0"/>
          <w:sz w:val="24"/>
        </w:rPr>
        <w:t>。</w:t>
      </w:r>
    </w:p>
    <w:p w14:paraId="07639C2E">
      <w:pPr>
        <w:pStyle w:val="2"/>
        <w:tabs>
          <w:tab w:val="left" w:pos="1999"/>
        </w:tabs>
        <w:spacing w:before="54" w:line="500" w:lineRule="exact"/>
        <w:rPr>
          <w:rFonts w:hint="eastAsia" w:ascii="仿宋" w:hAnsi="仿宋" w:eastAsia="仿宋" w:cs="仿宋"/>
          <w:b/>
          <w:bCs/>
          <w:sz w:val="24"/>
        </w:rPr>
      </w:pPr>
      <w:r>
        <w:rPr>
          <w:rFonts w:hint="eastAsia" w:ascii="仿宋" w:hAnsi="仿宋" w:eastAsia="仿宋" w:cs="仿宋"/>
          <w:b/>
          <w:bCs/>
          <w:kern w:val="0"/>
          <w:sz w:val="24"/>
        </w:rPr>
        <w:t xml:space="preserve">第六条  </w:t>
      </w:r>
      <w:r>
        <w:rPr>
          <w:rFonts w:hint="eastAsia" w:ascii="仿宋" w:hAnsi="仿宋" w:eastAsia="仿宋" w:cs="仿宋"/>
          <w:b/>
          <w:bCs/>
          <w:sz w:val="24"/>
        </w:rPr>
        <w:t>争议解决</w:t>
      </w:r>
    </w:p>
    <w:p w14:paraId="437B2C0E">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双方因履行本合同而发生的争议，由双方友好协商、调解解决或根据《中华人民共和国民法典》有关规定进行解决。协商、调解不成的，确定按第</w:t>
      </w:r>
      <w:r>
        <w:rPr>
          <w:rFonts w:hint="eastAsia" w:ascii="仿宋" w:hAnsi="仿宋" w:eastAsia="仿宋" w:cs="仿宋"/>
          <w:sz w:val="24"/>
          <w:lang w:val="en-US" w:eastAsia="zh-CN"/>
        </w:rPr>
        <w:t>2</w:t>
      </w:r>
      <w:r>
        <w:rPr>
          <w:rFonts w:hint="eastAsia" w:ascii="仿宋" w:hAnsi="仿宋" w:eastAsia="仿宋" w:cs="仿宋"/>
          <w:sz w:val="24"/>
        </w:rPr>
        <w:t>种方式处理：</w:t>
      </w:r>
    </w:p>
    <w:p w14:paraId="6CBF79A1">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1、提交西安仲裁委员会仲裁；</w:t>
      </w:r>
    </w:p>
    <w:p w14:paraId="7CBC3D68">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2、依法向甲方住所地有管辖权的人民法院起诉。</w:t>
      </w:r>
    </w:p>
    <w:p w14:paraId="0B6524CB">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第七条  监督和管理</w:t>
      </w:r>
    </w:p>
    <w:p w14:paraId="7794FCA2">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F0602E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2、甲乙双方均应自觉配合有关监督管理部门对合同履行情况的监督检查，如实反映情况，提供有关资料；否则，将对有关单位、当事人按照有关规定予以处罚。</w:t>
      </w:r>
    </w:p>
    <w:p w14:paraId="45D7CD9F">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 xml:space="preserve">第八条  </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rPr>
        <w:fldChar w:fldCharType="separate"/>
      </w:r>
      <w:r>
        <w:rPr>
          <w:rFonts w:hint="eastAsia" w:ascii="仿宋" w:hAnsi="仿宋" w:eastAsia="仿宋" w:cs="仿宋"/>
          <w:b/>
          <w:bCs/>
          <w:kern w:val="0"/>
          <w:sz w:val="24"/>
        </w:rPr>
        <w:t>无效合同</w:t>
      </w:r>
      <w:r>
        <w:rPr>
          <w:rFonts w:hint="eastAsia" w:ascii="仿宋" w:hAnsi="仿宋" w:eastAsia="仿宋" w:cs="仿宋"/>
          <w:b/>
          <w:bCs/>
          <w:kern w:val="0"/>
          <w:sz w:val="24"/>
        </w:rPr>
        <w:fldChar w:fldCharType="end"/>
      </w:r>
    </w:p>
    <w:p w14:paraId="376410F2">
      <w:pPr>
        <w:pStyle w:val="2"/>
        <w:spacing w:line="500" w:lineRule="exact"/>
        <w:ind w:firstLine="480" w:firstLineChars="200"/>
        <w:rPr>
          <w:rFonts w:hint="eastAsia" w:ascii="仿宋" w:hAnsi="仿宋" w:eastAsia="仿宋" w:cs="仿宋"/>
          <w:sz w:val="24"/>
        </w:rPr>
      </w:pPr>
      <w:r>
        <w:rPr>
          <w:rFonts w:hint="eastAsia" w:ascii="仿宋" w:hAnsi="仿宋" w:eastAsia="仿宋" w:cs="仿宋"/>
          <w:kern w:val="0"/>
          <w:sz w:val="24"/>
        </w:rPr>
        <w:t>甲乙双方如因违反政府采购法及相关法律法规的规定，被宣告</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合同无效</w:t>
      </w:r>
      <w:r>
        <w:rPr>
          <w:rFonts w:hint="eastAsia" w:ascii="仿宋" w:hAnsi="仿宋" w:eastAsia="仿宋" w:cs="仿宋"/>
          <w:kern w:val="0"/>
          <w:sz w:val="24"/>
        </w:rPr>
        <w:fldChar w:fldCharType="end"/>
      </w:r>
      <w:r>
        <w:rPr>
          <w:rFonts w:hint="eastAsia" w:ascii="仿宋" w:hAnsi="仿宋" w:eastAsia="仿宋" w:cs="仿宋"/>
          <w:kern w:val="0"/>
          <w:sz w:val="24"/>
        </w:rPr>
        <w:t>的，一切责任概由过错方自行承担。</w:t>
      </w:r>
    </w:p>
    <w:p w14:paraId="797DAA56">
      <w:pPr>
        <w:snapToGrid w:val="0"/>
        <w:spacing w:line="500" w:lineRule="exact"/>
        <w:rPr>
          <w:rFonts w:hint="eastAsia" w:ascii="仿宋" w:hAnsi="仿宋" w:eastAsia="仿宋" w:cs="仿宋"/>
          <w:sz w:val="24"/>
        </w:rPr>
      </w:pPr>
      <w:r>
        <w:rPr>
          <w:rFonts w:hint="eastAsia" w:ascii="仿宋" w:hAnsi="仿宋" w:eastAsia="仿宋" w:cs="仿宋"/>
          <w:b/>
          <w:bCs/>
          <w:kern w:val="0"/>
          <w:sz w:val="24"/>
        </w:rPr>
        <w:t xml:space="preserve">第九条  </w:t>
      </w:r>
      <w:r>
        <w:rPr>
          <w:rFonts w:hint="eastAsia" w:ascii="仿宋" w:hAnsi="仿宋" w:eastAsia="仿宋" w:cs="仿宋"/>
          <w:b/>
          <w:bCs/>
          <w:sz w:val="24"/>
        </w:rPr>
        <w:t>合同生效及其他</w:t>
      </w:r>
    </w:p>
    <w:p w14:paraId="18125699">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1、本合同自双方法定代表人或授权委托代理人签字并加盖单位公章后生效。</w:t>
      </w:r>
    </w:p>
    <w:p w14:paraId="07AFBF4B">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2、本合同一式柒份,甲</w:t>
      </w:r>
      <w:r>
        <w:rPr>
          <w:rFonts w:hint="eastAsia" w:ascii="仿宋" w:hAnsi="仿宋" w:eastAsia="仿宋" w:cs="仿宋"/>
          <w:sz w:val="24"/>
          <w:lang w:eastAsia="zh-CN"/>
        </w:rPr>
        <w:t>方</w:t>
      </w:r>
      <w:r>
        <w:rPr>
          <w:rFonts w:hint="eastAsia" w:ascii="仿宋" w:hAnsi="仿宋" w:eastAsia="仿宋" w:cs="仿宋"/>
          <w:sz w:val="24"/>
        </w:rPr>
        <w:t>执</w:t>
      </w:r>
      <w:r>
        <w:rPr>
          <w:rFonts w:hint="eastAsia" w:ascii="仿宋" w:hAnsi="仿宋" w:eastAsia="仿宋" w:cs="仿宋"/>
          <w:sz w:val="24"/>
          <w:lang w:eastAsia="zh-CN"/>
        </w:rPr>
        <w:t>伍</w:t>
      </w:r>
      <w:r>
        <w:rPr>
          <w:rFonts w:hint="eastAsia" w:ascii="仿宋" w:hAnsi="仿宋" w:eastAsia="仿宋" w:cs="仿宋"/>
          <w:sz w:val="24"/>
        </w:rPr>
        <w:t>份乙方执贰份。</w:t>
      </w:r>
    </w:p>
    <w:p w14:paraId="3289951E">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3、如本合同有未尽事宜，以磋商文件为准，磋商文件未做要求的，由双方依法订立补充合同。</w:t>
      </w:r>
    </w:p>
    <w:p w14:paraId="1C49D65B">
      <w:pPr>
        <w:pStyle w:val="7"/>
        <w:widowControl/>
        <w:spacing w:line="500" w:lineRule="exact"/>
        <w:ind w:firstLine="360" w:firstLineChars="150"/>
        <w:rPr>
          <w:rFonts w:hint="eastAsia" w:ascii="仿宋" w:hAnsi="仿宋" w:eastAsia="仿宋" w:cs="仿宋"/>
          <w:sz w:val="24"/>
        </w:rPr>
      </w:pPr>
      <w:r>
        <w:rPr>
          <w:rFonts w:hint="eastAsia" w:ascii="仿宋" w:hAnsi="仿宋" w:eastAsia="仿宋" w:cs="仿宋"/>
          <w:kern w:val="2"/>
          <w:sz w:val="24"/>
        </w:rPr>
        <w:t>4、本合同双方签字盖章之日起生效。</w:t>
      </w:r>
    </w:p>
    <w:tbl>
      <w:tblPr>
        <w:tblStyle w:val="4"/>
        <w:tblW w:w="9538" w:type="dxa"/>
        <w:jc w:val="center"/>
        <w:tblLayout w:type="fixed"/>
        <w:tblCellMar>
          <w:top w:w="0" w:type="dxa"/>
          <w:left w:w="108" w:type="dxa"/>
          <w:bottom w:w="0" w:type="dxa"/>
          <w:right w:w="108" w:type="dxa"/>
        </w:tblCellMar>
      </w:tblPr>
      <w:tblGrid>
        <w:gridCol w:w="4705"/>
        <w:gridCol w:w="351"/>
        <w:gridCol w:w="4482"/>
      </w:tblGrid>
      <w:tr w14:paraId="31AFE7B8">
        <w:tblPrEx>
          <w:tblCellMar>
            <w:top w:w="0" w:type="dxa"/>
            <w:left w:w="108" w:type="dxa"/>
            <w:bottom w:w="0" w:type="dxa"/>
            <w:right w:w="108" w:type="dxa"/>
          </w:tblCellMar>
        </w:tblPrEx>
        <w:trPr>
          <w:jc w:val="center"/>
        </w:trPr>
        <w:tc>
          <w:tcPr>
            <w:tcW w:w="4705" w:type="dxa"/>
            <w:noWrap w:val="0"/>
            <w:vAlign w:val="center"/>
          </w:tcPr>
          <w:p w14:paraId="494D9D47">
            <w:pPr>
              <w:spacing w:line="500" w:lineRule="exact"/>
              <w:ind w:left="1440" w:hanging="1440" w:hangingChars="600"/>
              <w:rPr>
                <w:rFonts w:hint="eastAsia" w:ascii="仿宋" w:hAnsi="仿宋" w:eastAsia="仿宋" w:cs="仿宋"/>
                <w:sz w:val="24"/>
              </w:rPr>
            </w:pPr>
            <w:r>
              <w:rPr>
                <w:rFonts w:hint="eastAsia" w:ascii="仿宋" w:hAnsi="仿宋" w:eastAsia="仿宋" w:cs="仿宋"/>
                <w:sz w:val="24"/>
              </w:rPr>
              <w:t>甲方名称：(盖章)</w:t>
            </w:r>
          </w:p>
        </w:tc>
        <w:tc>
          <w:tcPr>
            <w:tcW w:w="351" w:type="dxa"/>
            <w:noWrap w:val="0"/>
            <w:vAlign w:val="center"/>
          </w:tcPr>
          <w:p w14:paraId="3E073460">
            <w:pPr>
              <w:spacing w:line="500" w:lineRule="exact"/>
              <w:ind w:left="480"/>
              <w:rPr>
                <w:rFonts w:hint="eastAsia" w:ascii="仿宋" w:hAnsi="仿宋" w:eastAsia="仿宋" w:cs="仿宋"/>
                <w:sz w:val="24"/>
              </w:rPr>
            </w:pPr>
          </w:p>
        </w:tc>
        <w:tc>
          <w:tcPr>
            <w:tcW w:w="4482" w:type="dxa"/>
            <w:noWrap w:val="0"/>
            <w:vAlign w:val="center"/>
          </w:tcPr>
          <w:p w14:paraId="5989B349">
            <w:pPr>
              <w:spacing w:line="500" w:lineRule="exact"/>
              <w:ind w:left="1440" w:hanging="1440" w:hangingChars="600"/>
              <w:rPr>
                <w:rFonts w:hint="eastAsia" w:ascii="仿宋" w:hAnsi="仿宋" w:eastAsia="仿宋" w:cs="仿宋"/>
                <w:sz w:val="24"/>
              </w:rPr>
            </w:pPr>
            <w:r>
              <w:rPr>
                <w:rFonts w:hint="eastAsia" w:ascii="仿宋" w:hAnsi="仿宋" w:eastAsia="仿宋" w:cs="仿宋"/>
                <w:sz w:val="24"/>
              </w:rPr>
              <w:t>乙方名称：(盖章)</w:t>
            </w:r>
          </w:p>
        </w:tc>
      </w:tr>
      <w:tr w14:paraId="3B925785">
        <w:tblPrEx>
          <w:tblCellMar>
            <w:top w:w="0" w:type="dxa"/>
            <w:left w:w="108" w:type="dxa"/>
            <w:bottom w:w="0" w:type="dxa"/>
            <w:right w:w="108" w:type="dxa"/>
          </w:tblCellMar>
        </w:tblPrEx>
        <w:trPr>
          <w:jc w:val="center"/>
        </w:trPr>
        <w:tc>
          <w:tcPr>
            <w:tcW w:w="4705" w:type="dxa"/>
            <w:noWrap w:val="0"/>
            <w:vAlign w:val="center"/>
          </w:tcPr>
          <w:p w14:paraId="4607FC1B">
            <w:pPr>
              <w:spacing w:line="500" w:lineRule="exact"/>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val="en-US" w:eastAsia="zh-CN"/>
              </w:rPr>
              <w:t>签字或</w:t>
            </w:r>
            <w:r>
              <w:rPr>
                <w:rFonts w:hint="eastAsia" w:ascii="仿宋" w:hAnsi="仿宋" w:eastAsia="仿宋" w:cs="仿宋"/>
                <w:sz w:val="24"/>
              </w:rPr>
              <w:t>盖章)</w:t>
            </w:r>
          </w:p>
        </w:tc>
        <w:tc>
          <w:tcPr>
            <w:tcW w:w="351" w:type="dxa"/>
            <w:noWrap w:val="0"/>
            <w:vAlign w:val="center"/>
          </w:tcPr>
          <w:p w14:paraId="047B7FF1">
            <w:pPr>
              <w:spacing w:line="500" w:lineRule="exact"/>
              <w:ind w:left="480"/>
              <w:rPr>
                <w:rFonts w:hint="eastAsia" w:ascii="仿宋" w:hAnsi="仿宋" w:eastAsia="仿宋" w:cs="仿宋"/>
                <w:sz w:val="24"/>
              </w:rPr>
            </w:pPr>
          </w:p>
        </w:tc>
        <w:tc>
          <w:tcPr>
            <w:tcW w:w="4482" w:type="dxa"/>
            <w:noWrap w:val="0"/>
            <w:vAlign w:val="center"/>
          </w:tcPr>
          <w:p w14:paraId="5E20A47D">
            <w:pPr>
              <w:spacing w:line="500" w:lineRule="exact"/>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val="en-US" w:eastAsia="zh-CN"/>
              </w:rPr>
              <w:t>签字或</w:t>
            </w:r>
            <w:r>
              <w:rPr>
                <w:rFonts w:hint="eastAsia" w:ascii="仿宋" w:hAnsi="仿宋" w:eastAsia="仿宋" w:cs="仿宋"/>
                <w:sz w:val="24"/>
              </w:rPr>
              <w:t>盖章)</w:t>
            </w:r>
          </w:p>
        </w:tc>
      </w:tr>
      <w:tr w14:paraId="0308BAE0">
        <w:tblPrEx>
          <w:tblCellMar>
            <w:top w:w="0" w:type="dxa"/>
            <w:left w:w="108" w:type="dxa"/>
            <w:bottom w:w="0" w:type="dxa"/>
            <w:right w:w="108" w:type="dxa"/>
          </w:tblCellMar>
        </w:tblPrEx>
        <w:trPr>
          <w:jc w:val="center"/>
        </w:trPr>
        <w:tc>
          <w:tcPr>
            <w:tcW w:w="4705" w:type="dxa"/>
            <w:noWrap w:val="0"/>
            <w:vAlign w:val="center"/>
          </w:tcPr>
          <w:p w14:paraId="2056DCFF">
            <w:pPr>
              <w:spacing w:line="500" w:lineRule="exact"/>
              <w:rPr>
                <w:rFonts w:hint="eastAsia" w:ascii="仿宋" w:hAnsi="仿宋" w:eastAsia="仿宋" w:cs="仿宋"/>
                <w:sz w:val="24"/>
              </w:rPr>
            </w:pPr>
            <w:r>
              <w:rPr>
                <w:rFonts w:hint="eastAsia" w:ascii="仿宋" w:hAnsi="仿宋" w:eastAsia="仿宋" w:cs="仿宋"/>
                <w:sz w:val="24"/>
              </w:rPr>
              <w:t>委托代理人：（签字）</w:t>
            </w:r>
          </w:p>
        </w:tc>
        <w:tc>
          <w:tcPr>
            <w:tcW w:w="351" w:type="dxa"/>
            <w:noWrap w:val="0"/>
            <w:vAlign w:val="center"/>
          </w:tcPr>
          <w:p w14:paraId="744CD0DF">
            <w:pPr>
              <w:spacing w:line="500" w:lineRule="exact"/>
              <w:ind w:left="480"/>
              <w:rPr>
                <w:rFonts w:hint="eastAsia" w:ascii="仿宋" w:hAnsi="仿宋" w:eastAsia="仿宋" w:cs="仿宋"/>
                <w:sz w:val="24"/>
              </w:rPr>
            </w:pPr>
          </w:p>
        </w:tc>
        <w:tc>
          <w:tcPr>
            <w:tcW w:w="4482" w:type="dxa"/>
            <w:noWrap w:val="0"/>
            <w:vAlign w:val="center"/>
          </w:tcPr>
          <w:p w14:paraId="165644A2">
            <w:pPr>
              <w:spacing w:line="500" w:lineRule="exact"/>
              <w:rPr>
                <w:rFonts w:hint="eastAsia" w:ascii="仿宋" w:hAnsi="仿宋" w:eastAsia="仿宋" w:cs="仿宋"/>
                <w:sz w:val="24"/>
              </w:rPr>
            </w:pPr>
            <w:r>
              <w:rPr>
                <w:rFonts w:hint="eastAsia" w:ascii="仿宋" w:hAnsi="仿宋" w:eastAsia="仿宋" w:cs="仿宋"/>
                <w:sz w:val="24"/>
              </w:rPr>
              <w:t>委托代理人：（签字）</w:t>
            </w:r>
          </w:p>
        </w:tc>
      </w:tr>
      <w:tr w14:paraId="708AF738">
        <w:tblPrEx>
          <w:tblCellMar>
            <w:top w:w="0" w:type="dxa"/>
            <w:left w:w="108" w:type="dxa"/>
            <w:bottom w:w="0" w:type="dxa"/>
            <w:right w:w="108" w:type="dxa"/>
          </w:tblCellMar>
        </w:tblPrEx>
        <w:trPr>
          <w:jc w:val="center"/>
        </w:trPr>
        <w:tc>
          <w:tcPr>
            <w:tcW w:w="4705" w:type="dxa"/>
            <w:noWrap w:val="0"/>
            <w:vAlign w:val="center"/>
          </w:tcPr>
          <w:p w14:paraId="7DEF25D4">
            <w:pPr>
              <w:spacing w:line="500" w:lineRule="exact"/>
              <w:ind w:left="1200" w:hanging="1200" w:hangingChars="500"/>
              <w:rPr>
                <w:rFonts w:hint="eastAsia" w:ascii="仿宋" w:hAnsi="仿宋" w:eastAsia="仿宋" w:cs="仿宋"/>
                <w:sz w:val="24"/>
              </w:rPr>
            </w:pPr>
            <w:r>
              <w:rPr>
                <w:rFonts w:hint="eastAsia" w:ascii="仿宋" w:hAnsi="仿宋" w:eastAsia="仿宋" w:cs="仿宋"/>
                <w:sz w:val="24"/>
                <w:lang w:eastAsia="zh-CN"/>
              </w:rPr>
              <w:t>地</w:t>
            </w:r>
            <w:r>
              <w:rPr>
                <w:rFonts w:hint="eastAsia" w:ascii="仿宋" w:hAnsi="仿宋" w:eastAsia="仿宋" w:cs="仿宋"/>
                <w:sz w:val="24"/>
                <w:lang w:val="en-US" w:eastAsia="zh-CN"/>
              </w:rPr>
              <w:t xml:space="preserve">    </w:t>
            </w:r>
            <w:r>
              <w:rPr>
                <w:rFonts w:hint="eastAsia" w:ascii="仿宋" w:hAnsi="仿宋" w:eastAsia="仿宋" w:cs="仿宋"/>
                <w:sz w:val="24"/>
                <w:lang w:eastAsia="zh-CN"/>
              </w:rPr>
              <w:t>址</w:t>
            </w:r>
            <w:r>
              <w:rPr>
                <w:rFonts w:hint="eastAsia" w:ascii="仿宋" w:hAnsi="仿宋" w:eastAsia="仿宋" w:cs="仿宋"/>
                <w:sz w:val="24"/>
              </w:rPr>
              <w:t>：</w:t>
            </w:r>
          </w:p>
        </w:tc>
        <w:tc>
          <w:tcPr>
            <w:tcW w:w="351" w:type="dxa"/>
            <w:noWrap w:val="0"/>
            <w:vAlign w:val="center"/>
          </w:tcPr>
          <w:p w14:paraId="6AAF9B18">
            <w:pPr>
              <w:spacing w:line="500" w:lineRule="exact"/>
              <w:ind w:left="480"/>
              <w:rPr>
                <w:rFonts w:hint="eastAsia" w:ascii="仿宋" w:hAnsi="仿宋" w:eastAsia="仿宋" w:cs="仿宋"/>
                <w:sz w:val="24"/>
              </w:rPr>
            </w:pPr>
          </w:p>
        </w:tc>
        <w:tc>
          <w:tcPr>
            <w:tcW w:w="4482" w:type="dxa"/>
            <w:noWrap w:val="0"/>
            <w:vAlign w:val="center"/>
          </w:tcPr>
          <w:p w14:paraId="3B59B1D1">
            <w:pPr>
              <w:spacing w:line="500" w:lineRule="exact"/>
              <w:rPr>
                <w:rFonts w:hint="eastAsia" w:ascii="仿宋" w:hAnsi="仿宋" w:eastAsia="仿宋" w:cs="仿宋"/>
                <w:sz w:val="24"/>
              </w:rPr>
            </w:pPr>
            <w:r>
              <w:rPr>
                <w:rFonts w:hint="eastAsia" w:ascii="仿宋" w:hAnsi="仿宋" w:eastAsia="仿宋" w:cs="仿宋"/>
                <w:sz w:val="24"/>
                <w:lang w:eastAsia="zh-CN"/>
              </w:rPr>
              <w:t>地</w:t>
            </w:r>
            <w:r>
              <w:rPr>
                <w:rFonts w:hint="eastAsia" w:ascii="仿宋" w:hAnsi="仿宋" w:eastAsia="仿宋" w:cs="仿宋"/>
                <w:sz w:val="24"/>
                <w:lang w:val="en-US" w:eastAsia="zh-CN"/>
              </w:rPr>
              <w:t xml:space="preserve">    </w:t>
            </w:r>
            <w:r>
              <w:rPr>
                <w:rFonts w:hint="eastAsia" w:ascii="仿宋" w:hAnsi="仿宋" w:eastAsia="仿宋" w:cs="仿宋"/>
                <w:sz w:val="24"/>
                <w:lang w:eastAsia="zh-CN"/>
              </w:rPr>
              <w:t>址</w:t>
            </w:r>
            <w:r>
              <w:rPr>
                <w:rFonts w:hint="eastAsia" w:ascii="仿宋" w:hAnsi="仿宋" w:eastAsia="仿宋" w:cs="仿宋"/>
                <w:sz w:val="24"/>
              </w:rPr>
              <w:t>：</w:t>
            </w:r>
          </w:p>
        </w:tc>
      </w:tr>
      <w:tr w14:paraId="04E6EEC0">
        <w:tblPrEx>
          <w:tblCellMar>
            <w:top w:w="0" w:type="dxa"/>
            <w:left w:w="108" w:type="dxa"/>
            <w:bottom w:w="0" w:type="dxa"/>
            <w:right w:w="108" w:type="dxa"/>
          </w:tblCellMar>
        </w:tblPrEx>
        <w:trPr>
          <w:jc w:val="center"/>
        </w:trPr>
        <w:tc>
          <w:tcPr>
            <w:tcW w:w="4705" w:type="dxa"/>
            <w:noWrap w:val="0"/>
            <w:vAlign w:val="center"/>
          </w:tcPr>
          <w:p w14:paraId="0E65BC50">
            <w:pPr>
              <w:spacing w:line="500" w:lineRule="exact"/>
              <w:rPr>
                <w:rFonts w:hint="eastAsia" w:ascii="仿宋" w:hAnsi="仿宋" w:eastAsia="仿宋" w:cs="仿宋"/>
                <w:sz w:val="24"/>
              </w:rPr>
            </w:pPr>
            <w:r>
              <w:rPr>
                <w:rFonts w:hint="eastAsia" w:ascii="仿宋" w:hAnsi="仿宋" w:eastAsia="仿宋" w:cs="仿宋"/>
                <w:sz w:val="24"/>
              </w:rPr>
              <w:t>邮政编码：</w:t>
            </w:r>
          </w:p>
        </w:tc>
        <w:tc>
          <w:tcPr>
            <w:tcW w:w="351" w:type="dxa"/>
            <w:noWrap w:val="0"/>
            <w:vAlign w:val="center"/>
          </w:tcPr>
          <w:p w14:paraId="5C027B9C">
            <w:pPr>
              <w:spacing w:line="500" w:lineRule="exact"/>
              <w:ind w:left="480"/>
              <w:rPr>
                <w:rFonts w:hint="eastAsia" w:ascii="仿宋" w:hAnsi="仿宋" w:eastAsia="仿宋" w:cs="仿宋"/>
                <w:sz w:val="24"/>
              </w:rPr>
            </w:pPr>
          </w:p>
        </w:tc>
        <w:tc>
          <w:tcPr>
            <w:tcW w:w="4482" w:type="dxa"/>
            <w:noWrap w:val="0"/>
            <w:vAlign w:val="center"/>
          </w:tcPr>
          <w:p w14:paraId="3ECF3271">
            <w:pPr>
              <w:spacing w:line="500" w:lineRule="exact"/>
              <w:rPr>
                <w:rFonts w:hint="eastAsia" w:ascii="仿宋" w:hAnsi="仿宋" w:eastAsia="仿宋" w:cs="仿宋"/>
                <w:sz w:val="24"/>
              </w:rPr>
            </w:pPr>
            <w:r>
              <w:rPr>
                <w:rFonts w:hint="eastAsia" w:ascii="仿宋" w:hAnsi="仿宋" w:eastAsia="仿宋" w:cs="仿宋"/>
                <w:sz w:val="24"/>
              </w:rPr>
              <w:t>邮政编码：</w:t>
            </w:r>
          </w:p>
        </w:tc>
      </w:tr>
      <w:tr w14:paraId="62C7F5F1">
        <w:tblPrEx>
          <w:tblCellMar>
            <w:top w:w="0" w:type="dxa"/>
            <w:left w:w="108" w:type="dxa"/>
            <w:bottom w:w="0" w:type="dxa"/>
            <w:right w:w="108" w:type="dxa"/>
          </w:tblCellMar>
        </w:tblPrEx>
        <w:trPr>
          <w:jc w:val="center"/>
        </w:trPr>
        <w:tc>
          <w:tcPr>
            <w:tcW w:w="4705" w:type="dxa"/>
            <w:noWrap w:val="0"/>
            <w:vAlign w:val="center"/>
          </w:tcPr>
          <w:p w14:paraId="560FCA36">
            <w:pPr>
              <w:spacing w:line="500" w:lineRule="exact"/>
              <w:rPr>
                <w:rFonts w:hint="eastAsia" w:ascii="仿宋" w:hAnsi="仿宋" w:eastAsia="仿宋" w:cs="仿宋"/>
                <w:sz w:val="24"/>
              </w:rPr>
            </w:pPr>
            <w:r>
              <w:rPr>
                <w:rFonts w:hint="eastAsia" w:ascii="仿宋" w:hAnsi="仿宋" w:eastAsia="仿宋" w:cs="仿宋"/>
                <w:sz w:val="24"/>
              </w:rPr>
              <w:t>电    话：</w:t>
            </w:r>
          </w:p>
        </w:tc>
        <w:tc>
          <w:tcPr>
            <w:tcW w:w="351" w:type="dxa"/>
            <w:noWrap w:val="0"/>
            <w:vAlign w:val="center"/>
          </w:tcPr>
          <w:p w14:paraId="2DDD7607">
            <w:pPr>
              <w:spacing w:line="500" w:lineRule="exact"/>
              <w:ind w:left="480"/>
              <w:rPr>
                <w:rFonts w:hint="eastAsia" w:ascii="仿宋" w:hAnsi="仿宋" w:eastAsia="仿宋" w:cs="仿宋"/>
                <w:sz w:val="24"/>
              </w:rPr>
            </w:pPr>
          </w:p>
        </w:tc>
        <w:tc>
          <w:tcPr>
            <w:tcW w:w="4482" w:type="dxa"/>
            <w:noWrap w:val="0"/>
            <w:vAlign w:val="center"/>
          </w:tcPr>
          <w:p w14:paraId="1D7CCBA1">
            <w:pPr>
              <w:spacing w:line="500" w:lineRule="exact"/>
              <w:rPr>
                <w:rFonts w:hint="eastAsia" w:ascii="仿宋" w:hAnsi="仿宋" w:eastAsia="仿宋" w:cs="仿宋"/>
                <w:sz w:val="24"/>
              </w:rPr>
            </w:pPr>
            <w:r>
              <w:rPr>
                <w:rFonts w:hint="eastAsia" w:ascii="仿宋" w:hAnsi="仿宋" w:eastAsia="仿宋" w:cs="仿宋"/>
                <w:sz w:val="24"/>
              </w:rPr>
              <w:t>电    话：</w:t>
            </w:r>
          </w:p>
        </w:tc>
      </w:tr>
      <w:tr w14:paraId="206A8688">
        <w:tblPrEx>
          <w:tblCellMar>
            <w:top w:w="0" w:type="dxa"/>
            <w:left w:w="108" w:type="dxa"/>
            <w:bottom w:w="0" w:type="dxa"/>
            <w:right w:w="108" w:type="dxa"/>
          </w:tblCellMar>
        </w:tblPrEx>
        <w:trPr>
          <w:jc w:val="center"/>
        </w:trPr>
        <w:tc>
          <w:tcPr>
            <w:tcW w:w="4705" w:type="dxa"/>
            <w:noWrap w:val="0"/>
            <w:vAlign w:val="center"/>
          </w:tcPr>
          <w:p w14:paraId="21837163">
            <w:pPr>
              <w:spacing w:line="500" w:lineRule="exact"/>
              <w:rPr>
                <w:rFonts w:hint="eastAsia" w:ascii="仿宋" w:hAnsi="仿宋" w:eastAsia="仿宋" w:cs="仿宋"/>
                <w:sz w:val="24"/>
              </w:rPr>
            </w:pPr>
            <w:r>
              <w:rPr>
                <w:rFonts w:hint="eastAsia" w:ascii="仿宋" w:hAnsi="仿宋" w:eastAsia="仿宋" w:cs="仿宋"/>
                <w:sz w:val="24"/>
              </w:rPr>
              <w:t>传    真：/</w:t>
            </w:r>
          </w:p>
        </w:tc>
        <w:tc>
          <w:tcPr>
            <w:tcW w:w="351" w:type="dxa"/>
            <w:noWrap w:val="0"/>
            <w:vAlign w:val="center"/>
          </w:tcPr>
          <w:p w14:paraId="05AF328D">
            <w:pPr>
              <w:spacing w:line="500" w:lineRule="exact"/>
              <w:ind w:left="480"/>
              <w:rPr>
                <w:rFonts w:hint="eastAsia" w:ascii="仿宋" w:hAnsi="仿宋" w:eastAsia="仿宋" w:cs="仿宋"/>
                <w:sz w:val="24"/>
              </w:rPr>
            </w:pPr>
          </w:p>
        </w:tc>
        <w:tc>
          <w:tcPr>
            <w:tcW w:w="4482" w:type="dxa"/>
            <w:noWrap w:val="0"/>
            <w:vAlign w:val="center"/>
          </w:tcPr>
          <w:p w14:paraId="1BF8D4D8">
            <w:pPr>
              <w:spacing w:line="500" w:lineRule="exact"/>
              <w:rPr>
                <w:rFonts w:hint="eastAsia" w:ascii="仿宋" w:hAnsi="仿宋" w:eastAsia="仿宋" w:cs="仿宋"/>
                <w:sz w:val="24"/>
              </w:rPr>
            </w:pPr>
            <w:r>
              <w:rPr>
                <w:rFonts w:hint="eastAsia" w:ascii="仿宋" w:hAnsi="仿宋" w:eastAsia="仿宋" w:cs="仿宋"/>
                <w:sz w:val="24"/>
              </w:rPr>
              <w:t>传    真：</w:t>
            </w:r>
          </w:p>
        </w:tc>
      </w:tr>
      <w:tr w14:paraId="7C96B542">
        <w:tblPrEx>
          <w:tblCellMar>
            <w:top w:w="0" w:type="dxa"/>
            <w:left w:w="108" w:type="dxa"/>
            <w:bottom w:w="0" w:type="dxa"/>
            <w:right w:w="108" w:type="dxa"/>
          </w:tblCellMar>
        </w:tblPrEx>
        <w:trPr>
          <w:jc w:val="center"/>
        </w:trPr>
        <w:tc>
          <w:tcPr>
            <w:tcW w:w="4705" w:type="dxa"/>
            <w:noWrap w:val="0"/>
            <w:vAlign w:val="center"/>
          </w:tcPr>
          <w:p w14:paraId="3874EB47">
            <w:pPr>
              <w:spacing w:line="500" w:lineRule="exact"/>
              <w:rPr>
                <w:rFonts w:hint="eastAsia" w:ascii="仿宋" w:hAnsi="仿宋" w:eastAsia="仿宋" w:cs="仿宋"/>
                <w:sz w:val="24"/>
              </w:rPr>
            </w:pPr>
            <w:r>
              <w:rPr>
                <w:rFonts w:hint="eastAsia" w:ascii="仿宋" w:hAnsi="仿宋" w:eastAsia="仿宋" w:cs="仿宋"/>
                <w:sz w:val="24"/>
              </w:rPr>
              <w:t>开户银行：</w:t>
            </w:r>
          </w:p>
        </w:tc>
        <w:tc>
          <w:tcPr>
            <w:tcW w:w="351" w:type="dxa"/>
            <w:noWrap w:val="0"/>
            <w:vAlign w:val="center"/>
          </w:tcPr>
          <w:p w14:paraId="1A826945">
            <w:pPr>
              <w:spacing w:line="500" w:lineRule="exact"/>
              <w:ind w:left="480"/>
              <w:rPr>
                <w:rFonts w:hint="eastAsia" w:ascii="仿宋" w:hAnsi="仿宋" w:eastAsia="仿宋" w:cs="仿宋"/>
                <w:sz w:val="24"/>
              </w:rPr>
            </w:pPr>
          </w:p>
        </w:tc>
        <w:tc>
          <w:tcPr>
            <w:tcW w:w="4482" w:type="dxa"/>
            <w:noWrap w:val="0"/>
            <w:vAlign w:val="center"/>
          </w:tcPr>
          <w:p w14:paraId="605BB983">
            <w:pPr>
              <w:spacing w:line="500" w:lineRule="exact"/>
              <w:ind w:left="1200" w:hanging="1200" w:hangingChars="500"/>
              <w:rPr>
                <w:rFonts w:hint="eastAsia" w:ascii="仿宋" w:hAnsi="仿宋" w:eastAsia="仿宋" w:cs="仿宋"/>
                <w:sz w:val="24"/>
              </w:rPr>
            </w:pPr>
            <w:r>
              <w:rPr>
                <w:rFonts w:hint="eastAsia" w:ascii="仿宋" w:hAnsi="仿宋" w:eastAsia="仿宋" w:cs="仿宋"/>
                <w:sz w:val="24"/>
              </w:rPr>
              <w:t>开户银行：</w:t>
            </w:r>
          </w:p>
        </w:tc>
      </w:tr>
      <w:tr w14:paraId="05B32113">
        <w:tblPrEx>
          <w:tblCellMar>
            <w:top w:w="0" w:type="dxa"/>
            <w:left w:w="108" w:type="dxa"/>
            <w:bottom w:w="0" w:type="dxa"/>
            <w:right w:w="108" w:type="dxa"/>
          </w:tblCellMar>
        </w:tblPrEx>
        <w:trPr>
          <w:jc w:val="center"/>
        </w:trPr>
        <w:tc>
          <w:tcPr>
            <w:tcW w:w="4705" w:type="dxa"/>
            <w:noWrap w:val="0"/>
            <w:vAlign w:val="center"/>
          </w:tcPr>
          <w:p w14:paraId="7AE8F1A2">
            <w:pPr>
              <w:spacing w:line="500" w:lineRule="exact"/>
              <w:jc w:val="left"/>
              <w:rPr>
                <w:rFonts w:hint="eastAsia" w:ascii="仿宋" w:hAnsi="仿宋" w:eastAsia="仿宋" w:cs="仿宋"/>
                <w:sz w:val="24"/>
              </w:rPr>
            </w:pPr>
            <w:r>
              <w:rPr>
                <w:rFonts w:hint="eastAsia" w:ascii="仿宋" w:hAnsi="仿宋" w:eastAsia="仿宋" w:cs="仿宋"/>
                <w:kern w:val="0"/>
                <w:sz w:val="24"/>
              </w:rPr>
              <w:t>银行账号：</w:t>
            </w:r>
          </w:p>
        </w:tc>
        <w:tc>
          <w:tcPr>
            <w:tcW w:w="351" w:type="dxa"/>
            <w:noWrap w:val="0"/>
            <w:vAlign w:val="center"/>
          </w:tcPr>
          <w:p w14:paraId="527838EB">
            <w:pPr>
              <w:spacing w:line="500" w:lineRule="exact"/>
              <w:ind w:left="480"/>
              <w:rPr>
                <w:rFonts w:hint="eastAsia" w:ascii="仿宋" w:hAnsi="仿宋" w:eastAsia="仿宋" w:cs="仿宋"/>
                <w:sz w:val="24"/>
              </w:rPr>
            </w:pPr>
          </w:p>
        </w:tc>
        <w:tc>
          <w:tcPr>
            <w:tcW w:w="4482" w:type="dxa"/>
            <w:noWrap w:val="0"/>
            <w:vAlign w:val="center"/>
          </w:tcPr>
          <w:p w14:paraId="1BBE7E6B">
            <w:pPr>
              <w:spacing w:line="500" w:lineRule="exact"/>
              <w:jc w:val="left"/>
              <w:rPr>
                <w:rFonts w:hint="eastAsia" w:ascii="仿宋" w:hAnsi="仿宋" w:eastAsia="仿宋" w:cs="仿宋"/>
                <w:sz w:val="24"/>
              </w:rPr>
            </w:pPr>
            <w:r>
              <w:rPr>
                <w:rFonts w:hint="eastAsia" w:ascii="仿宋" w:hAnsi="仿宋" w:eastAsia="仿宋" w:cs="仿宋"/>
                <w:sz w:val="24"/>
              </w:rPr>
              <w:t>银行账号：</w:t>
            </w:r>
          </w:p>
        </w:tc>
      </w:tr>
    </w:tbl>
    <w:p w14:paraId="707EDFA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40403C"/>
    <w:rsid w:val="16DF7627"/>
    <w:rsid w:val="41675ADF"/>
    <w:rsid w:val="54882B67"/>
    <w:rsid w:val="612850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toc 1"/>
    <w:basedOn w:val="1"/>
    <w:next w:val="1"/>
    <w:qFormat/>
    <w:uiPriority w:val="0"/>
  </w:style>
  <w:style w:type="paragraph" w:customStyle="1" w:styleId="6">
    <w:name w:val="null3"/>
    <w:qFormat/>
    <w:uiPriority w:val="0"/>
    <w:rPr>
      <w:rFonts w:hint="eastAsia" w:ascii="Calibri" w:hAnsi="Calibri" w:eastAsia="宋体" w:cs="Times New Roman"/>
      <w:lang w:val="en-US" w:eastAsia="zh-Hans"/>
    </w:rPr>
  </w:style>
  <w:style w:type="paragraph" w:customStyle="1" w:styleId="7">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5771</Words>
  <Characters>5920</Characters>
  <Lines>0</Lines>
  <Paragraphs>0</Paragraphs>
  <TotalTime>10</TotalTime>
  <ScaleCrop>false</ScaleCrop>
  <LinksUpToDate>false</LinksUpToDate>
  <CharactersWithSpaces>6080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2024-07-25T12:53:00Z</dcterms:created>
  <dc:creator>HP</dc:creator>
  <cp:lastModifiedBy>乐果儿</cp:lastModifiedBy>
  <dcterms:modified xsi:type="dcterms:W3CDTF">2026-06-04T02:01:47Z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FACE1E985A364C77956E46BD92C5B6F5_13</vt:lpwstr>
  </property>
  <property fmtid="{D5CDD505-2E9C-101B-9397-08002B2CF9AE}" pid="4" name="KSOTemplateDocerSaveRecord">
    <vt:lpwstr>eyJoZGlkIjoiZWY5ZmNmZDhlYzhmZmRiNjlhZmE3NTFhYmE0YjBiNmQiLCJ1c2VySWQiOiIyNzkwMTkzMTgifQ==</vt:lpwstr>
  </property>
</Properties>
</file>