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版本号：0617-2613FZ089420260519001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网络与安全维护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0617-2613FZ0894</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网络与安全维护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0617-2613FZ0894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网络与安全维护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主要内容是陕西省公路局机关办公计算机及网络、机房维护；陕西省公路局网络及信息系统的预警监测及防护处置，11个市级公路管理部门陕西省公路局部署信息系统的预警监测及处置建议，提升网络安全预警监测及防护处置能力；网络安全宣传周策划宣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采购包1（陕西省公路局网络与安全维护）：属于专门面向中小企业采购。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用信息查询：在磋商截止时间，供应商不得存在列入失信被执行人（“中国执行信息公开网”http://zxgk.court.gov.cn/shixin/）的情形、不得存在列入信用中国（www.creditchina.gov.cn）重大税收违法失信主体和政府采购严重违法失信行为记录名单的情形，不得存在列入中国政府采购网（www.ccgp.gov.cn）政府采购严重违法失信行为记录名单的情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习郭莹、靖悦、侯润泽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029-85257747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开户名称：西北(陕西)国际招标有限公司</w:t>
            </w:r>
          </w:p>
          <w:p>
            <w:pPr>
              <w:pStyle w:val="null3"/>
            </w:pPr>
            <w:r>
              <w:rPr>
                <w:rFonts w:ascii="仿宋_GB2312" w:hAnsi="仿宋_GB2312" w:cs="仿宋_GB2312" w:eastAsia="仿宋_GB2312"/>
              </w:rPr>
              <w:t>开户银行：交通银行西安长安大学支行</w:t>
            </w:r>
          </w:p>
          <w:p>
            <w:pPr>
              <w:pStyle w:val="null3"/>
            </w:pPr>
            <w:r>
              <w:rPr>
                <w:rFonts w:ascii="仿宋_GB2312" w:hAnsi="仿宋_GB2312" w:cs="仿宋_GB2312" w:eastAsia="仿宋_GB2312"/>
              </w:rPr>
              <w:t>银行账号：611301151018010003843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说明：签订合同前，供应商向采购人交付合同金额5%的履约保证金。履约保证金待供应商履行完全部合同义务，并经采购人验收合格且无任何纠纷后无息退还。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代理服务费收费标准：中标(成交)服务费以中标（成交）价为基数，参照国家计委颁布的《招标代理服务收费管理暂行办法》(计价格 [2002]1980号)文件规定×0.8的标准。由中标(成交)人在领取成交通知书前一次性向代理机构全额支付。收费信息如下： 开户名称：西北(陕西)国际招标有限公司 开户银行：交通银行西安长安大学支行 银行账号：611301151018010003843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2.甲方收到乙方的验收申请后，组织乙方（必要时请有关专家）进行项目验收。乙方提交合同履约情况总结报告，并经甲方确认。验收合格后，填写项目验收单作为对项目的最终认可。3.验收依据：①本合同及附件文本；②竞争性磋商文件、磋商响应文件、澄清表（函）；③国家相应的标准、规范。4.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主要内容是陕西省公路局机关办公计算机及网络、机房维护；陕西省公路局网络及信息系统的预警监测及防护处置，11个市级公路管理部门陕西省公路局部署信息系统的预警监测及处置建议，提升网络安全预警监测及防护处置能力；网络安全宣传周策划宣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816,000.00</w:t>
      </w:r>
    </w:p>
    <w:p>
      <w:pPr>
        <w:pStyle w:val="null3"/>
      </w:pPr>
      <w:r>
        <w:rPr>
          <w:rFonts w:ascii="仿宋_GB2312" w:hAnsi="仿宋_GB2312" w:cs="仿宋_GB2312" w:eastAsia="仿宋_GB2312"/>
        </w:rPr>
        <w:t>采购包最高限价（元）: 816,000.00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陕西省公路局网络与安全维护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标的名称：陕西省公路局网络与安全维护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一、服务内容</w:t>
            </w:r>
          </w:p>
          <w:p>
            <w:pPr>
              <w:pStyle w:val="null3"/>
              <w:jc w:val="left"/>
            </w:pPr>
            <w:r>
              <w:rPr>
                <w:rFonts w:ascii="仿宋_GB2312" w:hAnsi="仿宋_GB2312" w:cs="仿宋_GB2312" w:eastAsia="仿宋_GB2312"/>
              </w:rPr>
              <w:t>（一）办公计算机及网络、机房维护</w:t>
            </w:r>
          </w:p>
          <w:p>
            <w:pPr>
              <w:pStyle w:val="null3"/>
              <w:jc w:val="left"/>
            </w:pPr>
            <w:r>
              <w:rPr>
                <w:rFonts w:ascii="仿宋_GB2312" w:hAnsi="仿宋_GB2312" w:cs="仿宋_GB2312" w:eastAsia="仿宋_GB2312"/>
              </w:rPr>
              <w:t>1.负责陕西省公路局办公计算机的巡检、维护及故障排除；</w:t>
            </w:r>
          </w:p>
          <w:p>
            <w:pPr>
              <w:pStyle w:val="null3"/>
              <w:jc w:val="left"/>
            </w:pPr>
            <w:r>
              <w:rPr>
                <w:rFonts w:ascii="仿宋_GB2312" w:hAnsi="仿宋_GB2312" w:cs="仿宋_GB2312" w:eastAsia="仿宋_GB2312"/>
              </w:rPr>
              <w:t>2.负责陕西省公路局局域网和交通专网网络线路的巡检、维护及故障排除；</w:t>
            </w:r>
          </w:p>
          <w:p>
            <w:pPr>
              <w:pStyle w:val="null3"/>
              <w:jc w:val="left"/>
            </w:pPr>
            <w:r>
              <w:rPr>
                <w:rFonts w:ascii="仿宋_GB2312" w:hAnsi="仿宋_GB2312" w:cs="仿宋_GB2312" w:eastAsia="仿宋_GB2312"/>
              </w:rPr>
              <w:t>3.负责陕西省公路局网络及安全设备的巡检、维护及故障排除；</w:t>
            </w:r>
          </w:p>
          <w:p>
            <w:pPr>
              <w:pStyle w:val="null3"/>
              <w:jc w:val="left"/>
            </w:pPr>
            <w:r>
              <w:rPr>
                <w:rFonts w:ascii="仿宋_GB2312" w:hAnsi="仿宋_GB2312" w:cs="仿宋_GB2312" w:eastAsia="仿宋_GB2312"/>
              </w:rPr>
              <w:t>4.负责陕西省公路局机房动力环境设备的巡检、维护及故障排除。</w:t>
            </w:r>
          </w:p>
          <w:p>
            <w:pPr>
              <w:pStyle w:val="null3"/>
              <w:jc w:val="left"/>
            </w:pPr>
            <w:r>
              <w:rPr>
                <w:rFonts w:ascii="仿宋_GB2312" w:hAnsi="仿宋_GB2312" w:cs="仿宋_GB2312" w:eastAsia="仿宋_GB2312"/>
              </w:rPr>
              <w:t>（二）网络安全预警监测及防护处置</w:t>
            </w:r>
          </w:p>
          <w:p>
            <w:pPr>
              <w:pStyle w:val="null3"/>
              <w:jc w:val="left"/>
            </w:pPr>
            <w:r>
              <w:rPr>
                <w:rFonts w:ascii="仿宋_GB2312" w:hAnsi="仿宋_GB2312" w:cs="仿宋_GB2312" w:eastAsia="仿宋_GB2312"/>
              </w:rPr>
              <w:t>1.负责陕西省公路局网络及信息系统的预警监测及防护处置；</w:t>
            </w:r>
          </w:p>
          <w:p>
            <w:pPr>
              <w:pStyle w:val="null3"/>
              <w:jc w:val="left"/>
            </w:pPr>
            <w:r>
              <w:rPr>
                <w:rFonts w:ascii="仿宋_GB2312" w:hAnsi="仿宋_GB2312" w:cs="仿宋_GB2312" w:eastAsia="仿宋_GB2312"/>
              </w:rPr>
              <w:t>2.负责11个市级公路管理部门陕西省公路局部署信息系统的预警监测及处置建议（其中宝鸡、铜川、渭南、榆林4个市级公路管理部门利用原有潜伏威胁探针设备，西安、咸阳、延安、汉中、安康、商洛、韩城7个市级公路管理部门潜伏威胁探针设备在服务期内由供应商提供）；</w:t>
            </w:r>
          </w:p>
          <w:p>
            <w:pPr>
              <w:pStyle w:val="null3"/>
              <w:jc w:val="left"/>
            </w:pPr>
            <w:r>
              <w:rPr>
                <w:rFonts w:ascii="仿宋_GB2312" w:hAnsi="仿宋_GB2312" w:cs="仿宋_GB2312" w:eastAsia="仿宋_GB2312"/>
              </w:rPr>
              <w:t>3.负责编制网络安全监测报告。</w:t>
            </w:r>
          </w:p>
          <w:p>
            <w:pPr>
              <w:pStyle w:val="null3"/>
              <w:jc w:val="left"/>
            </w:pPr>
            <w:r>
              <w:rPr>
                <w:rFonts w:ascii="仿宋_GB2312" w:hAnsi="仿宋_GB2312" w:cs="仿宋_GB2312" w:eastAsia="仿宋_GB2312"/>
              </w:rPr>
              <w:t>（三）网络安全宣传周策划宣传</w:t>
            </w:r>
          </w:p>
          <w:p>
            <w:pPr>
              <w:pStyle w:val="null3"/>
              <w:jc w:val="left"/>
            </w:pPr>
            <w:r>
              <w:rPr>
                <w:rFonts w:ascii="仿宋_GB2312" w:hAnsi="仿宋_GB2312" w:cs="仿宋_GB2312" w:eastAsia="仿宋_GB2312"/>
              </w:rPr>
              <w:t>1.协助陕西省公路局开展网络安全宣传周活动；</w:t>
            </w:r>
          </w:p>
          <w:p>
            <w:pPr>
              <w:pStyle w:val="null3"/>
              <w:jc w:val="left"/>
            </w:pPr>
            <w:r>
              <w:rPr>
                <w:rFonts w:ascii="仿宋_GB2312" w:hAnsi="仿宋_GB2312" w:cs="仿宋_GB2312" w:eastAsia="仿宋_GB2312"/>
              </w:rPr>
              <w:t>2.负责策划和制作网络安全宣传周宣传展板、宣传册等宣传培训资料；</w:t>
            </w:r>
          </w:p>
          <w:p>
            <w:pPr>
              <w:pStyle w:val="null3"/>
              <w:jc w:val="left"/>
            </w:pPr>
            <w:r>
              <w:rPr>
                <w:rFonts w:ascii="仿宋_GB2312" w:hAnsi="仿宋_GB2312" w:cs="仿宋_GB2312" w:eastAsia="仿宋_GB2312"/>
              </w:rPr>
              <w:t>3.按陕西省公路局要求开展其它网络安全宣传培训工作。</w:t>
            </w:r>
          </w:p>
          <w:p>
            <w:pPr>
              <w:pStyle w:val="null3"/>
              <w:jc w:val="left"/>
            </w:pPr>
            <w:r>
              <w:rPr>
                <w:rFonts w:ascii="仿宋_GB2312" w:hAnsi="仿宋_GB2312" w:cs="仿宋_GB2312" w:eastAsia="仿宋_GB2312"/>
              </w:rPr>
              <w:t>（四）编制运维及网络安全工作台账资料</w:t>
            </w:r>
          </w:p>
          <w:p>
            <w:pPr>
              <w:pStyle w:val="null3"/>
              <w:jc w:val="left"/>
            </w:pPr>
            <w:r>
              <w:rPr>
                <w:rFonts w:ascii="仿宋_GB2312" w:hAnsi="仿宋_GB2312" w:cs="仿宋_GB2312" w:eastAsia="仿宋_GB2312"/>
              </w:rPr>
              <w:t>1.负责运维及网络安全工作台账资料的建立、编制、更新和归档；</w:t>
            </w:r>
          </w:p>
          <w:p>
            <w:pPr>
              <w:pStyle w:val="null3"/>
              <w:jc w:val="left"/>
            </w:pPr>
            <w:r>
              <w:rPr>
                <w:rFonts w:ascii="仿宋_GB2312" w:hAnsi="仿宋_GB2312" w:cs="仿宋_GB2312" w:eastAsia="仿宋_GB2312"/>
              </w:rPr>
              <w:t>2.定期对运维工作进行总结自评，并按陕西省公路局要求提交网络安全监测报告、运维月报、运维工作年度总结报告。</w:t>
            </w:r>
          </w:p>
          <w:p>
            <w:pPr>
              <w:pStyle w:val="null3"/>
              <w:jc w:val="left"/>
            </w:pPr>
            <w:r>
              <w:rPr>
                <w:rFonts w:ascii="仿宋_GB2312" w:hAnsi="仿宋_GB2312" w:cs="仿宋_GB2312" w:eastAsia="仿宋_GB2312"/>
              </w:rPr>
              <w:t>（五）编制网络安全管理白皮书</w:t>
            </w:r>
          </w:p>
          <w:p>
            <w:pPr>
              <w:pStyle w:val="null3"/>
              <w:jc w:val="left"/>
            </w:pPr>
            <w:r>
              <w:rPr>
                <w:rFonts w:ascii="仿宋_GB2312" w:hAnsi="仿宋_GB2312" w:cs="仿宋_GB2312" w:eastAsia="仿宋_GB2312"/>
              </w:rPr>
              <w:t>负责编制陕西省公路局网络安全管理白皮书。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二、服务要求</w:t>
            </w:r>
          </w:p>
          <w:p>
            <w:pPr>
              <w:pStyle w:val="null3"/>
              <w:jc w:val="left"/>
            </w:pPr>
            <w:r>
              <w:rPr>
                <w:rFonts w:ascii="仿宋_GB2312" w:hAnsi="仿宋_GB2312" w:cs="仿宋_GB2312" w:eastAsia="仿宋_GB2312"/>
              </w:rPr>
              <w:t>（一）运维质量要求</w:t>
            </w:r>
          </w:p>
          <w:p>
            <w:pPr>
              <w:pStyle w:val="null3"/>
              <w:jc w:val="left"/>
            </w:pPr>
            <w:r>
              <w:rPr>
                <w:rFonts w:ascii="仿宋_GB2312" w:hAnsi="仿宋_GB2312" w:cs="仿宋_GB2312" w:eastAsia="仿宋_GB2312"/>
              </w:rPr>
              <w:t>1.运维服务目标：供应商应在服务期内提供稳定可靠的技术支持和服务，通过巡检、预警监测等多种手段保障计算机及网络、机房、信息系统稳定运行，全年软硬件设备故障率≤5%；做好网络安全预警监测及防护处置、网络安全宣传周策划宣传等工作；</w:t>
            </w:r>
          </w:p>
          <w:p>
            <w:pPr>
              <w:pStyle w:val="null3"/>
              <w:jc w:val="left"/>
            </w:pPr>
            <w:r>
              <w:rPr>
                <w:rFonts w:ascii="仿宋_GB2312" w:hAnsi="仿宋_GB2312" w:cs="仿宋_GB2312" w:eastAsia="仿宋_GB2312"/>
              </w:rPr>
              <w:t>2.驻场要求：安排2名运维工程师在陕西省公路局驻场，其中1名驻场人员驻场工作时间同陕西省公路局工作时间一致，另1名工作人员每周驻场时间不少于2个工作日；</w:t>
            </w:r>
          </w:p>
          <w:p>
            <w:pPr>
              <w:pStyle w:val="null3"/>
              <w:jc w:val="left"/>
            </w:pPr>
            <w:r>
              <w:rPr>
                <w:rFonts w:ascii="仿宋_GB2312" w:hAnsi="仿宋_GB2312" w:cs="仿宋_GB2312" w:eastAsia="仿宋_GB2312"/>
              </w:rPr>
              <w:t>3.国家重要活动、重要会议及法定节假日等关键时期根据陕西省公路局要求驻场；</w:t>
            </w:r>
          </w:p>
          <w:p>
            <w:pPr>
              <w:pStyle w:val="null3"/>
              <w:jc w:val="left"/>
            </w:pPr>
            <w:r>
              <w:rPr>
                <w:rFonts w:ascii="仿宋_GB2312" w:hAnsi="仿宋_GB2312" w:cs="仿宋_GB2312" w:eastAsia="仿宋_GB2312"/>
              </w:rPr>
              <w:t>4.服务响应：在工作时间内，驻场工程师应在10分钟之内到达故障地点；在工作时间外，供应商应立即响应，并在10分钟内提供电话在线支持服务，同时安排工程师在1小时之内赶到现场提供现场维护服务；</w:t>
            </w:r>
          </w:p>
          <w:p>
            <w:pPr>
              <w:pStyle w:val="null3"/>
              <w:jc w:val="left"/>
            </w:pPr>
            <w:r>
              <w:rPr>
                <w:rFonts w:ascii="仿宋_GB2312" w:hAnsi="仿宋_GB2312" w:cs="仿宋_GB2312" w:eastAsia="仿宋_GB2312"/>
              </w:rPr>
              <w:t>5.故障解决时间：发生故障时，应在2小时内解决故障或恢复系统正常运行；若在2小时内未能解决故障，应请第三方进行处理，费用由供应商承担；</w:t>
            </w:r>
          </w:p>
          <w:p>
            <w:pPr>
              <w:pStyle w:val="null3"/>
              <w:jc w:val="left"/>
            </w:pPr>
            <w:r>
              <w:rPr>
                <w:rFonts w:ascii="仿宋_GB2312" w:hAnsi="仿宋_GB2312" w:cs="仿宋_GB2312" w:eastAsia="仿宋_GB2312"/>
              </w:rPr>
              <w:t>6.故障处理记录：供应商对于故障处理应有详细的报告记录，包含故障原因、响应时间、解决方法等。</w:t>
            </w:r>
          </w:p>
          <w:p>
            <w:pPr>
              <w:pStyle w:val="null3"/>
              <w:jc w:val="left"/>
            </w:pPr>
            <w:r>
              <w:rPr>
                <w:rFonts w:ascii="仿宋_GB2312" w:hAnsi="仿宋_GB2312" w:cs="仿宋_GB2312" w:eastAsia="仿宋_GB2312"/>
              </w:rPr>
              <w:t>（二）服务人员能力要求</w:t>
            </w:r>
          </w:p>
          <w:p>
            <w:pPr>
              <w:pStyle w:val="null3"/>
              <w:jc w:val="left"/>
            </w:pPr>
            <w:r>
              <w:rPr>
                <w:rFonts w:ascii="仿宋_GB2312" w:hAnsi="仿宋_GB2312" w:cs="仿宋_GB2312" w:eastAsia="仿宋_GB2312"/>
              </w:rPr>
              <w:t>1.维护主管（1人）：负责维保服务业务及团队管理。要求8年以上相关工作经验，精通计算机、服务器、存储、网络设备、安全设备的日常配置及维护，具有良好的协调沟通能力，能处理突发事件；</w:t>
            </w:r>
          </w:p>
          <w:p>
            <w:pPr>
              <w:pStyle w:val="null3"/>
              <w:jc w:val="left"/>
            </w:pPr>
            <w:r>
              <w:rPr>
                <w:rFonts w:ascii="仿宋_GB2312" w:hAnsi="仿宋_GB2312" w:cs="仿宋_GB2312" w:eastAsia="仿宋_GB2312"/>
              </w:rPr>
              <w:t>2.驻场服务人员（2人）：负责日常计算机、网络与安全等设备的运行状态监测、巡检、维护及故障排除。要求3年以上工作经验，有良好的服务意识和沟通能力，驻场人员需要具备较强的信息化等专业知识；</w:t>
            </w:r>
          </w:p>
          <w:p>
            <w:pPr>
              <w:pStyle w:val="null3"/>
              <w:jc w:val="left"/>
            </w:pPr>
            <w:r>
              <w:rPr>
                <w:rFonts w:ascii="仿宋_GB2312" w:hAnsi="仿宋_GB2312" w:cs="仿宋_GB2312" w:eastAsia="仿宋_GB2312"/>
              </w:rPr>
              <w:t>3.资料员（1人）：负责编制运维工作台账资料及网络安全监测报告、运维工作月报、运维工作年度总结报告等相关文件，要求1年以上工作经验，有良好的服务意识和沟通能力，有良好的文档编制能力；</w:t>
            </w:r>
          </w:p>
          <w:p>
            <w:pPr>
              <w:pStyle w:val="null3"/>
              <w:jc w:val="left"/>
            </w:pPr>
            <w:r>
              <w:rPr>
                <w:rFonts w:ascii="仿宋_GB2312" w:hAnsi="仿宋_GB2312" w:cs="仿宋_GB2312" w:eastAsia="仿宋_GB2312"/>
              </w:rPr>
              <w:t>4.服务人员变更：服务期间驻场人员变动不得超过一人次，更换人员要提前两周向陕西省公路局提出书面申请，经陕西省公路局同意后方可更换。</w:t>
            </w:r>
          </w:p>
          <w:p>
            <w:pPr>
              <w:pStyle w:val="null3"/>
              <w:jc w:val="left"/>
            </w:pPr>
            <w:r>
              <w:rPr>
                <w:rFonts w:ascii="仿宋_GB2312" w:hAnsi="仿宋_GB2312" w:cs="仿宋_GB2312" w:eastAsia="仿宋_GB2312"/>
              </w:rPr>
              <w:t>（三）资料交付要求</w:t>
            </w:r>
          </w:p>
          <w:p>
            <w:pPr>
              <w:pStyle w:val="null3"/>
              <w:jc w:val="left"/>
            </w:pPr>
            <w:r>
              <w:rPr>
                <w:rFonts w:ascii="仿宋_GB2312" w:hAnsi="仿宋_GB2312" w:cs="仿宋_GB2312" w:eastAsia="仿宋_GB2312"/>
              </w:rPr>
              <w:t>1.时间要求：每月10号之前提交上月度网络安全监测报告、运维月报；运维服务期结束前1周内提交运维工作年度总结报告；在陕西省公路局要求时间内提交网络安全管理白皮书；</w:t>
            </w:r>
          </w:p>
          <w:p>
            <w:pPr>
              <w:pStyle w:val="null3"/>
              <w:jc w:val="left"/>
            </w:pPr>
            <w:r>
              <w:rPr>
                <w:rFonts w:ascii="仿宋_GB2312" w:hAnsi="仿宋_GB2312" w:cs="仿宋_GB2312" w:eastAsia="仿宋_GB2312"/>
              </w:rPr>
              <w:t>2.数量要求：网络安全监测报告12套（含11套市级公路管理网络安全监测报告）；运维月报12份；运维工作年度总结报告1份；网络安全管理白皮书1份；</w:t>
            </w:r>
          </w:p>
          <w:p>
            <w:pPr>
              <w:pStyle w:val="null3"/>
              <w:jc w:val="left"/>
            </w:pPr>
            <w:r>
              <w:rPr>
                <w:rFonts w:ascii="仿宋_GB2312" w:hAnsi="仿宋_GB2312" w:cs="仿宋_GB2312" w:eastAsia="仿宋_GB2312"/>
              </w:rPr>
              <w:t>3.其它要求：所有交付的资料提交纸质版的同时提交电子版。</w:t>
            </w:r>
          </w:p>
          <w:p>
            <w:pPr>
              <w:pStyle w:val="null3"/>
              <w:jc w:val="left"/>
            </w:pPr>
            <w:r>
              <w:rPr>
                <w:rFonts w:ascii="仿宋_GB2312" w:hAnsi="仿宋_GB2312" w:cs="仿宋_GB2312" w:eastAsia="仿宋_GB2312"/>
              </w:rPr>
              <w:t>（四）保密要求</w:t>
            </w:r>
          </w:p>
          <w:p>
            <w:pPr>
              <w:pStyle w:val="null3"/>
              <w:jc w:val="left"/>
            </w:pPr>
            <w:r>
              <w:rPr>
                <w:rFonts w:ascii="仿宋_GB2312" w:hAnsi="仿宋_GB2312" w:cs="仿宋_GB2312" w:eastAsia="仿宋_GB2312"/>
              </w:rPr>
              <w:t>供应商对工作中了解到的陕西省公路局的技术、数据、机密等进行严格保密，不得向他人泄漏。服务期结束之日起</w:t>
            </w:r>
            <w:r>
              <w:rPr>
                <w:rFonts w:ascii="仿宋_GB2312" w:hAnsi="仿宋_GB2312" w:cs="仿宋_GB2312" w:eastAsia="仿宋_GB2312"/>
              </w:rPr>
              <w:t>30个工作日内，供应商应删除本项目服务过程中产生的全部信息和数据。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三、服务频次</w:t>
            </w:r>
          </w:p>
          <w:p>
            <w:pPr>
              <w:pStyle w:val="null3"/>
              <w:jc w:val="left"/>
            </w:pPr>
            <w:r>
              <w:rPr>
                <w:rFonts w:ascii="仿宋_GB2312" w:hAnsi="仿宋_GB2312" w:cs="仿宋_GB2312" w:eastAsia="仿宋_GB2312"/>
              </w:rPr>
              <w:t>为及时发现、排除设备故障等网络安全隐患，供应商应实时进行网络安全预警监测，并每周对运维服务对象进行巡检，巡检过程中发现的安全隐患或用户通知的故障问题应立即响应并在规定时间内解决。</w:t>
            </w:r>
          </w:p>
          <w:p>
            <w:pPr>
              <w:pStyle w:val="null3"/>
              <w:jc w:val="left"/>
            </w:pPr>
            <w:r>
              <w:rPr>
                <w:rFonts w:ascii="仿宋_GB2312" w:hAnsi="仿宋_GB2312" w:cs="仿宋_GB2312" w:eastAsia="仿宋_GB2312"/>
              </w:rPr>
              <w:t>附件：陕西省公路局网络与安全维护服务硬件设备清单</w:t>
            </w:r>
          </w:p>
          <w:tbl>
            <w:tblPr>
              <w:tblBorders>
                <w:top w:val="none" w:color="000000" w:sz="4"/>
                <w:left w:val="none" w:color="000000" w:sz="4"/>
                <w:bottom w:val="none" w:color="000000" w:sz="4"/>
                <w:right w:val="none" w:color="000000" w:sz="4"/>
                <w:insideH w:val="none"/>
                <w:insideV w:val="none"/>
              </w:tblBorders>
            </w:tblPr>
            <w:tblGrid>
              <w:gridCol w:w="343"/>
              <w:gridCol w:w="967"/>
              <w:gridCol w:w="669"/>
              <w:gridCol w:w="289"/>
              <w:gridCol w:w="285"/>
            </w:tblGrid>
            <w:tr>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设备类型</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防火墙</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安全网关</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安全态势感知平台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潜伏威胁探针</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基线核查</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数据库审计</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VPN</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EDR</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堡垒机</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日志审计系统</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流量镜像设备</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上网行为管理</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云安全服务平台</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路由器</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交换机</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光交换机</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光电转换</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主机设备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存储</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主机设备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动环主机</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主机设备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监控主机</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主机设备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计算机终端</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主机设备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MCU</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视频会议设备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KVM</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辅助设备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精密空调</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机房温湿度监测设备</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新风系统</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机房专用灭火装置</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瓶</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机房烟感感应设备</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UPS电池</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r>
            <w:tr>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UPS机头</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供电设备</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人员配备应齐全、合理，满足项目服务要求。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自2026年12月14日至2027年12月13日止。（具体以合同约定时间为准）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陕西省公路局指定地点。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2.甲方收到乙方的验收申请后，组织乙方（必要时请有关专家）进行项目验收。乙方提交合同履约情况总结报告，并经甲方确认。验收合格后，填写项目验收单作为对项目的最终认可。3.验收依据：①本合同及附件文本；②竞争性磋商文件、磋商响应文件、澄清表（函）；③国家相应的标准、规范。4.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付款条件说明，合同签订后，甲方收到乙方缴纳的履约保证金及开具的等额增值税普通发票之日起，达到付款条件起20个工作日内，支付合同总金额的60.0%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付款条件说明，乙方应于2026年12月20日前向甲方提供等额增值税普通发票，经甲方审核通过后，达到付款条件起20个工作日内，支付合同总金额的40.0%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4.乙方逾期完成服务的，每逾期一日，向甲方承担合同总金额1%的违约金，逾期 10 日的，甲方有权单方解除本合同且保留追究乙方违约责任的权利，给甲方造成损失的，乙方还应予以赔偿。5.乙方应保证其提交的服务成果不存在侵犯他人权益的情形，否则，因此引发的责任及纠纷由乙方承担，对甲方造成损失的，乙方应予以赔偿，此外，乙方还应向甲方承担合同总金额10%的违约金。6.乙方应对其服务及服务成果的合法性、科学性、有效性、客观性、真实性负责，否则，相关责任及纠纷由乙方承担，对甲方造成损失的，乙方应予赔偿，此外，乙方还应向甲方承担合同总金额10%的违约金。7.乙方在为甲方提供服务过程中所产生的所有成果，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8.乙方未按合同约定或甲方要求提供服务的，每出现一次应承担合同总价款【1】%的违约金，出现【3】次的，甲方有权单方解除本合同，给甲方造成损失的，乙方还应予以赔偿。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（二）合同争议的解决 在执行本合同中发生的或与本合同有关的争端，双方应通过友好协商解决，经协商无法解决的，应向甲方所在地有管辖权的人民法院提请诉讼。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1.各供应商应根据“陕西省财政厅陕财办采函[2023]14号文”陕西省财政厅关于省级预算单位全面推行 政府采购项目电子化交易的通知”、《政府采购项目电子化交易规则》等文件的要求，做好人员配备、设施设备、系统操作的相应准备，熟悉并正确实施相关操作流程，承担由于操作或其他因素造成的不利后果；2.中标供应商在领取中标通知书后3个工作日内向采购代理机构提供纸质版投标（或响应）文件正本1份、副本1份。纸质投标文件建议A4纸双面打印，装订成册并编制目录和页码，并加盖公章。 2.磋商保证金缴纳凭证上建议写明项目编号、项目名称（简称也可）和磋商保证金字样，便于西北（陕西）国际招标有限公司财务部查询登记。 3.支付方式与支付约定以合同签订为准。 4.磋商保证金相关事宜：未成交人的磋商保证金，在成交通知书发出后五个工作日内退还；成交人的磋商保证金，在采购合同签订后五个工作日内退还。有下列情形之一的，保证金不予退还：1）供应商在提交响应文件截止时间后撤回响应文件的；2）供应商在响应文件中提供虚假材料的；3）除因不可抗力或磋商文件认可的情形以外，成交供应商不与采购人签订合同的；4）供应商与采购人、其他供应商或者采购代理机构恶意串通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 提供注册登记凭证（营业执照、其他组织经营的合法凭证，自然人的提供身份证明文件）。2.具有良好的商业信誉和健全的财务会计制度 提供经审计的2024年或2025年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3.具有履行合同所必需的设备和专业技术能力 提供声明文件。4.具有依法缴纳税收的良好记录 提供缴费所属日期为磋商截止时间前6个月内任一月份（磋商截止时间当月不计入）的缴费凭据或税务机关出具的完税证明或（在法规范围内不需提供的应出具书面说明和证明文件）/或具有依法缴纳税收的诚信声明。以上二种形式的资料提供任何一种即可。5.具有依法缴纳社会保障资金的良好记录 提供缴费所属日期为磋商截止时间前6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6.参加政府采购活动前3年内在经营活动中没有重大违法记录的书面声明。7.法定代表人身份证明文件及法人代表授权书。</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在磋商截止时间，供应商不得存在列入失信被执行人（“中国执行信息公开网”http://zxgk.court.gov.cn/shixin/）的情形、不得存在列入信用中国（www.creditchina.gov.cn）重大税收违法失信主体和政府采购严重违法失信行为记录名单的情形，不得存在列入中国政府采购网（www.ccgp.gov.cn）政府采购严重违法失信行为记录名单的情形。</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通过符合性审查供应商的报价，有可能影响服务质量或者不能诚信履约的，将要求其在评审现场合理的时间内提供书面说明，必要时提交相关证明材料；供应商不能证明其报价合理性的，磋商小组应当将其作为无效投标处理。 1.1政府采购评审中出现下列情形之一的，磋商小组应当启动异常低价投标(响应)审查程序： 1.1.1投标(响应)报价低于全部通过符合性审查供应商投标(响应)报价平均值50%的，即 投标(响应)报价&lt;全部通过符合性审查供应商投标(响应)报价平均值×50%; 1.1.2投标(响应)报价低于通过符合性审查的次低报价供应商投标(响应)报价50%的，即 投标(响应)报价&lt;通过符合性审查的次低报价供应商投标(响应)报价×50%; 1.1.3投标(响应)报价低于采购项目最高限价45%的，即投标(响应)报价&lt;采购项目最高限价×45%; 1.1.4磋商小组基于专业判断，认为供应商报价过低，有可能影响产品质量或者不能诚信 履约的其他情形。 1.2磋商小组启动异常低价投标(响应)审查后，属于前述第1项至第4项情形的，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1.3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合格、有效，磋商报价是否未超过采购预算或最高限价，磋商报价有效期是否符合磋商文件的要求，是否完全满足磋商文件所要求的合同及商务条款。</w:t>
            </w:r>
          </w:p>
        </w:tc>
        <w:tc>
          <w:tcPr>
            <w:tcW w:type="dxa" w:w="1661"/>
          </w:tcPr>
          <w:p>
            <w:pPr>
              <w:pStyle w:val="null3"/>
            </w:pPr>
            <w:r>
              <w:rPr>
                <w:rFonts w:ascii="仿宋_GB2312" w:hAnsi="仿宋_GB2312" w:cs="仿宋_GB2312" w:eastAsia="仿宋_GB2312"/>
              </w:rPr>
              <w:t>响应文件封面 技术商务部分.docx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供应商针对本项目提供详细的服务方案，需充分结合项目实际情况，满足采购需求，方案内容完整、具体、可行、科学合理。 1.评审内容： （1）服务目标；（2）服务实施步骤计划（服务工作流程）；（3）服务管理规章制度；（4）工作重点与难点分析及对应措施。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3.赋分标准：每一项评审内容满足每一项评审标准的得1.5分，最多得4.5分。每一项内容相对每一项评审标准存在一处漏洞或缺陷扣0.3-0.5分，4.5分扣完为止。未提供相关评审内容的，该项得0分。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供应商针对本项目提供服务保障措施，内容需结合前述服务方案，并考虑结合项目实际，能够切实保证服务质量。 1.评审内容： （1）质量保障措施；（2）安全保障措施；（3）进度保障措施；（4）服务人员保障措施。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3.赋分标准：每一项评审内容满足每-项评审标准的得1分，最多得3分。每一项内容相对每一项评审标准存在一处漏洞或缺陷扣0.3-0.5分，3分扣完为止。未提供相关评审内容的，该项得0分。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服务团队组织方案</w:t>
            </w:r>
          </w:p>
        </w:tc>
        <w:tc>
          <w:tcPr>
            <w:tcW w:type="dxa" w:w="2492"/>
          </w:tcPr>
          <w:p>
            <w:pPr>
              <w:pStyle w:val="null3"/>
            </w:pPr>
            <w:r>
              <w:rPr>
                <w:rFonts w:ascii="仿宋_GB2312" w:hAnsi="仿宋_GB2312" w:cs="仿宋_GB2312" w:eastAsia="仿宋_GB2312"/>
              </w:rPr>
              <w:t>供应商针对本项目提供服务团队组织方案，贴合项目实际需求。 1.评审内容： （1）项目实施团队组织方案；（2）岗位工作职责及管理制度；（3）服务人员考核制度；（4）服务人员培训、日常教育计划。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3.赋分标准：每一项评审内容满足每-项评审标准的得1分，最多得3分。每一项内容相对每一项评审标准存在一处漏洞或缺陷扣0.3-0.5分，3分扣完为止。未提供相关评审内容的，该项得0分。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供应商针对本项目提供保密方案，内容需结合前述服务方案，并考虑结合项目实际，能够切实保证服务质量。 1.评审内容： （1）保密管理制度；（2）数据和信息安全保密措施；（3）保密承诺。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3.赋分标准：每一项评审内容满足每-项评审标准的得0.5分，最多得1.5分。每一项内容相对每一项评审标准存在一处漏洞或缺陷扣0.1-0.3分，1.5分扣完为止。未提供相关评审内容的，该项得0分。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供应商针对本项目提供应急预案，内容全面、详细、准确，并贴合项目实际需求。 1.评审内容： （1）应急预案；（2）应急人数及人员安排；（3）应急保障措施。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3.赋分标准：每一项评审内容满足每-项评审标准的得0.5分，最多得1.5分。每一项内容相对每一项评审标准存在一处漏洞或缺陷扣0.1-0.3分，1.5分扣完为止。未提供相关评审内容的，该项得0分。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服务人员履约能力</w:t>
            </w:r>
          </w:p>
        </w:tc>
        <w:tc>
          <w:tcPr>
            <w:tcW w:type="dxa" w:w="2492"/>
          </w:tcPr>
          <w:p>
            <w:pPr>
              <w:pStyle w:val="null3"/>
            </w:pPr>
            <w:r>
              <w:rPr>
                <w:rFonts w:ascii="仿宋_GB2312" w:hAnsi="仿宋_GB2312" w:cs="仿宋_GB2312" w:eastAsia="仿宋_GB2312"/>
              </w:rPr>
              <w:t>1.项目经理（维护主管）具有信息化服务项目管理能力，提供网络技术、信息安全、IT服务等信息化相关行业认证证书，每提供一个证书得2分，最高得4分； 2.驻场运维人员具有信息化服务项目服务能力，提供网络技术、信息安全、IT服务等信息化相关行业认证证书，每名驻场运维人员每提供一个证书得2分，最高得8分（每人最多得4分）； 3.供应商每增加一名具有网络技术、信息安全、IT服务等信息化相关行业认证证书（需提供以上任意一个认证证书）的应急服务人员得2分，最高得8分。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供应商需提供2023年1月1日以来独立承担过类似项目业绩，每个业绩计2分，最高计14分。 注：类似业绩以合同签订时间为准，未提供或不清晰导致无法识别的不予以认可。</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对其价格（评审价格）进行价格评审。2.满足磋商文件实质性要求且最终报价最低的供应商的价格为磋商基准价，其价格分15分。3.磋商报价得分=（磋商基准价/最终磋商报价）×15的公式计算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