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版本号：ZBZB-2026-295420260627001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户外设施设备采购项目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ZBZB-2026-2954</w:t>
      </w:r>
      <w:r>
        <w:br/>
      </w:r>
      <w:r>
        <w:br/>
      </w:r>
      <w:r>
        <w:br/>
      </w:r>
    </w:p>
    <w:p>
      <w:pPr>
        <w:pStyle w:val="null3"/>
        <w:jc w:val="center"/>
        <w:outlineLvl w:val="2"/>
      </w:pPr>
      <w:r>
        <w:rPr>
          <w:rFonts w:ascii="仿宋_GB2312" w:hAnsi="仿宋_GB2312" w:cs="仿宋_GB2312" w:eastAsia="仿宋_GB2312"/>
          <w:sz w:val="28"/>
          <w:b/>
        </w:rPr>
        <w:t>西安市雁塔区第二十八幼儿园</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西安市雁塔区第二十八幼儿园</w:t>
      </w:r>
      <w:r>
        <w:rPr>
          <w:rFonts w:ascii="仿宋_GB2312" w:hAnsi="仿宋_GB2312" w:cs="仿宋_GB2312" w:eastAsia="仿宋_GB2312"/>
        </w:rPr>
        <w:t>委托，拟对</w:t>
      </w:r>
      <w:r>
        <w:rPr>
          <w:rFonts w:ascii="仿宋_GB2312" w:hAnsi="仿宋_GB2312" w:cs="仿宋_GB2312" w:eastAsia="仿宋_GB2312"/>
        </w:rPr>
        <w:t>户外设施设备采购项目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户外设施设备采购项目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西安市雁塔区第二十八幼儿园户外设施设备采购项目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采购包1（西安市雁塔区第二十八幼儿园户外设施设备采购项目）：属于专门面向小微企业采购。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2、授权书：法定代表人授权书（附法定代表人身份证复印件）及被授权人身份证复印件（法定代表人直接参加招标只需提供法定代表人身份证复印件加盖公章）。并进行电子签章。</w:t>
      </w:r>
    </w:p>
    <w:p>
      <w:pPr>
        <w:pStyle w:val="null3"/>
      </w:pPr>
      <w:r>
        <w:rPr>
          <w:rFonts w:ascii="仿宋_GB2312" w:hAnsi="仿宋_GB2312" w:cs="仿宋_GB2312" w:eastAsia="仿宋_GB2312"/>
        </w:rPr>
        <w:t>3、财务状况报告：提供2024年度和2025年度经审计的完整的财务审计报告(成立时间至提交投标文件截止时间不足一年的可提供成立后任意时段的资产负债表)和健全的财务制度，或开标前半年内其基本存款账户开户银行出具的资信证明。并进行电子签章。</w:t>
      </w:r>
    </w:p>
    <w:p>
      <w:pPr>
        <w:pStyle w:val="null3"/>
      </w:pPr>
      <w:r>
        <w:rPr>
          <w:rFonts w:ascii="仿宋_GB2312" w:hAnsi="仿宋_GB2312" w:cs="仿宋_GB2312" w:eastAsia="仿宋_GB2312"/>
        </w:rPr>
        <w:t>4、完税证明：提供2025年6月至今已缴纳的连续三个月的纳税证明或完税证明，依法免税的单位应提供相关证明材料。并进行电子签章。</w:t>
      </w:r>
    </w:p>
    <w:p>
      <w:pPr>
        <w:pStyle w:val="null3"/>
      </w:pPr>
      <w:r>
        <w:rPr>
          <w:rFonts w:ascii="仿宋_GB2312" w:hAnsi="仿宋_GB2312" w:cs="仿宋_GB2312" w:eastAsia="仿宋_GB2312"/>
        </w:rPr>
        <w:t>5、社保缴纳情况：提供2025年6月至今已缴存的连续三个月的社会保障资金缴存单据或社保机构开具的社会保险参保缴费情况证明，依法不需要缴纳社会保障资金的单位应提供相关证明材料。并进行电子签章。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6、所必需的设备和专业技术能力的说明及承诺书：提供具有履行本合同所必需的设备和专业技术能力的说明及承诺书。并进行电子签章。</w:t>
      </w:r>
    </w:p>
    <w:p>
      <w:pPr>
        <w:pStyle w:val="null3"/>
      </w:pPr>
      <w:r>
        <w:rPr>
          <w:rFonts w:ascii="仿宋_GB2312" w:hAnsi="仿宋_GB2312" w:cs="仿宋_GB2312" w:eastAsia="仿宋_GB2312"/>
        </w:rPr>
        <w:t>7、无重大违法记录声明：参加本次采购活动前三年内，在政府采购活动中没有重大违法记录声明。并进行电子签章。</w:t>
      </w:r>
    </w:p>
    <w:p>
      <w:pPr>
        <w:pStyle w:val="null3"/>
      </w:pPr>
      <w:r>
        <w:rPr>
          <w:rFonts w:ascii="仿宋_GB2312" w:hAnsi="仿宋_GB2312" w:cs="仿宋_GB2312" w:eastAsia="仿宋_GB2312"/>
        </w:rPr>
        <w:t>8、信用查询：供应商未被信用中国网站列入失信被执行人和重大税收违法案件名单；未被列入“中国政府采购网”政府采购严重违法失信行为记录名单。并进行电子签章。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9、控股关系：单位负责人为同一人或者存在直接控股、管理关系的不同单位，不得参加同一合同项下的政府采购活动。并进行电子签章。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10、中小企业声明函：本项⽬专⻔⾯向小微企业采购，提供小微企业声明函。并进行电子签章。</w:t>
      </w:r>
    </w:p>
    <w:p>
      <w:pPr>
        <w:pStyle w:val="null3"/>
      </w:pPr>
      <w:r>
        <w:rPr>
          <w:rFonts w:ascii="仿宋_GB2312" w:hAnsi="仿宋_GB2312" w:cs="仿宋_GB2312" w:eastAsia="仿宋_GB2312"/>
        </w:rPr>
        <w:t>11、不接受联合体投标：本项目不接受联合体投标。并进行电子签章。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西安市雁塔区第二十八幼儿园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西安市雁塔区岳旗寨安置小区东侧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13474011348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办公厅发改办价格【2003】857号文的规定，经协商由中标人按国家发展和改革委员发改价格【2011】534号文规定取费标准向采购代理机构支付招标代理服务费（包含“招标代理费、会务费（如有）”），如本项目各包服务费不足伍仟元则供应商按伍仟元支付服务费。 缴费渠道 名称：陕西正邦招标有限责任公司 开户行：平安银行股西安分行营业部/平安银行西安分行 账 号：30205380002116 备注：请注明费用信息“ZBZB-2026-2954服务费”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西安市雁塔区第二十八幼儿园</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西安市雁塔区第二十八幼儿园</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西安市雁塔区第二十八幼儿园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陕西正邦招标有限责任公司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联系电话：029-85578186-831</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西安市雁塔区第二十八幼儿园户外设施设备采购项目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幼儿园户外设施设备采购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标的名称：幼儿园户外设施设备采购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 25 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进度款，自合同签订后供货完成验收合格，达到付款条件起30个工作日内，支付合同总金额的100.0%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达到竞争性谈判文件及国家规定的“合格”标准。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完成安装及验收合格后3年，若该质量保证期小于国家标准，则以国家标准为准。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依照《中华人民共和国民法典》、《中华人民共和国政府采购法》及其他有关法律、行政法规，遵循平等、自愿、公平和诚实信用的原则。</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温馨提示：因项目存档使用，参与投标的供应商须在开标后2个工作日之内递交纸质版响应文件（一正两副），（联系人：王工；联系电话：029-85578186-831；地址：西安市雁塔区朱雀大街南段69号长丰园三区5号楼9层 。） 2、样品要求： （1）100*100mm成品立柱带底座长度大于等于4米一根。 （2）一根直径16mm6股钢丝绳长度50cm。 （3）户外课堂框架板内由80*80mm镀锌管外包镀锌板制作而成规格：30*20cm一块。 参与投标的供应商须在开标前（60分钟）递交要求样品。（递交地址：西安市雁塔区朱雀大街南段69号长丰园三区5号楼9层），若未按照要求提供样品，则投标无效。 注：提供的样品须和产品参数保持一致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投标响应.docx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投标响应.docx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法定代表人授权书（附法定代表人身份证复印件）及被授权人身份证复印件（法定代表人直接参加招标只需提供法定代表人身份证复印件加盖公章）。并进行电子签章。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和2025年度经审计的完整的财务审计报告(成立时间至提交投标文件截止时间不足一年的可提供成立后任意时段的资产负债表)和健全的财务制度，或开标前半年内其基本存款账户开户银行出具的资信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提供2025年6月至今已缴纳的连续三个月的纳税证明或完税证明，依法免税的单位应提供相关证明材料。并进行电子签章。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提供2025年6月至今已缴存的连续三个月的社会保障资金缴存单据或社保机构开具的社会保险参保缴费情况证明，依法不需要缴纳社会保障资金的单位应提供相关证明材料。并进行电子签章。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参加本次采购活动前三年内，在政府采购活动中没有重大违法记录声明。并进行电子签章。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本项⽬专⻔⾯向小微企业采购，提供小微企业声明函。并进行电子签章。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货物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rFonts w:ascii="仿宋_GB2312" w:hAnsi="仿宋_GB2312" w:cs="仿宋_GB2312" w:eastAsia="仿宋_GB2312"/>
              </w:rPr>
              <w:t>产品技术参数表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响应文件未按照谈判文件规定要求签署、盖章的；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实质性条款要求</w:t>
            </w:r>
          </w:p>
        </w:tc>
        <w:tc>
          <w:tcPr>
            <w:tcW w:type="dxa" w:w="3322"/>
          </w:tcPr>
          <w:p>
            <w:pPr>
              <w:pStyle w:val="null3"/>
            </w:pPr>
            <w:r>
              <w:rPr>
                <w:rFonts w:ascii="仿宋_GB2312" w:hAnsi="仿宋_GB2312" w:cs="仿宋_GB2312" w:eastAsia="仿宋_GB2312"/>
              </w:rPr>
              <w:t>不满足本谈判文件中“交货时间、交货地点、采购资金的支付方式及约定、质量保修范围和保修期”的实质性条款要求的；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响应有效期不足的或无有效期的；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报价超过谈判文件中规定的采购预算或最高限价的；</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法律、法规和谈判文件规定的其他无效情形。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