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版本号：SCZA2026-CS-1383-00120260522001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安装变压器及建设充电站项目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SCZA2026-CS-1383-001</w:t>
      </w:r>
      <w:r>
        <w:br/>
      </w:r>
      <w:r>
        <w:br/>
      </w:r>
      <w:r>
        <w:br/>
      </w:r>
    </w:p>
    <w:p>
      <w:pPr>
        <w:pStyle w:val="null3"/>
        <w:jc w:val="center"/>
        <w:outlineLvl w:val="2"/>
      </w:pPr>
      <w:r>
        <w:rPr>
          <w:rFonts w:ascii="仿宋_GB2312" w:hAnsi="仿宋_GB2312" w:cs="仿宋_GB2312" w:eastAsia="仿宋_GB2312"/>
          <w:sz w:val="28"/>
          <w:b/>
        </w:rPr>
        <w:t>西安市长安区秦岭生态环境保护和综合执法局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西安市长安区秦岭生态环境保护和综合执法局</w:t>
      </w:r>
      <w:r>
        <w:rPr>
          <w:rFonts w:ascii="仿宋_GB2312" w:hAnsi="仿宋_GB2312" w:cs="仿宋_GB2312" w:eastAsia="仿宋_GB2312"/>
        </w:rPr>
        <w:t>委托，拟对</w:t>
      </w:r>
      <w:r>
        <w:rPr>
          <w:rFonts w:ascii="仿宋_GB2312" w:hAnsi="仿宋_GB2312" w:cs="仿宋_GB2312" w:eastAsia="仿宋_GB2312"/>
        </w:rPr>
        <w:t>安装变压器及建设充电站项目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SCZA2026-CS-1383-001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安装变压器及建设充电站项目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项目主要对变压器升级改造工程，涵盖设备采购、基础施工、线路铺设及系统调试等，具体详见磋商文件。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采购包1（安装变压器及建设充电站项目）：属于专门面向中小企业采购。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应具备电力工程施工总承包三级（含三级）以上资质，且具有新证承装(修、试)电力设施许可证三级及以上资质或有效的旧证承装(修、试)电力设施许可证五级及以上资质，并具备有效的安全生产许可证；</w:t>
      </w:r>
    </w:p>
    <w:p>
      <w:pPr>
        <w:pStyle w:val="null3"/>
      </w:pPr>
      <w:r>
        <w:rPr>
          <w:rFonts w:ascii="仿宋_GB2312" w:hAnsi="仿宋_GB2312" w:cs="仿宋_GB2312" w:eastAsia="仿宋_GB2312"/>
        </w:rPr>
        <w:t>2、拟派项目负责人要求：拟派项目负责人具备注册建造师二级及以上(机电工程专业)执业资格，在本单位注册，并具有合格有效的安全生产考核合格证B证(建安B证)，未担任其它在建工程的项目负责人；</w:t>
      </w:r>
    </w:p>
    <w:p>
      <w:pPr>
        <w:pStyle w:val="null3"/>
      </w:pPr>
      <w:r>
        <w:rPr>
          <w:rFonts w:ascii="仿宋_GB2312" w:hAnsi="仿宋_GB2312" w:cs="仿宋_GB2312" w:eastAsia="仿宋_GB2312"/>
        </w:rPr>
        <w:t>3、信用记录：供应商未被“信用中国”网站（www.creditchina.gov.cn）列入失信被执行人和重大税收违法失信主体，未被中国政府采购网（www.ccgp.gov.cn）列入政府采购严重违法失信行为记录名单；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西安市长安区秦岭生态环境保护和综合执法局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陕西省西安市长安区西沣路东侧滦镇东街口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西安市长安区秦岭生态环境保护和综合执法局经办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029-85919878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采购包1：629,786.79元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改委关于降低部分建设项目收费标准规范收费行为等有关问题的通知》（发改价格【2011】534号）和国家计委关于《招标代理服务收费管理暂行办法》（计价格[2002]1980号）的有关规定，以项目实际中标金额为基数计算招标代理服务费，不足5000元按5000元收取。 中标单位的招标代理服务费交纳信息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西安市长安区秦岭生态环境保护和综合执法局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西安市长安区秦岭生态环境保护和综合执法局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西安市长安区秦岭生态环境保护和综合执法局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629,786.79</w:t>
      </w:r>
    </w:p>
    <w:p>
      <w:pPr>
        <w:pStyle w:val="null3"/>
      </w:pPr>
      <w:r>
        <w:rPr>
          <w:rFonts w:ascii="仿宋_GB2312" w:hAnsi="仿宋_GB2312" w:cs="仿宋_GB2312" w:eastAsia="仿宋_GB2312"/>
        </w:rPr>
        <w:t>采购包最高限价（元）: 629,786.79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安装变压器及建设充电站资金</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629,786.79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标的名称：安装变压器及建设充电站资金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pPr>
            <w:r>
              <w:rPr>
                <w:rFonts w:ascii="仿宋_GB2312" w:hAnsi="仿宋_GB2312" w:cs="仿宋_GB2312" w:eastAsia="仿宋_GB2312"/>
                <w:sz w:val="24"/>
                <w:color w:val="000000"/>
              </w:rPr>
              <w:t>1.工程范围</w:t>
            </w:r>
          </w:p>
          <w:p>
            <w:pPr>
              <w:pStyle w:val="null3"/>
              <w:ind w:firstLine="480"/>
            </w:pPr>
            <w:r>
              <w:rPr>
                <w:rFonts w:ascii="仿宋_GB2312" w:hAnsi="仿宋_GB2312" w:cs="仿宋_GB2312" w:eastAsia="仿宋_GB2312"/>
                <w:sz w:val="24"/>
                <w:color w:val="000000"/>
              </w:rPr>
              <w:t>因区秦岭保护局办公区用电设备激增，现有供电系统长期超负荷运行，已无法满足监控设备</w:t>
            </w:r>
            <w:r>
              <w:rPr>
                <w:rFonts w:ascii="仿宋_GB2312" w:hAnsi="仿宋_GB2312" w:cs="仿宋_GB2312" w:eastAsia="仿宋_GB2312"/>
                <w:sz w:val="24"/>
                <w:color w:val="000000"/>
              </w:rPr>
              <w:t>24小时运转、办公设备高效运行等用电需求，电力故障频发直接影响生态监测数据采集及日常办公秩序。</w:t>
            </w:r>
          </w:p>
          <w:p>
            <w:pPr>
              <w:pStyle w:val="null3"/>
              <w:ind w:firstLine="480"/>
            </w:pPr>
            <w:r>
              <w:rPr>
                <w:rFonts w:ascii="仿宋_GB2312" w:hAnsi="仿宋_GB2312" w:cs="仿宋_GB2312" w:eastAsia="仿宋_GB2312"/>
                <w:sz w:val="24"/>
                <w:color w:val="000000"/>
              </w:rPr>
              <w:t>秦岭保护局申请新架配电变压器该项目主要包括:变压器升级改造工程，涵盖设备采购、基础施工、线路铺设及系统调试。经区秦岭保护局测算，安装630千伏安变压器及线路铺设等。</w:t>
            </w:r>
          </w:p>
          <w:p>
            <w:pPr>
              <w:pStyle w:val="null3"/>
              <w:numPr>
                <w:ilvl w:val="0"/>
                <w:numId w:val="1"/>
              </w:numPr>
            </w:pPr>
            <w:r>
              <w:rPr>
                <w:rFonts w:ascii="仿宋_GB2312" w:hAnsi="仿宋_GB2312" w:cs="仿宋_GB2312" w:eastAsia="仿宋_GB2312"/>
                <w:sz w:val="24"/>
                <w:color w:val="000000"/>
              </w:rPr>
              <w:t>2.质量保修期：二年</w:t>
            </w:r>
          </w:p>
          <w:p>
            <w:pPr>
              <w:pStyle w:val="null3"/>
              <w:numPr>
                <w:ilvl w:val="0"/>
                <w:numId w:val="1"/>
              </w:numPr>
            </w:pPr>
            <w:r>
              <w:rPr>
                <w:rFonts w:ascii="仿宋_GB2312" w:hAnsi="仿宋_GB2312" w:cs="仿宋_GB2312" w:eastAsia="仿宋_GB2312"/>
                <w:sz w:val="24"/>
                <w:color w:val="000000"/>
              </w:rPr>
              <w:t>3.质量要求：</w:t>
            </w:r>
            <w:r>
              <w:rPr>
                <w:rFonts w:ascii="仿宋_GB2312" w:hAnsi="仿宋_GB2312" w:cs="仿宋_GB2312" w:eastAsia="仿宋_GB2312"/>
                <w:sz w:val="24"/>
                <w:color w:val="181818"/>
              </w:rPr>
              <w:t>达到国家合格标准</w:t>
            </w:r>
          </w:p>
          <w:p>
            <w:pPr>
              <w:pStyle w:val="null3"/>
              <w:numPr>
                <w:ilvl w:val="0"/>
                <w:numId w:val="1"/>
              </w:numPr>
            </w:pPr>
            <w:r>
              <w:rPr>
                <w:rFonts w:ascii="仿宋_GB2312" w:hAnsi="仿宋_GB2312" w:cs="仿宋_GB2312" w:eastAsia="仿宋_GB2312"/>
                <w:sz w:val="24"/>
                <w:color w:val="181818"/>
              </w:rPr>
              <w:t>4.支付形式：工程全部完工，经供电部门进行供电验收合格且投运后，办理正式供电手续完成供电并移交使用单位，同时完成所有工程资料的移交后，支付至签约合同价的</w:t>
            </w:r>
            <w:r>
              <w:rPr>
                <w:rFonts w:ascii="仿宋_GB2312" w:hAnsi="仿宋_GB2312" w:cs="仿宋_GB2312" w:eastAsia="仿宋_GB2312"/>
                <w:sz w:val="24"/>
                <w:color w:val="181818"/>
              </w:rPr>
              <w:t>97%，留 3%的质量保证金，待缺陷责任期满后，且承包方完全履行缺陷责任期内的全部保修维护工作后，发包人无息支付承包方剩余3%。</w:t>
            </w:r>
          </w:p>
          <w:p>
            <w:pPr>
              <w:pStyle w:val="null3"/>
            </w:pPr>
            <w:r>
              <w:rPr>
                <w:rFonts w:ascii="仿宋_GB2312" w:hAnsi="仿宋_GB2312" w:cs="仿宋_GB2312" w:eastAsia="仿宋_GB2312"/>
                <w:sz w:val="24"/>
                <w:color w:val="181818"/>
              </w:rPr>
              <w:t>5.工期：</w:t>
            </w:r>
            <w:r>
              <w:rPr>
                <w:rFonts w:ascii="仿宋_GB2312" w:hAnsi="仿宋_GB2312" w:cs="仿宋_GB2312" w:eastAsia="仿宋_GB2312"/>
                <w:sz w:val="24"/>
                <w:color w:val="181818"/>
              </w:rPr>
              <w:t>45日历天</w:t>
            </w:r>
          </w:p>
          <w:p>
            <w:pPr>
              <w:pStyle w:val="null3"/>
            </w:pPr>
            <w:r>
              <w:rPr>
                <w:rFonts w:ascii="仿宋_GB2312" w:hAnsi="仿宋_GB2312" w:cs="仿宋_GB2312" w:eastAsia="仿宋_GB2312"/>
                <w:sz w:val="24"/>
                <w:color w:val="181818"/>
              </w:rPr>
              <w:t>6.</w:t>
            </w:r>
            <w:r>
              <w:rPr>
                <w:rFonts w:ascii="仿宋_GB2312" w:hAnsi="仿宋_GB2312" w:cs="仿宋_GB2312" w:eastAsia="仿宋_GB2312"/>
                <w:sz w:val="24"/>
                <w:color w:val="181818"/>
              </w:rPr>
              <w:t>工程量清单、图纸详见附件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 xml:space="preserve"> 1.供应商应按照合同要求进行施工，确保工程按合同规定的时间如期完工和交付;并接受采购人的检查、检验，对不合格的部分按采购人的要求返工修改，承担由自身原因导致的返工修改费用，工期不予顺延。 2.未按合同要求提供服务或服务不能满足合同要求，采购人有权依据《民法典》有关条款及合同约定终止合同，并要求供应商承担违约责任。同时，政府采购监管部门有权依据《政府采购法》及相关法律法规对供应商的违法行为进行相应的处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3、提供响应文件递交截止时间前近六个月中至少一个月的纳税证明或完税证明，依法免税的单位应提供相关证明材料；时间以税款所属时期为准 4、提供响应文件递交截止时间前近六个月中至少一个月的社会保障资金缴存单据或社保机构开具的社会保险参保缴费情况证明，依法不需要缴纳社会保障资金的单位应提供相关证明材料。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供应商应具备电力工程施工总承包三级（含三级）以上资质，且具有新证承装(修、试)电力设施许可证三级及以上资质或有效的旧证承装(修、试)电力设施许可证五级及以上资质，并具备有效的安全生产许可证；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拟派项目负责人具备注册建造师二级及以上(机电工程专业)执业资格，在本单位注册，并具有合格有效的安全生产考核合格证B证(建安B证)，未担任其它在建工程的项目负责人；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符合“响应文件格式”和磋商文件要求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技术服务合同条款及其他商务要求应答表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技术服务合同条款及其他商务要求应答表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根据本项目情况，符合项目实际情况，合理性和可行性强，得5分; 内容详尽基本全面，得4分;基本符合项目实际情况，基本合理可行的，得3分; 措施内容不全面且实施有难度的，得2分; 具有措施内容可实施性不强，得1分;未提供不得分。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根据本项目情况，符合项目实际情况，合理性和可行性强，得5分; 内容详尽基本全面，得4分;基本符合项目实际情况，基本合理可行的，得3分; 措施内容不全面且实施有难度的，得2分; 具有措施内容可实施性不强，得1分;未提供不得分。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根据本项目情况，符合项目实际情况，合理性和可行性强，得6分，合理性和可行性较强，得5分; 内容详尽基本全面，得4分;基本符合项目实际情况，基本合理可行的，得3分; 措施内容不全面且实施有难度的，得2分; 具有措施内容可实施性不强，得1分;未提供不得分。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根据本项目情况，符合项目实际情况，合理性和可行性强，得5分; 内容详尽基本全面，得4分;基本符合项目实际情况，基本合理可行的，得3分; 措施内容不全面且实施有难度的，得2分; 具有措施内容可实施性不强，得1分;未提供不得分。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根据本项目情况，符合项目实际情况，合理性和可行性强，得7分，合理性和可行性较强，得6分; 合理性和可行性一般，得5分;内容详尽基本全面，得4分;基本符合项目实际情况，基本合理可行的，得3分; 措施内容不全面且实施有难度的，得2分; 具有措施内容可实施性不强，得1分;未提供不得分。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根据本项目情况，符合项目实际情况，合理性和可行性强，得5分; 内容详尽基本全面，得4分;基本符合项目实际情况，基本合理可行的，得3分; 措施内容不全面且实施有难度的，得2分; 具有措施内容可实施性不强，得1分;未提供不得分。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网络图或进度表内容详尽、安排合理且实施性强计5分； 安排合理且实施性较强计4分； 安排基本合理实施性缺乏计3分； 实施性不强计2分； 不具有实施性计1分。未提供网络图或进度表不得分。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 具有一定针对性计4分；实施性欠妥计3分；实施性不强计2分；不具有实施性计1分。未提供安排计划不计分。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有一定的针对性，能够满足项目需求，得4分；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根据本项目情况，符合项目实际情况，合理性和可行性强，得5分; 内容详尽基本全面，得4分;基本符合项目实际情况，基本合理可行的，得3分; 措施内容不全面且实施有难度的，得2分; 具有措施内容可实施性不强，得1分;未提供不得分。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应用的技术、产品、工艺、材料等先进科学、可行性高计5分； 可行性较高计4分；可行性缺乏计3分； 材料等科学性描述脱离实际计2分； 其他情形计1分。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根据本项目情况，符合项目实际情况，合理性和可行性强，得5分; 内容详尽基本全面，得4分;基本符合项目实际情况，基本合理可行的，得3分; 措施内容不全面且实施有难度的，得2分; 具有措施内容可实施性不强，得1分;未提供不得分。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项目负责人要求</w:t>
            </w:r>
          </w:p>
        </w:tc>
        <w:tc>
          <w:tcPr>
            <w:tcW w:type="dxa" w:w="2492"/>
          </w:tcPr>
          <w:p>
            <w:pPr>
              <w:pStyle w:val="null3"/>
            </w:pPr>
            <w:r>
              <w:rPr>
                <w:rFonts w:ascii="仿宋_GB2312" w:hAnsi="仿宋_GB2312" w:cs="仿宋_GB2312" w:eastAsia="仿宋_GB2312"/>
              </w:rPr>
              <w:t>拟派项目负责人学历（1分） 具有本科及以上学历得1分，其他情况不得分。 评审时以供应商提供的拟派项目负责人的最高学历证书复印件或扫描件并加盖供应商公章为准。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提供供应商2023年4月1日至今承担的类似项目业绩（合同）（以合同签订日期为准），每提供1个得1分，最高得6分。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 以本次最低有效磋商报价总价为基准价，其价格分为满分。报价得分=（评审基准价／总报价）×30。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 DOCX 文档.docx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