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9CF8DEA">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240" w:lineRule="auto"/>
        <w:ind w:left="0" w:right="0" w:firstLine="0"/>
        <w:jc w:val="center"/>
        <w:rPr>
          <w:rFonts w:hint="eastAsia" w:ascii="宋体" w:hAnsi="宋体" w:eastAsia="宋体" w:cs="宋体"/>
          <w:b/>
          <w:bCs/>
          <w:i w:val="0"/>
          <w:iCs w:val="0"/>
          <w:caps w:val="0"/>
          <w:color w:val="333333"/>
          <w:spacing w:val="0"/>
          <w:sz w:val="39"/>
          <w:szCs w:val="39"/>
        </w:rPr>
      </w:pPr>
      <w:bookmarkStart w:id="0" w:name="_GoBack"/>
      <w:bookmarkEnd w:id="0"/>
      <w:r>
        <w:rPr>
          <w:rFonts w:hint="eastAsia" w:ascii="宋体" w:hAnsi="宋体" w:eastAsia="宋体" w:cs="宋体"/>
          <w:b/>
          <w:bCs/>
          <w:i w:val="0"/>
          <w:iCs w:val="0"/>
          <w:caps w:val="0"/>
          <w:color w:val="333333"/>
          <w:spacing w:val="0"/>
          <w:sz w:val="39"/>
          <w:szCs w:val="39"/>
          <w:shd w:val="clear" w:fill="FFFFFF"/>
        </w:rPr>
        <w:t>谈判项目技术、服务、商务及其他要求</w:t>
      </w:r>
    </w:p>
    <w:p w14:paraId="4AC84845">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240" w:lineRule="auto"/>
        <w:ind w:left="0" w:right="0" w:firstLine="420"/>
        <w:rPr>
          <w:rFonts w:hint="eastAsia" w:ascii="宋体" w:hAnsi="宋体" w:eastAsia="宋体" w:cs="宋体"/>
          <w:i w:val="0"/>
          <w:iCs w:val="0"/>
          <w:caps w:val="0"/>
          <w:color w:val="333333"/>
          <w:spacing w:val="0"/>
          <w:sz w:val="18"/>
          <w:szCs w:val="18"/>
        </w:rPr>
      </w:pPr>
      <w:r>
        <w:rPr>
          <w:rFonts w:hint="eastAsia" w:ascii="宋体" w:hAnsi="宋体" w:eastAsia="宋体" w:cs="宋体"/>
          <w:i w:val="0"/>
          <w:iCs w:val="0"/>
          <w:caps w:val="0"/>
          <w:color w:val="333333"/>
          <w:spacing w:val="0"/>
          <w:sz w:val="18"/>
          <w:szCs w:val="18"/>
          <w:shd w:val="clear" w:fill="FFFFFF"/>
        </w:rPr>
        <w:t>（带“★”的参数需求为实质性要求，供应商必须响应并满足的参数需求，采购人、采购代理机构应当根据项目实际需求合理设定，并明确具体要求。带“▲”号条款为允许负偏离的参数需求，若未响应或者不满足，将在综合评审中予以扣分处理。）</w:t>
      </w:r>
    </w:p>
    <w:p w14:paraId="1533F696">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240" w:lineRule="auto"/>
        <w:ind w:left="0" w:right="0" w:firstLine="0"/>
        <w:jc w:val="left"/>
        <w:rPr>
          <w:rFonts w:hint="eastAsia" w:ascii="宋体" w:hAnsi="宋体" w:eastAsia="宋体" w:cs="宋体"/>
          <w:b/>
          <w:bCs/>
          <w:i w:val="0"/>
          <w:iCs w:val="0"/>
          <w:caps w:val="0"/>
          <w:color w:val="333333"/>
          <w:spacing w:val="0"/>
          <w:sz w:val="27"/>
          <w:szCs w:val="27"/>
        </w:rPr>
      </w:pPr>
      <w:r>
        <w:rPr>
          <w:rFonts w:hint="eastAsia" w:ascii="宋体" w:hAnsi="宋体" w:eastAsia="宋体" w:cs="宋体"/>
          <w:b/>
          <w:bCs/>
          <w:i w:val="0"/>
          <w:iCs w:val="0"/>
          <w:caps w:val="0"/>
          <w:color w:val="333333"/>
          <w:spacing w:val="0"/>
          <w:sz w:val="27"/>
          <w:szCs w:val="27"/>
          <w:shd w:val="clear" w:fill="FFFFFF"/>
        </w:rPr>
        <w:t>3.1采购项目概况</w:t>
      </w:r>
    </w:p>
    <w:p w14:paraId="43B7B5B1">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auto"/>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shd w:val="clear" w:fill="FFFFFF"/>
        </w:rPr>
        <w:t>采购包含网关、交换机、机柜、网络存储服务器、监控硬盘、光模块、网络摄像机、辅材辅料及改造等网络及监控设备一批，改善教学品质与能力提升，要求所有货物（产品）质量标准符合国家、省、市（行业）强制性标准及采购人要求的合格标准、安装调试到位、验收合格达到交钥匙条件。</w:t>
      </w:r>
    </w:p>
    <w:p w14:paraId="4AA16D8F">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240" w:lineRule="auto"/>
        <w:ind w:left="0" w:right="0" w:firstLine="0"/>
        <w:jc w:val="left"/>
        <w:rPr>
          <w:rFonts w:hint="eastAsia" w:ascii="宋体" w:hAnsi="宋体" w:eastAsia="宋体" w:cs="宋体"/>
          <w:b/>
          <w:bCs/>
          <w:i w:val="0"/>
          <w:iCs w:val="0"/>
          <w:caps w:val="0"/>
          <w:color w:val="333333"/>
          <w:spacing w:val="0"/>
          <w:sz w:val="27"/>
          <w:szCs w:val="27"/>
        </w:rPr>
      </w:pPr>
      <w:r>
        <w:rPr>
          <w:rFonts w:hint="eastAsia" w:ascii="宋体" w:hAnsi="宋体" w:eastAsia="宋体" w:cs="宋体"/>
          <w:b/>
          <w:bCs/>
          <w:i w:val="0"/>
          <w:iCs w:val="0"/>
          <w:caps w:val="0"/>
          <w:color w:val="333333"/>
          <w:spacing w:val="0"/>
          <w:sz w:val="27"/>
          <w:szCs w:val="27"/>
          <w:shd w:val="clear" w:fill="FFFFFF"/>
        </w:rPr>
        <w:t>3.2采购内容</w:t>
      </w:r>
    </w:p>
    <w:p w14:paraId="2DD73287">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auto"/>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shd w:val="clear" w:fill="FFFFFF"/>
        </w:rPr>
        <w:t>采购包1：</w:t>
      </w:r>
    </w:p>
    <w:p w14:paraId="1FDD0877">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auto"/>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shd w:val="clear" w:fill="FFFFFF"/>
        </w:rPr>
        <w:t>采购包预算金额（元）: 883,000.00</w:t>
      </w:r>
    </w:p>
    <w:p w14:paraId="1D5EFA54">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auto"/>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shd w:val="clear" w:fill="FFFFFF"/>
        </w:rPr>
        <w:t>采购包最高限价（元）: 883,000.00</w:t>
      </w:r>
    </w:p>
    <w:p w14:paraId="45A62D8B">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auto"/>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shd w:val="clear" w:fill="FFFFFF"/>
        </w:rPr>
        <w:t>供应商报价不允许超过标的金额</w:t>
      </w:r>
    </w:p>
    <w:p w14:paraId="4E7D12AD">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auto"/>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shd w:val="clear" w:fill="FFFFFF"/>
        </w:rPr>
        <w:t>（招单价的）供应商报价不允许超过标的单价</w:t>
      </w:r>
    </w:p>
    <w:tbl>
      <w:tblPr>
        <w:tblStyle w:val="8"/>
        <w:tblW w:w="5053"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750"/>
        <w:gridCol w:w="878"/>
        <w:gridCol w:w="691"/>
        <w:gridCol w:w="1280"/>
        <w:gridCol w:w="764"/>
        <w:gridCol w:w="765"/>
        <w:gridCol w:w="765"/>
        <w:gridCol w:w="735"/>
        <w:gridCol w:w="809"/>
        <w:gridCol w:w="779"/>
        <w:gridCol w:w="736"/>
      </w:tblGrid>
      <w:tr w14:paraId="1F0FA946">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PrEx>
        <w:tc>
          <w:tcPr>
            <w:tcW w:w="750" w:type="dxa"/>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14:paraId="2065971B">
            <w:pPr>
              <w:keepNext w:val="0"/>
              <w:keepLines w:val="0"/>
              <w:pageBreakBefore w:val="0"/>
              <w:widowControl/>
              <w:suppressLineNumbers w:val="0"/>
              <w:kinsoku/>
              <w:wordWrap w:val="0"/>
              <w:overflowPunct/>
              <w:topLinePunct w:val="0"/>
              <w:autoSpaceDE/>
              <w:autoSpaceDN/>
              <w:bidi w:val="0"/>
              <w:adjustRightInd/>
              <w:snapToGrid/>
              <w:spacing w:before="0" w:beforeAutospacing="0" w:afterAutospacing="0" w:line="240" w:lineRule="auto"/>
              <w:ind w:left="0" w:right="0"/>
              <w:jc w:val="left"/>
              <w:rPr>
                <w:rFonts w:hint="eastAsia" w:ascii="宋体" w:hAnsi="宋体" w:eastAsia="宋体" w:cs="宋体"/>
                <w:b/>
                <w:bCs/>
                <w:kern w:val="0"/>
                <w:sz w:val="24"/>
                <w:szCs w:val="24"/>
                <w:lang w:val="en-US" w:eastAsia="zh-CN" w:bidi="ar"/>
              </w:rPr>
            </w:pPr>
            <w:r>
              <w:rPr>
                <w:rFonts w:hint="eastAsia" w:ascii="宋体" w:hAnsi="宋体" w:eastAsia="宋体" w:cs="宋体"/>
                <w:b/>
                <w:bCs/>
                <w:kern w:val="0"/>
                <w:sz w:val="24"/>
                <w:szCs w:val="24"/>
                <w:lang w:val="en-US" w:eastAsia="zh-CN" w:bidi="ar"/>
              </w:rPr>
              <w:t>序号</w:t>
            </w:r>
          </w:p>
        </w:tc>
        <w:tc>
          <w:tcPr>
            <w:tcW w:w="878" w:type="dxa"/>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14:paraId="56A0CC41">
            <w:pPr>
              <w:keepNext w:val="0"/>
              <w:keepLines w:val="0"/>
              <w:pageBreakBefore w:val="0"/>
              <w:widowControl/>
              <w:suppressLineNumbers w:val="0"/>
              <w:kinsoku/>
              <w:wordWrap w:val="0"/>
              <w:overflowPunct/>
              <w:topLinePunct w:val="0"/>
              <w:autoSpaceDE/>
              <w:autoSpaceDN/>
              <w:bidi w:val="0"/>
              <w:adjustRightInd/>
              <w:snapToGrid/>
              <w:spacing w:before="0" w:beforeAutospacing="0" w:afterAutospacing="0" w:line="240" w:lineRule="auto"/>
              <w:ind w:left="0" w:right="0"/>
              <w:jc w:val="left"/>
              <w:rPr>
                <w:rFonts w:hint="eastAsia" w:ascii="宋体" w:hAnsi="宋体" w:eastAsia="宋体" w:cs="宋体"/>
                <w:b/>
                <w:bCs/>
                <w:kern w:val="0"/>
                <w:sz w:val="24"/>
                <w:szCs w:val="24"/>
                <w:lang w:val="en-US" w:eastAsia="zh-CN" w:bidi="ar"/>
              </w:rPr>
            </w:pPr>
            <w:r>
              <w:rPr>
                <w:rFonts w:hint="eastAsia" w:ascii="宋体" w:hAnsi="宋体" w:eastAsia="宋体" w:cs="宋体"/>
                <w:b/>
                <w:bCs/>
                <w:kern w:val="0"/>
                <w:sz w:val="24"/>
                <w:szCs w:val="24"/>
                <w:lang w:val="en-US" w:eastAsia="zh-CN" w:bidi="ar"/>
              </w:rPr>
              <w:t>标的名称</w:t>
            </w:r>
          </w:p>
        </w:tc>
        <w:tc>
          <w:tcPr>
            <w:tcW w:w="691" w:type="dxa"/>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14:paraId="6D883C62">
            <w:pPr>
              <w:keepNext w:val="0"/>
              <w:keepLines w:val="0"/>
              <w:pageBreakBefore w:val="0"/>
              <w:widowControl/>
              <w:suppressLineNumbers w:val="0"/>
              <w:kinsoku/>
              <w:wordWrap w:val="0"/>
              <w:overflowPunct/>
              <w:topLinePunct w:val="0"/>
              <w:autoSpaceDE/>
              <w:autoSpaceDN/>
              <w:bidi w:val="0"/>
              <w:adjustRightInd/>
              <w:snapToGrid/>
              <w:spacing w:before="0" w:beforeAutospacing="0" w:afterAutospacing="0" w:line="240" w:lineRule="auto"/>
              <w:ind w:left="0" w:right="0"/>
              <w:jc w:val="left"/>
              <w:rPr>
                <w:rFonts w:hint="eastAsia" w:ascii="宋体" w:hAnsi="宋体" w:eastAsia="宋体" w:cs="宋体"/>
                <w:b/>
                <w:bCs/>
                <w:kern w:val="0"/>
                <w:sz w:val="24"/>
                <w:szCs w:val="24"/>
                <w:lang w:val="en-US" w:eastAsia="zh-CN" w:bidi="ar"/>
              </w:rPr>
            </w:pPr>
            <w:r>
              <w:rPr>
                <w:rFonts w:hint="eastAsia" w:ascii="宋体" w:hAnsi="宋体" w:eastAsia="宋体" w:cs="宋体"/>
                <w:b/>
                <w:bCs/>
                <w:kern w:val="0"/>
                <w:sz w:val="24"/>
                <w:szCs w:val="24"/>
                <w:lang w:val="en-US" w:eastAsia="zh-CN" w:bidi="ar"/>
              </w:rPr>
              <w:t>数量</w:t>
            </w:r>
          </w:p>
        </w:tc>
        <w:tc>
          <w:tcPr>
            <w:tcW w:w="1280" w:type="dxa"/>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14:paraId="144AC386">
            <w:pPr>
              <w:keepNext w:val="0"/>
              <w:keepLines w:val="0"/>
              <w:pageBreakBefore w:val="0"/>
              <w:widowControl/>
              <w:suppressLineNumbers w:val="0"/>
              <w:kinsoku/>
              <w:wordWrap w:val="0"/>
              <w:overflowPunct/>
              <w:topLinePunct w:val="0"/>
              <w:autoSpaceDE/>
              <w:autoSpaceDN/>
              <w:bidi w:val="0"/>
              <w:adjustRightInd/>
              <w:snapToGrid/>
              <w:spacing w:before="0" w:beforeAutospacing="0" w:afterAutospacing="0" w:line="240" w:lineRule="auto"/>
              <w:ind w:left="0" w:right="0"/>
              <w:jc w:val="left"/>
              <w:rPr>
                <w:rFonts w:hint="eastAsia" w:ascii="宋体" w:hAnsi="宋体" w:eastAsia="宋体" w:cs="宋体"/>
                <w:b/>
                <w:bCs/>
                <w:kern w:val="0"/>
                <w:sz w:val="24"/>
                <w:szCs w:val="24"/>
                <w:lang w:val="en-US" w:eastAsia="zh-CN" w:bidi="ar"/>
              </w:rPr>
            </w:pPr>
            <w:r>
              <w:rPr>
                <w:rFonts w:hint="eastAsia" w:ascii="宋体" w:hAnsi="宋体" w:eastAsia="宋体" w:cs="宋体"/>
                <w:b/>
                <w:bCs/>
                <w:kern w:val="0"/>
                <w:sz w:val="24"/>
                <w:szCs w:val="24"/>
                <w:lang w:val="en-US" w:eastAsia="zh-CN" w:bidi="ar"/>
              </w:rPr>
              <w:t>标的金额 （元）</w:t>
            </w:r>
          </w:p>
        </w:tc>
        <w:tc>
          <w:tcPr>
            <w:tcW w:w="764" w:type="dxa"/>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14:paraId="219687A1">
            <w:pPr>
              <w:keepNext w:val="0"/>
              <w:keepLines w:val="0"/>
              <w:pageBreakBefore w:val="0"/>
              <w:widowControl/>
              <w:suppressLineNumbers w:val="0"/>
              <w:kinsoku/>
              <w:wordWrap w:val="0"/>
              <w:overflowPunct/>
              <w:topLinePunct w:val="0"/>
              <w:autoSpaceDE/>
              <w:autoSpaceDN/>
              <w:bidi w:val="0"/>
              <w:adjustRightInd/>
              <w:snapToGrid/>
              <w:spacing w:before="0" w:beforeAutospacing="0" w:afterAutospacing="0" w:line="240" w:lineRule="auto"/>
              <w:ind w:left="0" w:right="0"/>
              <w:jc w:val="left"/>
              <w:rPr>
                <w:rFonts w:hint="eastAsia" w:ascii="宋体" w:hAnsi="宋体" w:eastAsia="宋体" w:cs="宋体"/>
                <w:b/>
                <w:bCs/>
                <w:kern w:val="0"/>
                <w:sz w:val="24"/>
                <w:szCs w:val="24"/>
                <w:lang w:val="en-US" w:eastAsia="zh-CN" w:bidi="ar"/>
              </w:rPr>
            </w:pPr>
            <w:r>
              <w:rPr>
                <w:rFonts w:hint="eastAsia" w:ascii="宋体" w:hAnsi="宋体" w:eastAsia="宋体" w:cs="宋体"/>
                <w:b/>
                <w:bCs/>
                <w:kern w:val="0"/>
                <w:sz w:val="24"/>
                <w:szCs w:val="24"/>
                <w:lang w:val="en-US" w:eastAsia="zh-CN" w:bidi="ar"/>
              </w:rPr>
              <w:t>计量单位</w:t>
            </w:r>
          </w:p>
        </w:tc>
        <w:tc>
          <w:tcPr>
            <w:tcW w:w="765" w:type="dxa"/>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14:paraId="28B73294">
            <w:pPr>
              <w:keepNext w:val="0"/>
              <w:keepLines w:val="0"/>
              <w:pageBreakBefore w:val="0"/>
              <w:widowControl/>
              <w:suppressLineNumbers w:val="0"/>
              <w:kinsoku/>
              <w:wordWrap w:val="0"/>
              <w:overflowPunct/>
              <w:topLinePunct w:val="0"/>
              <w:autoSpaceDE/>
              <w:autoSpaceDN/>
              <w:bidi w:val="0"/>
              <w:adjustRightInd/>
              <w:snapToGrid/>
              <w:spacing w:before="0" w:beforeAutospacing="0" w:afterAutospacing="0" w:line="240" w:lineRule="auto"/>
              <w:ind w:left="0" w:right="0"/>
              <w:jc w:val="left"/>
              <w:rPr>
                <w:rFonts w:hint="eastAsia" w:ascii="宋体" w:hAnsi="宋体" w:eastAsia="宋体" w:cs="宋体"/>
                <w:b/>
                <w:bCs/>
                <w:kern w:val="0"/>
                <w:sz w:val="24"/>
                <w:szCs w:val="24"/>
                <w:lang w:val="en-US" w:eastAsia="zh-CN" w:bidi="ar"/>
              </w:rPr>
            </w:pPr>
            <w:r>
              <w:rPr>
                <w:rFonts w:hint="eastAsia" w:ascii="宋体" w:hAnsi="宋体" w:eastAsia="宋体" w:cs="宋体"/>
                <w:b/>
                <w:bCs/>
                <w:kern w:val="0"/>
                <w:sz w:val="24"/>
                <w:szCs w:val="24"/>
                <w:lang w:val="en-US" w:eastAsia="zh-CN" w:bidi="ar"/>
              </w:rPr>
              <w:t>所属行业</w:t>
            </w:r>
          </w:p>
        </w:tc>
        <w:tc>
          <w:tcPr>
            <w:tcW w:w="765" w:type="dxa"/>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14:paraId="3EAEA58D">
            <w:pPr>
              <w:keepNext w:val="0"/>
              <w:keepLines w:val="0"/>
              <w:pageBreakBefore w:val="0"/>
              <w:widowControl/>
              <w:suppressLineNumbers w:val="0"/>
              <w:kinsoku/>
              <w:wordWrap w:val="0"/>
              <w:overflowPunct/>
              <w:topLinePunct w:val="0"/>
              <w:autoSpaceDE/>
              <w:autoSpaceDN/>
              <w:bidi w:val="0"/>
              <w:adjustRightInd/>
              <w:snapToGrid/>
              <w:spacing w:before="0" w:beforeAutospacing="0" w:afterAutospacing="0" w:line="240" w:lineRule="auto"/>
              <w:ind w:left="0" w:right="0"/>
              <w:jc w:val="left"/>
              <w:rPr>
                <w:rFonts w:hint="eastAsia" w:ascii="宋体" w:hAnsi="宋体" w:eastAsia="宋体" w:cs="宋体"/>
                <w:b/>
                <w:bCs/>
                <w:kern w:val="0"/>
                <w:sz w:val="24"/>
                <w:szCs w:val="24"/>
                <w:lang w:val="en-US" w:eastAsia="zh-CN" w:bidi="ar"/>
              </w:rPr>
            </w:pPr>
            <w:r>
              <w:rPr>
                <w:rFonts w:hint="eastAsia" w:ascii="宋体" w:hAnsi="宋体" w:eastAsia="宋体" w:cs="宋体"/>
                <w:b/>
                <w:bCs/>
                <w:kern w:val="0"/>
                <w:sz w:val="24"/>
                <w:szCs w:val="24"/>
                <w:lang w:val="en-US" w:eastAsia="zh-CN" w:bidi="ar"/>
              </w:rPr>
              <w:t>是否核心产品</w:t>
            </w:r>
          </w:p>
        </w:tc>
        <w:tc>
          <w:tcPr>
            <w:tcW w:w="735" w:type="dxa"/>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14:paraId="5F0B805E">
            <w:pPr>
              <w:keepNext w:val="0"/>
              <w:keepLines w:val="0"/>
              <w:pageBreakBefore w:val="0"/>
              <w:widowControl/>
              <w:suppressLineNumbers w:val="0"/>
              <w:kinsoku/>
              <w:wordWrap w:val="0"/>
              <w:overflowPunct/>
              <w:topLinePunct w:val="0"/>
              <w:autoSpaceDE/>
              <w:autoSpaceDN/>
              <w:bidi w:val="0"/>
              <w:adjustRightInd/>
              <w:snapToGrid/>
              <w:spacing w:before="0" w:beforeAutospacing="0" w:afterAutospacing="0" w:line="240" w:lineRule="auto"/>
              <w:ind w:left="0" w:right="0"/>
              <w:jc w:val="left"/>
              <w:rPr>
                <w:rFonts w:hint="eastAsia" w:ascii="宋体" w:hAnsi="宋体" w:eastAsia="宋体" w:cs="宋体"/>
                <w:b/>
                <w:bCs/>
                <w:kern w:val="0"/>
                <w:sz w:val="24"/>
                <w:szCs w:val="24"/>
                <w:lang w:val="en-US" w:eastAsia="zh-CN" w:bidi="ar"/>
              </w:rPr>
            </w:pPr>
            <w:r>
              <w:rPr>
                <w:rFonts w:hint="eastAsia" w:ascii="宋体" w:hAnsi="宋体" w:eastAsia="宋体" w:cs="宋体"/>
                <w:b/>
                <w:bCs/>
                <w:kern w:val="0"/>
                <w:sz w:val="24"/>
                <w:szCs w:val="24"/>
                <w:lang w:val="en-US" w:eastAsia="zh-CN" w:bidi="ar"/>
              </w:rPr>
              <w:t>是否允许进口产品</w:t>
            </w:r>
          </w:p>
        </w:tc>
        <w:tc>
          <w:tcPr>
            <w:tcW w:w="809" w:type="dxa"/>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14:paraId="32BAAB99">
            <w:pPr>
              <w:keepNext w:val="0"/>
              <w:keepLines w:val="0"/>
              <w:pageBreakBefore w:val="0"/>
              <w:widowControl/>
              <w:suppressLineNumbers w:val="0"/>
              <w:kinsoku/>
              <w:wordWrap w:val="0"/>
              <w:overflowPunct/>
              <w:topLinePunct w:val="0"/>
              <w:autoSpaceDE/>
              <w:autoSpaceDN/>
              <w:bidi w:val="0"/>
              <w:adjustRightInd/>
              <w:snapToGrid/>
              <w:spacing w:before="0" w:beforeAutospacing="0" w:afterAutospacing="0" w:line="240" w:lineRule="auto"/>
              <w:ind w:left="0" w:right="0"/>
              <w:jc w:val="left"/>
              <w:rPr>
                <w:rFonts w:hint="eastAsia" w:ascii="宋体" w:hAnsi="宋体" w:eastAsia="宋体" w:cs="宋体"/>
                <w:b/>
                <w:bCs/>
                <w:kern w:val="0"/>
                <w:sz w:val="24"/>
                <w:szCs w:val="24"/>
                <w:lang w:val="en-US" w:eastAsia="zh-CN" w:bidi="ar"/>
              </w:rPr>
            </w:pPr>
            <w:r>
              <w:rPr>
                <w:rFonts w:hint="eastAsia" w:ascii="宋体" w:hAnsi="宋体" w:eastAsia="宋体" w:cs="宋体"/>
                <w:b/>
                <w:bCs/>
                <w:kern w:val="0"/>
                <w:sz w:val="24"/>
                <w:szCs w:val="24"/>
                <w:lang w:val="en-US" w:eastAsia="zh-CN" w:bidi="ar"/>
              </w:rPr>
              <w:t>是否属于节能产品</w:t>
            </w:r>
          </w:p>
        </w:tc>
        <w:tc>
          <w:tcPr>
            <w:tcW w:w="779" w:type="dxa"/>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14:paraId="17CC4280">
            <w:pPr>
              <w:keepNext w:val="0"/>
              <w:keepLines w:val="0"/>
              <w:pageBreakBefore w:val="0"/>
              <w:widowControl/>
              <w:suppressLineNumbers w:val="0"/>
              <w:kinsoku/>
              <w:wordWrap w:val="0"/>
              <w:overflowPunct/>
              <w:topLinePunct w:val="0"/>
              <w:autoSpaceDE/>
              <w:autoSpaceDN/>
              <w:bidi w:val="0"/>
              <w:adjustRightInd/>
              <w:snapToGrid/>
              <w:spacing w:before="0" w:beforeAutospacing="0" w:afterAutospacing="0" w:line="240" w:lineRule="auto"/>
              <w:ind w:left="0" w:right="0"/>
              <w:jc w:val="left"/>
              <w:rPr>
                <w:rFonts w:hint="eastAsia" w:ascii="宋体" w:hAnsi="宋体" w:eastAsia="宋体" w:cs="宋体"/>
                <w:b/>
                <w:bCs/>
                <w:kern w:val="0"/>
                <w:sz w:val="24"/>
                <w:szCs w:val="24"/>
                <w:lang w:val="en-US" w:eastAsia="zh-CN" w:bidi="ar"/>
              </w:rPr>
            </w:pPr>
            <w:r>
              <w:rPr>
                <w:rFonts w:hint="eastAsia" w:ascii="宋体" w:hAnsi="宋体" w:eastAsia="宋体" w:cs="宋体"/>
                <w:b/>
                <w:bCs/>
                <w:kern w:val="0"/>
                <w:sz w:val="24"/>
                <w:szCs w:val="24"/>
                <w:lang w:val="en-US" w:eastAsia="zh-CN" w:bidi="ar"/>
              </w:rPr>
              <w:t>是否属于环境标志产品</w:t>
            </w:r>
          </w:p>
        </w:tc>
        <w:tc>
          <w:tcPr>
            <w:tcW w:w="736" w:type="dxa"/>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14:paraId="64FEE5F1">
            <w:pPr>
              <w:keepNext w:val="0"/>
              <w:keepLines w:val="0"/>
              <w:pageBreakBefore w:val="0"/>
              <w:widowControl/>
              <w:suppressLineNumbers w:val="0"/>
              <w:kinsoku/>
              <w:wordWrap w:val="0"/>
              <w:overflowPunct/>
              <w:topLinePunct w:val="0"/>
              <w:autoSpaceDE/>
              <w:autoSpaceDN/>
              <w:bidi w:val="0"/>
              <w:adjustRightInd/>
              <w:snapToGrid/>
              <w:spacing w:before="0" w:beforeAutospacing="0" w:afterAutospacing="0" w:line="240" w:lineRule="auto"/>
              <w:ind w:left="0" w:right="0"/>
              <w:jc w:val="left"/>
              <w:rPr>
                <w:rFonts w:hint="eastAsia" w:ascii="宋体" w:hAnsi="宋体" w:eastAsia="宋体" w:cs="宋体"/>
                <w:b/>
                <w:bCs/>
                <w:kern w:val="0"/>
                <w:sz w:val="24"/>
                <w:szCs w:val="24"/>
                <w:lang w:val="en-US" w:eastAsia="zh-CN" w:bidi="ar"/>
              </w:rPr>
            </w:pPr>
            <w:r>
              <w:rPr>
                <w:rFonts w:hint="eastAsia" w:ascii="宋体" w:hAnsi="宋体" w:eastAsia="宋体" w:cs="宋体"/>
                <w:b/>
                <w:bCs/>
                <w:kern w:val="0"/>
                <w:sz w:val="24"/>
                <w:szCs w:val="24"/>
                <w:lang w:val="en-US" w:eastAsia="zh-CN" w:bidi="ar"/>
              </w:rPr>
              <w:t>是否实施本国产品政策</w:t>
            </w:r>
          </w:p>
        </w:tc>
      </w:tr>
      <w:tr w14:paraId="693E5870">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14:paraId="156905FD">
            <w:pPr>
              <w:keepNext w:val="0"/>
              <w:keepLines w:val="0"/>
              <w:pageBreakBefore w:val="0"/>
              <w:widowControl/>
              <w:suppressLineNumbers w:val="0"/>
              <w:kinsoku/>
              <w:wordWrap w:val="0"/>
              <w:overflowPunct/>
              <w:topLinePunct w:val="0"/>
              <w:autoSpaceDE/>
              <w:autoSpaceDN/>
              <w:bidi w:val="0"/>
              <w:adjustRightInd/>
              <w:snapToGrid/>
              <w:spacing w:before="0" w:beforeAutospacing="0" w:afterAutospacing="0" w:line="240" w:lineRule="auto"/>
              <w:ind w:left="0" w:right="0"/>
              <w:jc w:val="left"/>
              <w:rPr>
                <w:rFonts w:hint="eastAsia" w:ascii="宋体" w:hAnsi="宋体" w:eastAsia="宋体" w:cs="宋体"/>
              </w:rPr>
            </w:pPr>
            <w:r>
              <w:rPr>
                <w:rFonts w:hint="eastAsia" w:ascii="宋体" w:hAnsi="宋体" w:eastAsia="宋体" w:cs="宋体"/>
                <w:kern w:val="0"/>
                <w:sz w:val="24"/>
                <w:szCs w:val="24"/>
                <w:lang w:val="en-US" w:eastAsia="zh-CN" w:bidi="ar"/>
              </w:rPr>
              <w:t>1</w:t>
            </w:r>
          </w:p>
        </w:tc>
        <w:tc>
          <w:tcPr>
            <w:tcW w:w="878" w:type="dxa"/>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14:paraId="0E664D45">
            <w:pPr>
              <w:keepNext w:val="0"/>
              <w:keepLines w:val="0"/>
              <w:pageBreakBefore w:val="0"/>
              <w:widowControl/>
              <w:suppressLineNumbers w:val="0"/>
              <w:kinsoku/>
              <w:wordWrap w:val="0"/>
              <w:overflowPunct/>
              <w:topLinePunct w:val="0"/>
              <w:autoSpaceDE/>
              <w:autoSpaceDN/>
              <w:bidi w:val="0"/>
              <w:adjustRightInd/>
              <w:snapToGrid/>
              <w:spacing w:before="0" w:beforeAutospacing="0" w:afterAutospacing="0" w:line="240" w:lineRule="auto"/>
              <w:ind w:left="0" w:right="0"/>
              <w:jc w:val="left"/>
              <w:rPr>
                <w:rFonts w:hint="eastAsia" w:ascii="宋体" w:hAnsi="宋体" w:eastAsia="宋体" w:cs="宋体"/>
              </w:rPr>
            </w:pPr>
            <w:r>
              <w:rPr>
                <w:rFonts w:hint="eastAsia" w:ascii="宋体" w:hAnsi="宋体" w:eastAsia="宋体" w:cs="宋体"/>
                <w:kern w:val="0"/>
                <w:sz w:val="24"/>
                <w:szCs w:val="24"/>
                <w:lang w:val="en-US" w:eastAsia="zh-CN" w:bidi="ar"/>
              </w:rPr>
              <w:t>网络设备改造及监控新增</w:t>
            </w:r>
          </w:p>
        </w:tc>
        <w:tc>
          <w:tcPr>
            <w:tcW w:w="691" w:type="dxa"/>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14:paraId="001A4046">
            <w:pPr>
              <w:keepNext w:val="0"/>
              <w:keepLines w:val="0"/>
              <w:pageBreakBefore w:val="0"/>
              <w:widowControl/>
              <w:suppressLineNumbers w:val="0"/>
              <w:kinsoku/>
              <w:wordWrap w:val="0"/>
              <w:overflowPunct/>
              <w:topLinePunct w:val="0"/>
              <w:autoSpaceDE/>
              <w:autoSpaceDN/>
              <w:bidi w:val="0"/>
              <w:adjustRightInd/>
              <w:snapToGrid/>
              <w:spacing w:before="0" w:beforeAutospacing="0" w:afterAutospacing="0" w:line="240" w:lineRule="auto"/>
              <w:ind w:left="0" w:right="0"/>
              <w:jc w:val="right"/>
              <w:rPr>
                <w:rFonts w:hint="eastAsia" w:ascii="宋体" w:hAnsi="宋体" w:eastAsia="宋体" w:cs="宋体"/>
              </w:rPr>
            </w:pPr>
            <w:r>
              <w:rPr>
                <w:rFonts w:hint="eastAsia" w:ascii="宋体" w:hAnsi="宋体" w:eastAsia="宋体" w:cs="宋体"/>
                <w:kern w:val="0"/>
                <w:sz w:val="24"/>
                <w:szCs w:val="24"/>
                <w:lang w:val="en-US" w:eastAsia="zh-CN" w:bidi="ar"/>
              </w:rPr>
              <w:t>1.00</w:t>
            </w:r>
          </w:p>
        </w:tc>
        <w:tc>
          <w:tcPr>
            <w:tcW w:w="1280" w:type="dxa"/>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14:paraId="0FFEF00D">
            <w:pPr>
              <w:keepNext w:val="0"/>
              <w:keepLines w:val="0"/>
              <w:pageBreakBefore w:val="0"/>
              <w:widowControl/>
              <w:suppressLineNumbers w:val="0"/>
              <w:kinsoku/>
              <w:wordWrap w:val="0"/>
              <w:overflowPunct/>
              <w:topLinePunct w:val="0"/>
              <w:autoSpaceDE/>
              <w:autoSpaceDN/>
              <w:bidi w:val="0"/>
              <w:adjustRightInd/>
              <w:snapToGrid/>
              <w:spacing w:before="0" w:beforeAutospacing="0" w:afterAutospacing="0" w:line="240" w:lineRule="auto"/>
              <w:ind w:left="0" w:right="0"/>
              <w:jc w:val="right"/>
              <w:rPr>
                <w:rFonts w:hint="eastAsia" w:ascii="宋体" w:hAnsi="宋体" w:eastAsia="宋体" w:cs="宋体"/>
              </w:rPr>
            </w:pPr>
            <w:r>
              <w:rPr>
                <w:rFonts w:hint="eastAsia" w:ascii="宋体" w:hAnsi="宋体" w:eastAsia="宋体" w:cs="宋体"/>
                <w:kern w:val="0"/>
                <w:sz w:val="24"/>
                <w:szCs w:val="24"/>
                <w:lang w:val="en-US" w:eastAsia="zh-CN" w:bidi="ar"/>
              </w:rPr>
              <w:t>883,000.00</w:t>
            </w:r>
          </w:p>
        </w:tc>
        <w:tc>
          <w:tcPr>
            <w:tcW w:w="764" w:type="dxa"/>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14:paraId="317A8A57">
            <w:pPr>
              <w:keepNext w:val="0"/>
              <w:keepLines w:val="0"/>
              <w:pageBreakBefore w:val="0"/>
              <w:widowControl/>
              <w:suppressLineNumbers w:val="0"/>
              <w:kinsoku/>
              <w:wordWrap w:val="0"/>
              <w:overflowPunct/>
              <w:topLinePunct w:val="0"/>
              <w:autoSpaceDE/>
              <w:autoSpaceDN/>
              <w:bidi w:val="0"/>
              <w:adjustRightInd/>
              <w:snapToGrid/>
              <w:spacing w:before="0" w:beforeAutospacing="0" w:afterAutospacing="0" w:line="240" w:lineRule="auto"/>
              <w:ind w:left="0" w:right="0"/>
              <w:jc w:val="left"/>
              <w:rPr>
                <w:rFonts w:hint="eastAsia" w:ascii="宋体" w:hAnsi="宋体" w:eastAsia="宋体" w:cs="宋体"/>
              </w:rPr>
            </w:pPr>
            <w:r>
              <w:rPr>
                <w:rFonts w:hint="eastAsia" w:ascii="宋体" w:hAnsi="宋体" w:eastAsia="宋体" w:cs="宋体"/>
                <w:kern w:val="0"/>
                <w:sz w:val="24"/>
                <w:szCs w:val="24"/>
                <w:lang w:val="en-US" w:eastAsia="zh-CN" w:bidi="ar"/>
              </w:rPr>
              <w:t>批</w:t>
            </w:r>
          </w:p>
        </w:tc>
        <w:tc>
          <w:tcPr>
            <w:tcW w:w="765" w:type="dxa"/>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14:paraId="11A94C1F">
            <w:pPr>
              <w:keepNext w:val="0"/>
              <w:keepLines w:val="0"/>
              <w:pageBreakBefore w:val="0"/>
              <w:widowControl/>
              <w:suppressLineNumbers w:val="0"/>
              <w:kinsoku/>
              <w:wordWrap w:val="0"/>
              <w:overflowPunct/>
              <w:topLinePunct w:val="0"/>
              <w:autoSpaceDE/>
              <w:autoSpaceDN/>
              <w:bidi w:val="0"/>
              <w:adjustRightInd/>
              <w:snapToGrid/>
              <w:spacing w:before="0" w:beforeAutospacing="0" w:afterAutospacing="0" w:line="240" w:lineRule="auto"/>
              <w:ind w:left="0" w:right="0"/>
              <w:jc w:val="left"/>
              <w:rPr>
                <w:rFonts w:hint="eastAsia" w:ascii="宋体" w:hAnsi="宋体" w:eastAsia="宋体" w:cs="宋体"/>
              </w:rPr>
            </w:pPr>
            <w:r>
              <w:rPr>
                <w:rFonts w:hint="eastAsia" w:ascii="宋体" w:hAnsi="宋体" w:eastAsia="宋体" w:cs="宋体"/>
                <w:kern w:val="0"/>
                <w:sz w:val="24"/>
                <w:szCs w:val="24"/>
                <w:lang w:val="en-US" w:eastAsia="zh-CN" w:bidi="ar"/>
              </w:rPr>
              <w:t>工业</w:t>
            </w:r>
          </w:p>
        </w:tc>
        <w:tc>
          <w:tcPr>
            <w:tcW w:w="765" w:type="dxa"/>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14:paraId="0B32315B">
            <w:pPr>
              <w:keepNext w:val="0"/>
              <w:keepLines w:val="0"/>
              <w:pageBreakBefore w:val="0"/>
              <w:widowControl/>
              <w:suppressLineNumbers w:val="0"/>
              <w:kinsoku/>
              <w:wordWrap w:val="0"/>
              <w:overflowPunct/>
              <w:topLinePunct w:val="0"/>
              <w:autoSpaceDE/>
              <w:autoSpaceDN/>
              <w:bidi w:val="0"/>
              <w:adjustRightInd/>
              <w:snapToGrid/>
              <w:spacing w:before="0" w:beforeAutospacing="0" w:afterAutospacing="0" w:line="240" w:lineRule="auto"/>
              <w:ind w:left="0" w:right="0"/>
              <w:jc w:val="left"/>
              <w:rPr>
                <w:rFonts w:hint="eastAsia" w:ascii="宋体" w:hAnsi="宋体" w:eastAsia="宋体" w:cs="宋体"/>
              </w:rPr>
            </w:pPr>
            <w:r>
              <w:rPr>
                <w:rFonts w:hint="eastAsia" w:ascii="宋体" w:hAnsi="宋体" w:eastAsia="宋体" w:cs="宋体"/>
                <w:kern w:val="0"/>
                <w:sz w:val="24"/>
                <w:szCs w:val="24"/>
                <w:lang w:val="en-US" w:eastAsia="zh-CN" w:bidi="ar"/>
              </w:rPr>
              <w:t>否</w:t>
            </w:r>
          </w:p>
        </w:tc>
        <w:tc>
          <w:tcPr>
            <w:tcW w:w="735" w:type="dxa"/>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14:paraId="125F3781">
            <w:pPr>
              <w:keepNext w:val="0"/>
              <w:keepLines w:val="0"/>
              <w:pageBreakBefore w:val="0"/>
              <w:widowControl/>
              <w:suppressLineNumbers w:val="0"/>
              <w:kinsoku/>
              <w:wordWrap w:val="0"/>
              <w:overflowPunct/>
              <w:topLinePunct w:val="0"/>
              <w:autoSpaceDE/>
              <w:autoSpaceDN/>
              <w:bidi w:val="0"/>
              <w:adjustRightInd/>
              <w:snapToGrid/>
              <w:spacing w:before="0" w:beforeAutospacing="0" w:afterAutospacing="0" w:line="240" w:lineRule="auto"/>
              <w:ind w:left="0" w:right="0"/>
              <w:jc w:val="left"/>
              <w:rPr>
                <w:rFonts w:hint="eastAsia" w:ascii="宋体" w:hAnsi="宋体" w:eastAsia="宋体" w:cs="宋体"/>
              </w:rPr>
            </w:pPr>
            <w:r>
              <w:rPr>
                <w:rFonts w:hint="eastAsia" w:ascii="宋体" w:hAnsi="宋体" w:eastAsia="宋体" w:cs="宋体"/>
                <w:kern w:val="0"/>
                <w:sz w:val="24"/>
                <w:szCs w:val="24"/>
                <w:lang w:val="en-US" w:eastAsia="zh-CN" w:bidi="ar"/>
              </w:rPr>
              <w:t>否</w:t>
            </w:r>
          </w:p>
        </w:tc>
        <w:tc>
          <w:tcPr>
            <w:tcW w:w="809" w:type="dxa"/>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14:paraId="547B6C12">
            <w:pPr>
              <w:keepNext w:val="0"/>
              <w:keepLines w:val="0"/>
              <w:pageBreakBefore w:val="0"/>
              <w:widowControl/>
              <w:suppressLineNumbers w:val="0"/>
              <w:kinsoku/>
              <w:wordWrap w:val="0"/>
              <w:overflowPunct/>
              <w:topLinePunct w:val="0"/>
              <w:autoSpaceDE/>
              <w:autoSpaceDN/>
              <w:bidi w:val="0"/>
              <w:adjustRightInd/>
              <w:snapToGrid/>
              <w:spacing w:before="0" w:beforeAutospacing="0" w:afterAutospacing="0" w:line="240" w:lineRule="auto"/>
              <w:ind w:left="0" w:right="0"/>
              <w:jc w:val="left"/>
              <w:rPr>
                <w:rFonts w:hint="eastAsia" w:ascii="宋体" w:hAnsi="宋体" w:eastAsia="宋体" w:cs="宋体"/>
              </w:rPr>
            </w:pPr>
            <w:r>
              <w:rPr>
                <w:rFonts w:hint="eastAsia" w:ascii="宋体" w:hAnsi="宋体" w:eastAsia="宋体" w:cs="宋体"/>
                <w:kern w:val="0"/>
                <w:sz w:val="24"/>
                <w:szCs w:val="24"/>
                <w:lang w:val="en-US" w:eastAsia="zh-CN" w:bidi="ar"/>
              </w:rPr>
              <w:t>否</w:t>
            </w:r>
          </w:p>
        </w:tc>
        <w:tc>
          <w:tcPr>
            <w:tcW w:w="779" w:type="dxa"/>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14:paraId="196F0A6F">
            <w:pPr>
              <w:keepNext w:val="0"/>
              <w:keepLines w:val="0"/>
              <w:pageBreakBefore w:val="0"/>
              <w:widowControl/>
              <w:suppressLineNumbers w:val="0"/>
              <w:kinsoku/>
              <w:wordWrap w:val="0"/>
              <w:overflowPunct/>
              <w:topLinePunct w:val="0"/>
              <w:autoSpaceDE/>
              <w:autoSpaceDN/>
              <w:bidi w:val="0"/>
              <w:adjustRightInd/>
              <w:snapToGrid/>
              <w:spacing w:before="0" w:beforeAutospacing="0" w:afterAutospacing="0" w:line="240" w:lineRule="auto"/>
              <w:ind w:left="0" w:right="0"/>
              <w:jc w:val="left"/>
              <w:rPr>
                <w:rFonts w:hint="eastAsia" w:ascii="宋体" w:hAnsi="宋体" w:eastAsia="宋体" w:cs="宋体"/>
              </w:rPr>
            </w:pPr>
            <w:r>
              <w:rPr>
                <w:rFonts w:hint="eastAsia" w:ascii="宋体" w:hAnsi="宋体" w:eastAsia="宋体" w:cs="宋体"/>
                <w:kern w:val="0"/>
                <w:sz w:val="24"/>
                <w:szCs w:val="24"/>
                <w:lang w:val="en-US" w:eastAsia="zh-CN" w:bidi="ar"/>
              </w:rPr>
              <w:t>否</w:t>
            </w:r>
          </w:p>
        </w:tc>
        <w:tc>
          <w:tcPr>
            <w:tcW w:w="736" w:type="dxa"/>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14:paraId="3D5B401E">
            <w:pPr>
              <w:keepNext w:val="0"/>
              <w:keepLines w:val="0"/>
              <w:pageBreakBefore w:val="0"/>
              <w:widowControl/>
              <w:suppressLineNumbers w:val="0"/>
              <w:kinsoku/>
              <w:wordWrap w:val="0"/>
              <w:overflowPunct/>
              <w:topLinePunct w:val="0"/>
              <w:autoSpaceDE/>
              <w:autoSpaceDN/>
              <w:bidi w:val="0"/>
              <w:adjustRightInd/>
              <w:snapToGrid/>
              <w:spacing w:before="0" w:beforeAutospacing="0" w:afterAutospacing="0" w:line="240" w:lineRule="auto"/>
              <w:ind w:left="0" w:right="0"/>
              <w:jc w:val="left"/>
              <w:rPr>
                <w:rFonts w:hint="eastAsia" w:ascii="宋体" w:hAnsi="宋体" w:eastAsia="宋体" w:cs="宋体"/>
              </w:rPr>
            </w:pPr>
            <w:r>
              <w:rPr>
                <w:rFonts w:hint="eastAsia" w:ascii="宋体" w:hAnsi="宋体" w:eastAsia="宋体" w:cs="宋体"/>
                <w:kern w:val="0"/>
                <w:sz w:val="24"/>
                <w:szCs w:val="24"/>
                <w:lang w:val="en-US" w:eastAsia="zh-CN" w:bidi="ar"/>
              </w:rPr>
              <w:t>是</w:t>
            </w:r>
          </w:p>
        </w:tc>
      </w:tr>
    </w:tbl>
    <w:p w14:paraId="717F087E">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240" w:lineRule="auto"/>
        <w:ind w:left="0" w:right="0" w:firstLine="0"/>
        <w:jc w:val="left"/>
        <w:rPr>
          <w:rFonts w:hint="eastAsia" w:ascii="宋体" w:hAnsi="宋体" w:eastAsia="宋体" w:cs="宋体"/>
          <w:b/>
          <w:bCs/>
          <w:i w:val="0"/>
          <w:iCs w:val="0"/>
          <w:caps w:val="0"/>
          <w:color w:val="333333"/>
          <w:spacing w:val="0"/>
          <w:sz w:val="27"/>
          <w:szCs w:val="27"/>
        </w:rPr>
      </w:pPr>
      <w:r>
        <w:rPr>
          <w:rFonts w:hint="eastAsia" w:ascii="宋体" w:hAnsi="宋体" w:eastAsia="宋体" w:cs="宋体"/>
          <w:b/>
          <w:bCs/>
          <w:i w:val="0"/>
          <w:iCs w:val="0"/>
          <w:caps w:val="0"/>
          <w:color w:val="333333"/>
          <w:spacing w:val="0"/>
          <w:sz w:val="27"/>
          <w:szCs w:val="27"/>
          <w:shd w:val="clear" w:fill="FFFFFF"/>
        </w:rPr>
        <w:t>3.3技术要求</w:t>
      </w:r>
    </w:p>
    <w:p w14:paraId="3498A65B">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auto"/>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shd w:val="clear" w:fill="FFFFFF"/>
        </w:rPr>
        <w:t>采购包1：</w:t>
      </w:r>
    </w:p>
    <w:p w14:paraId="202CF2EC">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auto"/>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shd w:val="clear" w:fill="FFFFFF"/>
        </w:rPr>
        <w:t>标的名称：网络设备改造及监控新增</w:t>
      </w:r>
    </w:p>
    <w:tbl>
      <w:tblPr>
        <w:tblStyle w:val="8"/>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800"/>
        <w:gridCol w:w="826"/>
        <w:gridCol w:w="7232"/>
      </w:tblGrid>
      <w:tr w14:paraId="1F398ECF">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c>
          <w:tcPr>
            <w:tcW w:w="452" w:type="pct"/>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14:paraId="2A0057A7">
            <w:pPr>
              <w:keepNext w:val="0"/>
              <w:keepLines w:val="0"/>
              <w:pageBreakBefore w:val="0"/>
              <w:widowControl/>
              <w:suppressLineNumbers w:val="0"/>
              <w:kinsoku/>
              <w:wordWrap w:val="0"/>
              <w:overflowPunct/>
              <w:topLinePunct w:val="0"/>
              <w:autoSpaceDE/>
              <w:autoSpaceDN/>
              <w:bidi w:val="0"/>
              <w:adjustRightInd/>
              <w:snapToGrid/>
              <w:spacing w:before="0" w:beforeAutospacing="0" w:afterAutospacing="0" w:line="240" w:lineRule="auto"/>
              <w:ind w:left="0" w:right="0"/>
              <w:jc w:val="left"/>
              <w:rPr>
                <w:rFonts w:hint="eastAsia" w:ascii="宋体" w:hAnsi="宋体" w:eastAsia="宋体" w:cs="宋体"/>
                <w:b/>
                <w:bCs/>
              </w:rPr>
            </w:pPr>
            <w:r>
              <w:rPr>
                <w:rFonts w:hint="eastAsia" w:ascii="宋体" w:hAnsi="宋体" w:eastAsia="宋体" w:cs="宋体"/>
                <w:b/>
                <w:bCs/>
                <w:kern w:val="0"/>
                <w:sz w:val="24"/>
                <w:szCs w:val="24"/>
                <w:lang w:val="en-US" w:eastAsia="zh-CN" w:bidi="ar"/>
              </w:rPr>
              <w:t>序号</w:t>
            </w:r>
          </w:p>
        </w:tc>
        <w:tc>
          <w:tcPr>
            <w:tcW w:w="466" w:type="pct"/>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14:paraId="5D176EB9">
            <w:pPr>
              <w:keepNext w:val="0"/>
              <w:keepLines w:val="0"/>
              <w:pageBreakBefore w:val="0"/>
              <w:widowControl/>
              <w:suppressLineNumbers w:val="0"/>
              <w:kinsoku/>
              <w:wordWrap w:val="0"/>
              <w:overflowPunct/>
              <w:topLinePunct w:val="0"/>
              <w:autoSpaceDE/>
              <w:autoSpaceDN/>
              <w:bidi w:val="0"/>
              <w:adjustRightInd/>
              <w:snapToGrid/>
              <w:spacing w:before="0" w:beforeAutospacing="0" w:afterAutospacing="0" w:line="240" w:lineRule="auto"/>
              <w:ind w:left="0" w:right="0"/>
              <w:jc w:val="left"/>
              <w:rPr>
                <w:rFonts w:hint="eastAsia" w:ascii="宋体" w:hAnsi="宋体" w:eastAsia="宋体" w:cs="宋体"/>
                <w:b/>
                <w:bCs/>
              </w:rPr>
            </w:pPr>
            <w:r>
              <w:rPr>
                <w:rFonts w:hint="eastAsia" w:ascii="宋体" w:hAnsi="宋体" w:eastAsia="宋体" w:cs="宋体"/>
                <w:b/>
                <w:bCs/>
                <w:kern w:val="0"/>
                <w:sz w:val="24"/>
                <w:szCs w:val="24"/>
                <w:lang w:val="en-US" w:eastAsia="zh-CN" w:bidi="ar"/>
              </w:rPr>
              <w:t>参数性质</w:t>
            </w:r>
          </w:p>
        </w:tc>
        <w:tc>
          <w:tcPr>
            <w:tcW w:w="4081" w:type="pct"/>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14:paraId="2D4716BF">
            <w:pPr>
              <w:keepNext w:val="0"/>
              <w:keepLines w:val="0"/>
              <w:pageBreakBefore w:val="0"/>
              <w:widowControl/>
              <w:suppressLineNumbers w:val="0"/>
              <w:kinsoku/>
              <w:wordWrap w:val="0"/>
              <w:overflowPunct/>
              <w:topLinePunct w:val="0"/>
              <w:autoSpaceDE/>
              <w:autoSpaceDN/>
              <w:bidi w:val="0"/>
              <w:adjustRightInd/>
              <w:snapToGrid/>
              <w:spacing w:before="0" w:beforeAutospacing="0" w:afterAutospacing="0" w:line="240" w:lineRule="auto"/>
              <w:ind w:left="0" w:right="0"/>
              <w:jc w:val="left"/>
              <w:rPr>
                <w:rFonts w:hint="eastAsia" w:ascii="宋体" w:hAnsi="宋体" w:eastAsia="宋体" w:cs="宋体"/>
                <w:b/>
                <w:bCs/>
              </w:rPr>
            </w:pPr>
            <w:r>
              <w:rPr>
                <w:rFonts w:hint="eastAsia" w:ascii="宋体" w:hAnsi="宋体" w:eastAsia="宋体" w:cs="宋体"/>
                <w:b/>
                <w:bCs/>
                <w:kern w:val="0"/>
                <w:sz w:val="24"/>
                <w:szCs w:val="24"/>
                <w:lang w:val="en-US" w:eastAsia="zh-CN" w:bidi="ar"/>
              </w:rPr>
              <w:t>技术参数与性能指标</w:t>
            </w:r>
          </w:p>
        </w:tc>
      </w:tr>
      <w:tr w14:paraId="5829408E">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c>
          <w:tcPr>
            <w:tcW w:w="452" w:type="pct"/>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14:paraId="59015F89">
            <w:pPr>
              <w:keepNext w:val="0"/>
              <w:keepLines w:val="0"/>
              <w:pageBreakBefore w:val="0"/>
              <w:widowControl/>
              <w:suppressLineNumbers w:val="0"/>
              <w:kinsoku/>
              <w:wordWrap w:val="0"/>
              <w:overflowPunct/>
              <w:topLinePunct w:val="0"/>
              <w:autoSpaceDE/>
              <w:autoSpaceDN/>
              <w:bidi w:val="0"/>
              <w:adjustRightInd/>
              <w:snapToGrid/>
              <w:spacing w:before="0" w:beforeAutospacing="0" w:afterAutospacing="0" w:line="240" w:lineRule="auto"/>
              <w:ind w:left="0" w:right="0"/>
              <w:jc w:val="left"/>
              <w:rPr>
                <w:rFonts w:hint="eastAsia" w:ascii="宋体" w:hAnsi="宋体" w:eastAsia="宋体" w:cs="宋体"/>
              </w:rPr>
            </w:pPr>
            <w:r>
              <w:rPr>
                <w:rFonts w:hint="eastAsia" w:ascii="宋体" w:hAnsi="宋体" w:eastAsia="宋体" w:cs="宋体"/>
                <w:kern w:val="0"/>
                <w:sz w:val="24"/>
                <w:szCs w:val="24"/>
                <w:lang w:val="en-US" w:eastAsia="zh-CN" w:bidi="ar"/>
              </w:rPr>
              <w:t>1</w:t>
            </w:r>
          </w:p>
        </w:tc>
        <w:tc>
          <w:tcPr>
            <w:tcW w:w="466" w:type="pct"/>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14:paraId="7C3136C0">
            <w:pPr>
              <w:keepNext w:val="0"/>
              <w:keepLines w:val="0"/>
              <w:pageBreakBefore w:val="0"/>
              <w:kinsoku/>
              <w:overflowPunct/>
              <w:topLinePunct w:val="0"/>
              <w:autoSpaceDE/>
              <w:autoSpaceDN/>
              <w:bidi w:val="0"/>
              <w:adjustRightInd/>
              <w:snapToGrid/>
              <w:spacing w:line="240" w:lineRule="auto"/>
              <w:rPr>
                <w:rFonts w:hint="eastAsia" w:ascii="宋体" w:hAnsi="宋体" w:eastAsia="宋体" w:cs="宋体"/>
                <w:sz w:val="24"/>
                <w:szCs w:val="24"/>
              </w:rPr>
            </w:pPr>
          </w:p>
        </w:tc>
        <w:tc>
          <w:tcPr>
            <w:tcW w:w="4081" w:type="pct"/>
            <w:tcBorders>
              <w:top w:val="single" w:color="000000" w:sz="6" w:space="0"/>
              <w:left w:val="single" w:color="000000" w:sz="6" w:space="0"/>
              <w:bottom w:val="single" w:color="000000" w:sz="6" w:space="0"/>
              <w:right w:val="single" w:color="000000" w:sz="6" w:space="0"/>
            </w:tcBorders>
            <w:shd w:val="clear" w:color="auto" w:fill="auto"/>
            <w:tcMar>
              <w:left w:w="120" w:type="dxa"/>
              <w:right w:w="120" w:type="dxa"/>
            </w:tcMar>
            <w:vAlign w:val="center"/>
          </w:tcPr>
          <w:p w14:paraId="04058324">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40" w:lineRule="auto"/>
              <w:ind w:left="0" w:right="0" w:firstLine="0"/>
              <w:jc w:val="both"/>
              <w:rPr>
                <w:rFonts w:hint="eastAsia" w:ascii="宋体" w:hAnsi="宋体" w:eastAsia="宋体" w:cs="宋体"/>
                <w:sz w:val="18"/>
                <w:szCs w:val="18"/>
              </w:rPr>
            </w:pPr>
            <w:r>
              <w:rPr>
                <w:rStyle w:val="10"/>
                <w:rFonts w:ascii="仿宋" w:hAnsi="仿宋" w:eastAsia="仿宋" w:cs="仿宋"/>
                <w:color w:val="000000"/>
                <w:sz w:val="22"/>
                <w:szCs w:val="22"/>
              </w:rPr>
              <w:t>1.</w:t>
            </w:r>
            <w:r>
              <w:rPr>
                <w:rStyle w:val="10"/>
                <w:rFonts w:hint="eastAsia" w:ascii="仿宋" w:hAnsi="仿宋" w:eastAsia="仿宋" w:cs="仿宋"/>
                <w:color w:val="000000"/>
                <w:sz w:val="22"/>
                <w:szCs w:val="22"/>
              </w:rPr>
              <w:t>采购需求及要求</w:t>
            </w:r>
          </w:p>
          <w:p w14:paraId="37D93224">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40" w:lineRule="auto"/>
              <w:ind w:left="0" w:right="105" w:firstLine="0"/>
              <w:jc w:val="both"/>
              <w:rPr>
                <w:rFonts w:hint="eastAsia" w:ascii="宋体" w:hAnsi="宋体" w:eastAsia="宋体" w:cs="宋体"/>
                <w:sz w:val="18"/>
                <w:szCs w:val="18"/>
              </w:rPr>
            </w:pPr>
            <w:r>
              <w:rPr>
                <w:rStyle w:val="10"/>
                <w:rFonts w:hint="eastAsia" w:ascii="仿宋" w:hAnsi="仿宋" w:eastAsia="仿宋" w:cs="仿宋"/>
                <w:color w:val="000000"/>
                <w:sz w:val="22"/>
                <w:szCs w:val="22"/>
              </w:rPr>
              <w:t>1.1采购需求清单：详见附件：网络设备改造及监控新增采购需求一览表。本项目核心产品为：网络存储服务器(评审标准详见采购文件第二章：充分、公平竞争保障措施)。</w:t>
            </w:r>
          </w:p>
          <w:p w14:paraId="4A161899">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40" w:lineRule="auto"/>
              <w:ind w:left="0" w:right="0" w:firstLine="0"/>
              <w:jc w:val="both"/>
              <w:rPr>
                <w:rFonts w:hint="eastAsia" w:ascii="宋体" w:hAnsi="宋体" w:eastAsia="宋体" w:cs="宋体"/>
                <w:sz w:val="18"/>
                <w:szCs w:val="18"/>
              </w:rPr>
            </w:pPr>
            <w:r>
              <w:rPr>
                <w:rStyle w:val="10"/>
                <w:rFonts w:hint="eastAsia" w:ascii="仿宋" w:hAnsi="仿宋" w:eastAsia="仿宋" w:cs="仿宋"/>
                <w:color w:val="000000"/>
                <w:sz w:val="22"/>
                <w:szCs w:val="22"/>
              </w:rPr>
              <w:t>1.2质量标准：（1）所有货物（产品）、服务符合国家、省、市（行业）强制性标准及采购人要求的合格标准；</w:t>
            </w:r>
          </w:p>
          <w:p w14:paraId="68B0A58F">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40" w:lineRule="auto"/>
              <w:ind w:left="0" w:right="0" w:firstLine="0"/>
              <w:jc w:val="both"/>
              <w:rPr>
                <w:rFonts w:hint="eastAsia" w:ascii="宋体" w:hAnsi="宋体" w:eastAsia="宋体" w:cs="宋体"/>
                <w:sz w:val="18"/>
                <w:szCs w:val="18"/>
              </w:rPr>
            </w:pPr>
            <w:r>
              <w:rPr>
                <w:rStyle w:val="10"/>
                <w:rFonts w:hint="eastAsia" w:ascii="仿宋" w:hAnsi="仿宋" w:eastAsia="仿宋" w:cs="仿宋"/>
                <w:color w:val="000000"/>
                <w:sz w:val="22"/>
                <w:szCs w:val="22"/>
              </w:rPr>
              <w:t>（2）货物（产品）制造商、经销代理商应严格遵守《中华人民共和国产品质量法》，确保提供的产品符合质量标准，达到合格产品的要求。可能危及人体健康和人身、财产安全的工业产品，必须符合保障人体健康和人身、财产安全的国家标准、行业标准；未制定国家标准、行业标准的，必须符合保障人体健康和人身、财产安全的要求。</w:t>
            </w:r>
          </w:p>
          <w:p w14:paraId="18E8A9FA">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40" w:lineRule="auto"/>
              <w:ind w:left="0" w:right="105" w:firstLine="0"/>
              <w:jc w:val="both"/>
              <w:rPr>
                <w:rFonts w:hint="eastAsia" w:ascii="宋体" w:hAnsi="宋体" w:eastAsia="宋体" w:cs="宋体"/>
                <w:sz w:val="18"/>
                <w:szCs w:val="18"/>
              </w:rPr>
            </w:pPr>
            <w:r>
              <w:rPr>
                <w:rStyle w:val="10"/>
                <w:rFonts w:hint="eastAsia" w:ascii="仿宋" w:hAnsi="仿宋" w:eastAsia="仿宋" w:cs="仿宋"/>
                <w:color w:val="000000"/>
                <w:sz w:val="22"/>
                <w:szCs w:val="22"/>
              </w:rPr>
              <w:t>（3）货物（产品）、服务执行的标准、规范：必须执行国家、行业强制性标准；没有国家、行业强制性标准的按①国家标准、规范→②行业标准、规范→③地方标准、规范→④团体标准、规范→⑤企业标准、规范类推顺序执行；凡涉及的相关规范，国家有最新标准的以最新标准为准，所有标准哪个标准高执行哪个标准。</w:t>
            </w:r>
          </w:p>
          <w:p w14:paraId="1A708862">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40" w:lineRule="auto"/>
              <w:ind w:left="0" w:right="0" w:firstLine="0"/>
              <w:jc w:val="both"/>
              <w:rPr>
                <w:rFonts w:hint="eastAsia" w:ascii="宋体" w:hAnsi="宋体" w:eastAsia="宋体" w:cs="宋体"/>
                <w:sz w:val="18"/>
                <w:szCs w:val="18"/>
              </w:rPr>
            </w:pPr>
            <w:r>
              <w:rPr>
                <w:rStyle w:val="10"/>
                <w:rFonts w:hint="eastAsia" w:ascii="仿宋" w:hAnsi="仿宋" w:eastAsia="仿宋" w:cs="仿宋"/>
                <w:color w:val="000000"/>
                <w:sz w:val="22"/>
                <w:szCs w:val="22"/>
              </w:rPr>
              <w:t>1.3产品“三包”要求：货物（产品）属于国家规定的“三包产品”，产品制造商、经销代理商应遵守“三包”的规定，在产品发生质量问题时，及时对所提供产品实行“包退、包换、保修”服务。</w:t>
            </w:r>
          </w:p>
          <w:p w14:paraId="1750F810">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40" w:lineRule="auto"/>
              <w:ind w:left="0" w:right="0" w:firstLine="0"/>
              <w:jc w:val="both"/>
              <w:rPr>
                <w:rFonts w:hint="eastAsia" w:ascii="宋体" w:hAnsi="宋体" w:eastAsia="宋体" w:cs="宋体"/>
                <w:sz w:val="18"/>
                <w:szCs w:val="18"/>
              </w:rPr>
            </w:pPr>
            <w:r>
              <w:rPr>
                <w:rStyle w:val="10"/>
                <w:rFonts w:hint="eastAsia" w:ascii="仿宋" w:hAnsi="仿宋" w:eastAsia="仿宋" w:cs="仿宋"/>
                <w:color w:val="000000"/>
                <w:sz w:val="22"/>
                <w:szCs w:val="22"/>
              </w:rPr>
              <w:t>1.4安全要求：认真贯彻执行国家及省、市有关安全文明生产的法律法规规章和强制性标准、安全操作规程等，所有设备(产品)应符合国家相关安全标准，所有货物（产品）能够承受频繁使用和可能的不当操作，结构稳定，不易损坏，无锐利边角、无毒无害、不易造成意外伤害，与实际使用场地相匹配；建立健全安装现场安全文明生产保证体系，落实各项具体措施，切实履行安全文明生产责任和义务，保护职工身体健康和生命安全，以及社会公众安全，保持安装现场整齐有序。</w:t>
            </w:r>
          </w:p>
          <w:p w14:paraId="37D02FD4">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40" w:lineRule="auto"/>
              <w:ind w:left="0" w:right="0" w:firstLine="0"/>
              <w:jc w:val="both"/>
              <w:rPr>
                <w:rFonts w:hint="eastAsia" w:ascii="宋体" w:hAnsi="宋体" w:eastAsia="宋体" w:cs="宋体"/>
                <w:sz w:val="18"/>
                <w:szCs w:val="18"/>
              </w:rPr>
            </w:pPr>
            <w:r>
              <w:rPr>
                <w:rStyle w:val="10"/>
                <w:rFonts w:hint="eastAsia" w:ascii="仿宋" w:hAnsi="仿宋" w:eastAsia="仿宋" w:cs="仿宋"/>
                <w:color w:val="000000"/>
                <w:sz w:val="22"/>
                <w:szCs w:val="22"/>
              </w:rPr>
              <w:t>1.5包装方式及运输：涉及的商品包装和快递包装，均应符合《商品包装政府采购需求标准（试行）》《快递包装政府采购需求标准（试行）》的要求，包装应适应于远距离运输、防潮、防震、防锈和防野蛮装卸，以确保货物安全无损运抵指定地点。</w:t>
            </w:r>
          </w:p>
          <w:p w14:paraId="4BF23ACC">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40" w:lineRule="auto"/>
              <w:ind w:left="0" w:right="0" w:firstLine="0"/>
              <w:jc w:val="both"/>
              <w:rPr>
                <w:rFonts w:hint="eastAsia" w:ascii="宋体" w:hAnsi="宋体" w:eastAsia="宋体" w:cs="宋体"/>
                <w:sz w:val="18"/>
                <w:szCs w:val="18"/>
              </w:rPr>
            </w:pPr>
            <w:r>
              <w:rPr>
                <w:rStyle w:val="10"/>
                <w:rFonts w:hint="eastAsia" w:ascii="仿宋" w:hAnsi="仿宋" w:eastAsia="仿宋" w:cs="仿宋"/>
                <w:color w:val="000000"/>
                <w:sz w:val="22"/>
                <w:szCs w:val="22"/>
              </w:rPr>
              <w:t>1.6为保证货物（软件和硬件）质量功能的严谨性，中标（成交）后采购人有权要求成交供应商对其所提供的设备（产品）（包含软件和硬件）的功能进行逐一演示，如有功能与实际不相符，一律按虚假应标处理，由成交供应商承担因此产生的一切后果和责任。</w:t>
            </w:r>
          </w:p>
          <w:p w14:paraId="740CF0B1">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40" w:lineRule="auto"/>
              <w:ind w:left="0" w:right="0" w:firstLine="0"/>
              <w:jc w:val="both"/>
              <w:rPr>
                <w:rFonts w:hint="eastAsia" w:ascii="宋体" w:hAnsi="宋体" w:eastAsia="宋体" w:cs="宋体"/>
                <w:sz w:val="18"/>
                <w:szCs w:val="18"/>
              </w:rPr>
            </w:pPr>
            <w:r>
              <w:rPr>
                <w:rStyle w:val="10"/>
                <w:rFonts w:hint="eastAsia" w:ascii="仿宋" w:hAnsi="仿宋" w:eastAsia="仿宋" w:cs="仿宋"/>
                <w:color w:val="000000"/>
                <w:sz w:val="22"/>
                <w:szCs w:val="22"/>
              </w:rPr>
              <w:t>1.7供应商应保证投标所提供第三方资料内容真实、完整、准确；如有相关第三方书面声明、相关检测报告等资料虚假，监管部门有权根据调查情形认定其是否属于提供虚假材料谋取中标（成交），并严肃处理。</w:t>
            </w:r>
          </w:p>
          <w:p w14:paraId="54253C34">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40" w:lineRule="auto"/>
              <w:ind w:left="0" w:right="0" w:firstLine="0"/>
              <w:jc w:val="both"/>
              <w:rPr>
                <w:rFonts w:hint="eastAsia" w:ascii="宋体" w:hAnsi="宋体" w:eastAsia="宋体" w:cs="宋体"/>
                <w:sz w:val="18"/>
                <w:szCs w:val="18"/>
              </w:rPr>
            </w:pPr>
            <w:r>
              <w:rPr>
                <w:rStyle w:val="10"/>
                <w:rFonts w:hint="eastAsia" w:ascii="仿宋" w:hAnsi="仿宋" w:eastAsia="仿宋" w:cs="仿宋"/>
                <w:color w:val="000000"/>
                <w:sz w:val="22"/>
                <w:szCs w:val="22"/>
              </w:rPr>
              <w:t>1.8售后服务要求：（1）成交供应商须指派专人负责与采购人联系售后服务事宜。售后服务条款（包括具体的服务内容、故障响应时间、响应方式、维修措施及时限、维护响应计划等方面）。</w:t>
            </w:r>
          </w:p>
          <w:p w14:paraId="5511024D">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40" w:lineRule="auto"/>
              <w:ind w:left="0" w:right="0" w:firstLine="0"/>
              <w:jc w:val="both"/>
              <w:rPr>
                <w:rFonts w:hint="eastAsia" w:ascii="宋体" w:hAnsi="宋体" w:eastAsia="宋体" w:cs="宋体"/>
                <w:sz w:val="18"/>
                <w:szCs w:val="18"/>
              </w:rPr>
            </w:pPr>
            <w:r>
              <w:rPr>
                <w:rStyle w:val="10"/>
                <w:rFonts w:hint="eastAsia" w:ascii="仿宋" w:hAnsi="仿宋" w:eastAsia="仿宋" w:cs="仿宋"/>
                <w:color w:val="000000"/>
                <w:sz w:val="22"/>
                <w:szCs w:val="22"/>
              </w:rPr>
              <w:t>（2）成交供应商负责货物(含软件)的现场安装、调试、测试和启动等。</w:t>
            </w:r>
          </w:p>
          <w:p w14:paraId="7848F14A">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40" w:lineRule="auto"/>
              <w:ind w:left="0" w:right="0" w:firstLine="0"/>
              <w:jc w:val="both"/>
              <w:rPr>
                <w:rFonts w:hint="eastAsia" w:ascii="宋体" w:hAnsi="宋体" w:eastAsia="宋体" w:cs="宋体"/>
                <w:sz w:val="18"/>
                <w:szCs w:val="18"/>
              </w:rPr>
            </w:pPr>
            <w:r>
              <w:rPr>
                <w:rStyle w:val="10"/>
                <w:rFonts w:hint="eastAsia" w:ascii="仿宋" w:hAnsi="仿宋" w:eastAsia="仿宋" w:cs="仿宋"/>
                <w:color w:val="000000"/>
                <w:sz w:val="22"/>
                <w:szCs w:val="22"/>
              </w:rPr>
              <w:t>（3）成交供应商负责货物(含软件)的安装、启动、运行及维护等对使用人员进行免费培训：培训主要内容为货物(含软件)的基本结构、性能、主要部件的构造及原理，日常使用操作、维护保养与管理，常见故障的排除、紧急情况的处理等，如使用方未使用过同类型货物(含软件)，成交供应商还需就货物(含软件)的功能对使用方人员进行相应的技术培训，培训地点为货物(含软件)安装现场或由采购人安排。</w:t>
            </w:r>
          </w:p>
          <w:p w14:paraId="43FCCB27">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40" w:lineRule="auto"/>
              <w:ind w:left="0" w:right="0" w:firstLine="420"/>
              <w:jc w:val="both"/>
              <w:rPr>
                <w:rFonts w:hint="eastAsia" w:ascii="宋体" w:hAnsi="宋体" w:eastAsia="宋体" w:cs="宋体"/>
                <w:sz w:val="18"/>
                <w:szCs w:val="18"/>
              </w:rPr>
            </w:pPr>
            <w:r>
              <w:rPr>
                <w:rStyle w:val="10"/>
                <w:rFonts w:hint="eastAsia" w:ascii="仿宋" w:hAnsi="仿宋" w:eastAsia="仿宋" w:cs="仿宋"/>
                <w:color w:val="000000"/>
                <w:sz w:val="22"/>
                <w:szCs w:val="22"/>
              </w:rPr>
              <w:t>（4）质保期自采购人在质量验收单（终验）上签字之日起计算，质保费用计入总价。在最终验收后的质量保证期内，成交供应商应对货物(含软件)的设计、工艺或材料、功能等所有的缺陷而产生的故障负责。</w:t>
            </w:r>
          </w:p>
          <w:p w14:paraId="24A22402">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40" w:lineRule="auto"/>
              <w:ind w:left="0" w:right="0" w:firstLine="420"/>
              <w:jc w:val="both"/>
              <w:rPr>
                <w:rFonts w:hint="eastAsia" w:ascii="宋体" w:hAnsi="宋体" w:eastAsia="宋体" w:cs="宋体"/>
                <w:sz w:val="18"/>
                <w:szCs w:val="18"/>
              </w:rPr>
            </w:pPr>
            <w:r>
              <w:rPr>
                <w:rStyle w:val="10"/>
                <w:rFonts w:hint="eastAsia" w:ascii="仿宋" w:hAnsi="仿宋" w:eastAsia="仿宋" w:cs="仿宋"/>
                <w:color w:val="000000"/>
                <w:sz w:val="22"/>
                <w:szCs w:val="22"/>
              </w:rPr>
              <w:t>（5）成交供应商负责对其提供的货物(含软件)整体进行维修和系统维护，质保期内应无偿负责现场技术巡检、维修和替换等工作；若遇到采购人重大活动需无条件提供现场技术支持服务且不再收取任何费用，但不可抗力（如火灾、雷击等）造成的故障除外；超出质保期只收取维修所需原设备、材料成本费用；采购人使用产品过程中因产品质量、产品缺陷及安装质量等造成人身伤亡、财产损失的，由成交供应商负责解决并承担全部责任。</w:t>
            </w:r>
          </w:p>
          <w:p w14:paraId="4DB28904">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40" w:lineRule="auto"/>
              <w:ind w:left="0" w:right="0" w:firstLine="420"/>
              <w:jc w:val="both"/>
              <w:rPr>
                <w:rFonts w:hint="eastAsia" w:ascii="宋体" w:hAnsi="宋体" w:eastAsia="宋体" w:cs="宋体"/>
                <w:sz w:val="18"/>
                <w:szCs w:val="18"/>
              </w:rPr>
            </w:pPr>
            <w:r>
              <w:rPr>
                <w:rStyle w:val="10"/>
                <w:rFonts w:hint="eastAsia" w:ascii="仿宋" w:hAnsi="仿宋" w:eastAsia="仿宋" w:cs="仿宋"/>
                <w:color w:val="000000"/>
                <w:sz w:val="22"/>
                <w:szCs w:val="22"/>
              </w:rPr>
              <w:t>（6）成交供应商负责对其所提供的设备、材料等备品配件供应，提供长期维修，并提供技术咨询等服务，所有维修记录交由采购人的现场技术人员一份，并详细说明问题所在、解决办法及注意事项。对于存在质量问题或者短少的产品，成交供应商应在接到采购人的通知2个日历日内负责修复，调换、重新制作或补齐。</w:t>
            </w:r>
          </w:p>
          <w:p w14:paraId="5B5BE1D1">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40" w:lineRule="auto"/>
              <w:ind w:left="0" w:right="0" w:firstLine="420"/>
              <w:jc w:val="both"/>
              <w:rPr>
                <w:rFonts w:hint="eastAsia" w:ascii="宋体" w:hAnsi="宋体" w:eastAsia="宋体" w:cs="宋体"/>
                <w:sz w:val="18"/>
                <w:szCs w:val="18"/>
              </w:rPr>
            </w:pPr>
            <w:r>
              <w:rPr>
                <w:rStyle w:val="10"/>
                <w:rFonts w:hint="eastAsia" w:ascii="仿宋" w:hAnsi="仿宋" w:eastAsia="仿宋" w:cs="仿宋"/>
                <w:color w:val="000000"/>
                <w:sz w:val="22"/>
                <w:szCs w:val="22"/>
              </w:rPr>
              <w:t>（7）所有货物(含软件)服务方式均为成交供应商上门服务，即由成交供应商派人到货物(含软件)使用现场维修，由此产生的一切费用均由成交供应商承担，对系统进行定期的检修、保养工作，并与用户进行沟通，定期开展技术交流活动，预防故障发生，保证系统的正常运行。</w:t>
            </w:r>
          </w:p>
          <w:p w14:paraId="0159C754">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40" w:lineRule="auto"/>
              <w:ind w:left="0" w:right="0" w:firstLine="420"/>
              <w:jc w:val="both"/>
              <w:rPr>
                <w:rFonts w:hint="eastAsia" w:ascii="宋体" w:hAnsi="宋体" w:eastAsia="宋体" w:cs="宋体"/>
                <w:sz w:val="18"/>
                <w:szCs w:val="18"/>
              </w:rPr>
            </w:pPr>
            <w:r>
              <w:rPr>
                <w:rStyle w:val="10"/>
                <w:rFonts w:hint="eastAsia" w:ascii="仿宋" w:hAnsi="仿宋" w:eastAsia="仿宋" w:cs="仿宋"/>
                <w:color w:val="000000"/>
                <w:sz w:val="22"/>
                <w:szCs w:val="22"/>
              </w:rPr>
              <w:t>（8）在质保期内，对软件系统出现的质量问题，免费提供平台维护和技术保障、系统更新服务。4小时内对所提出的维护要求做出实质性反应，并提供应急响应策略。平台运行过程中如果出现技术故障（如硬件故障、软件故障、配置丢失等），在此期间按紧急预案处置，确保软件系统最大限度地不中断运行。</w:t>
            </w:r>
          </w:p>
          <w:p w14:paraId="0F339C4C">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40" w:lineRule="auto"/>
              <w:ind w:left="0" w:right="0" w:firstLine="420"/>
              <w:jc w:val="both"/>
              <w:rPr>
                <w:rFonts w:hint="eastAsia" w:ascii="宋体" w:hAnsi="宋体" w:eastAsia="宋体" w:cs="宋体"/>
                <w:sz w:val="18"/>
                <w:szCs w:val="18"/>
              </w:rPr>
            </w:pPr>
            <w:r>
              <w:rPr>
                <w:rStyle w:val="10"/>
                <w:rFonts w:hint="eastAsia" w:ascii="仿宋" w:hAnsi="仿宋" w:eastAsia="仿宋" w:cs="仿宋"/>
                <w:color w:val="000000"/>
                <w:sz w:val="22"/>
                <w:szCs w:val="22"/>
              </w:rPr>
              <w:t>（9）质保期结束后的其他维修、维护等由双方协商再定。</w:t>
            </w:r>
          </w:p>
          <w:p w14:paraId="6FB52AE4">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40" w:lineRule="auto"/>
              <w:ind w:left="0" w:right="0" w:firstLine="0"/>
              <w:jc w:val="both"/>
              <w:rPr>
                <w:rFonts w:hint="eastAsia" w:ascii="宋体" w:hAnsi="宋体" w:eastAsia="宋体" w:cs="宋体"/>
                <w:sz w:val="18"/>
                <w:szCs w:val="18"/>
              </w:rPr>
            </w:pPr>
            <w:r>
              <w:rPr>
                <w:rStyle w:val="10"/>
                <w:rFonts w:hint="eastAsia" w:ascii="仿宋" w:hAnsi="仿宋" w:eastAsia="仿宋" w:cs="仿宋"/>
                <w:color w:val="000000"/>
                <w:sz w:val="22"/>
                <w:szCs w:val="22"/>
              </w:rPr>
              <w:t>2.其他要求或说明</w:t>
            </w:r>
          </w:p>
          <w:p w14:paraId="002FC1E6">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40" w:lineRule="auto"/>
              <w:ind w:left="0" w:right="0" w:firstLine="220"/>
              <w:jc w:val="left"/>
              <w:rPr>
                <w:rFonts w:hint="eastAsia" w:ascii="宋体" w:hAnsi="宋体" w:eastAsia="宋体" w:cs="宋体"/>
                <w:sz w:val="18"/>
                <w:szCs w:val="18"/>
              </w:rPr>
            </w:pPr>
            <w:r>
              <w:rPr>
                <w:rStyle w:val="10"/>
                <w:rFonts w:hint="eastAsia" w:ascii="仿宋" w:hAnsi="仿宋" w:eastAsia="仿宋" w:cs="仿宋"/>
                <w:color w:val="000000"/>
                <w:sz w:val="22"/>
                <w:szCs w:val="22"/>
              </w:rPr>
              <w:t>2.1供应商的报价是供应商响应采购项目要求的全部工作内容的价格体现，包括供应商完成本项目所需的直接费、间接费、利润、税金及其他相关的一切费用，包括但不限于：产品费、附件费、工具费、验收费、运输费、保险费、安装费、调试费、功能使用费、技术服务费（含售后）、招标代理费、税金、利润及不可预见费等全部费用；响应总报价中不得包含采购文件要求以外的内容，否则，在评审时不予核减。在提供项目实施过程中出现的任何遗漏，均由成交供应商免费提供，采购人将不再支付任何费用。</w:t>
            </w:r>
          </w:p>
          <w:p w14:paraId="033C0EC3">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40" w:lineRule="auto"/>
              <w:ind w:left="0" w:right="0" w:firstLine="220"/>
              <w:jc w:val="both"/>
              <w:rPr>
                <w:rFonts w:hint="eastAsia" w:ascii="宋体" w:hAnsi="宋体" w:eastAsia="宋体" w:cs="宋体"/>
                <w:sz w:val="18"/>
                <w:szCs w:val="18"/>
              </w:rPr>
            </w:pPr>
            <w:r>
              <w:rPr>
                <w:rStyle w:val="10"/>
                <w:rFonts w:hint="eastAsia" w:ascii="仿宋" w:hAnsi="仿宋" w:eastAsia="仿宋" w:cs="仿宋"/>
                <w:color w:val="000000"/>
                <w:sz w:val="22"/>
                <w:szCs w:val="22"/>
              </w:rPr>
              <w:t>2.2人员配置要求：供应商根据采购项目特性及要求，自行配置履行合同所必需的专业服务团队，自行组织实施与管理，相关人员经过严格培训，有相关工作经验，能够胜任项目工作，保证项目顺利实施。</w:t>
            </w:r>
          </w:p>
          <w:p w14:paraId="19091AA0">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40" w:lineRule="auto"/>
              <w:ind w:left="0" w:right="0" w:firstLine="220"/>
              <w:jc w:val="both"/>
              <w:rPr>
                <w:rFonts w:hint="eastAsia" w:ascii="宋体" w:hAnsi="宋体" w:eastAsia="宋体" w:cs="宋体"/>
                <w:sz w:val="18"/>
                <w:szCs w:val="18"/>
              </w:rPr>
            </w:pPr>
            <w:r>
              <w:rPr>
                <w:rStyle w:val="10"/>
                <w:rFonts w:hint="eastAsia" w:ascii="仿宋" w:hAnsi="仿宋" w:eastAsia="仿宋" w:cs="仿宋"/>
                <w:color w:val="000000"/>
                <w:sz w:val="22"/>
                <w:szCs w:val="22"/>
              </w:rPr>
              <w:t>2.3设施设备要求：供应商根据采购项目特性及要求，自行配置投入履行合同所必需的各类设施设备（不限于专业设备、辅助设备、工具、软件等），保证项目顺利实施。</w:t>
            </w:r>
          </w:p>
          <w:p w14:paraId="5A6BAA1C">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40" w:lineRule="auto"/>
              <w:ind w:left="0" w:right="0" w:firstLine="0"/>
              <w:jc w:val="left"/>
              <w:rPr>
                <w:rFonts w:hint="eastAsia" w:ascii="宋体" w:hAnsi="宋体" w:eastAsia="宋体" w:cs="宋体"/>
                <w:sz w:val="18"/>
                <w:szCs w:val="18"/>
              </w:rPr>
            </w:pPr>
            <w:r>
              <w:rPr>
                <w:rStyle w:val="10"/>
                <w:rFonts w:hint="eastAsia" w:ascii="仿宋" w:hAnsi="仿宋" w:eastAsia="仿宋" w:cs="仿宋"/>
                <w:color w:val="000000"/>
                <w:sz w:val="22"/>
                <w:szCs w:val="22"/>
              </w:rPr>
              <w:t>2.4本项目采购标的所属行业为:</w:t>
            </w:r>
            <w:r>
              <w:rPr>
                <w:rStyle w:val="10"/>
                <w:rFonts w:hint="eastAsia" w:ascii="仿宋" w:hAnsi="仿宋" w:eastAsia="仿宋" w:cs="仿宋"/>
                <w:color w:val="000000"/>
                <w:sz w:val="22"/>
                <w:szCs w:val="22"/>
                <w:u w:val="single"/>
              </w:rPr>
              <w:t> 工业 </w:t>
            </w:r>
            <w:r>
              <w:rPr>
                <w:rStyle w:val="10"/>
                <w:rFonts w:hint="eastAsia" w:ascii="仿宋" w:hAnsi="仿宋" w:eastAsia="仿宋" w:cs="仿宋"/>
                <w:color w:val="000000"/>
                <w:sz w:val="22"/>
                <w:szCs w:val="22"/>
              </w:rPr>
              <w:t>（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tc>
      </w:tr>
    </w:tbl>
    <w:p w14:paraId="3CDC4A87">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240" w:lineRule="auto"/>
        <w:ind w:left="0" w:right="0" w:firstLine="0"/>
        <w:jc w:val="left"/>
        <w:rPr>
          <w:rFonts w:hint="eastAsia" w:ascii="宋体" w:hAnsi="宋体" w:eastAsia="宋体" w:cs="宋体"/>
          <w:b/>
          <w:bCs/>
          <w:i w:val="0"/>
          <w:iCs w:val="0"/>
          <w:caps w:val="0"/>
          <w:color w:val="333333"/>
          <w:spacing w:val="0"/>
          <w:sz w:val="27"/>
          <w:szCs w:val="27"/>
        </w:rPr>
      </w:pPr>
      <w:r>
        <w:rPr>
          <w:rFonts w:hint="eastAsia" w:ascii="宋体" w:hAnsi="宋体" w:eastAsia="宋体" w:cs="宋体"/>
          <w:b/>
          <w:bCs/>
          <w:i w:val="0"/>
          <w:iCs w:val="0"/>
          <w:caps w:val="0"/>
          <w:color w:val="333333"/>
          <w:spacing w:val="0"/>
          <w:sz w:val="27"/>
          <w:szCs w:val="27"/>
          <w:shd w:val="clear" w:fill="FFFFFF"/>
        </w:rPr>
        <w:t>3.4商务要求</w:t>
      </w:r>
    </w:p>
    <w:p w14:paraId="3A31DA4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240" w:lineRule="auto"/>
        <w:ind w:left="0" w:right="0" w:firstLine="0"/>
        <w:jc w:val="left"/>
        <w:rPr>
          <w:rFonts w:hint="eastAsia" w:ascii="宋体" w:hAnsi="宋体" w:eastAsia="宋体" w:cs="宋体"/>
          <w:b/>
          <w:bCs/>
          <w:i w:val="0"/>
          <w:iCs w:val="0"/>
          <w:caps w:val="0"/>
          <w:color w:val="333333"/>
          <w:spacing w:val="0"/>
          <w:sz w:val="24"/>
          <w:szCs w:val="24"/>
        </w:rPr>
      </w:pPr>
      <w:r>
        <w:rPr>
          <w:rFonts w:hint="eastAsia" w:ascii="宋体" w:hAnsi="宋体" w:eastAsia="宋体" w:cs="宋体"/>
          <w:b/>
          <w:bCs/>
          <w:i w:val="0"/>
          <w:iCs w:val="0"/>
          <w:caps w:val="0"/>
          <w:color w:val="333333"/>
          <w:spacing w:val="0"/>
          <w:sz w:val="24"/>
          <w:szCs w:val="24"/>
          <w:shd w:val="clear" w:fill="FFFFFF"/>
        </w:rPr>
        <w:t>3.4.1交货时间</w:t>
      </w:r>
    </w:p>
    <w:p w14:paraId="2D02A252">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auto"/>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shd w:val="clear" w:fill="FFFFFF"/>
        </w:rPr>
        <w:t>采购包1：</w:t>
      </w:r>
    </w:p>
    <w:p w14:paraId="1AD29EBE">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auto"/>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shd w:val="clear" w:fill="FFFFFF"/>
        </w:rPr>
        <w:t>自合同签订生效之日起30日内完成供货、安装、调试、验收</w:t>
      </w:r>
    </w:p>
    <w:p w14:paraId="35BFAC7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240" w:lineRule="auto"/>
        <w:ind w:left="0" w:right="0" w:firstLine="0"/>
        <w:jc w:val="left"/>
        <w:rPr>
          <w:rFonts w:hint="eastAsia" w:ascii="宋体" w:hAnsi="宋体" w:eastAsia="宋体" w:cs="宋体"/>
          <w:b/>
          <w:bCs/>
          <w:i w:val="0"/>
          <w:iCs w:val="0"/>
          <w:caps w:val="0"/>
          <w:color w:val="333333"/>
          <w:spacing w:val="0"/>
          <w:sz w:val="24"/>
          <w:szCs w:val="24"/>
        </w:rPr>
      </w:pPr>
      <w:r>
        <w:rPr>
          <w:rFonts w:hint="eastAsia" w:ascii="宋体" w:hAnsi="宋体" w:eastAsia="宋体" w:cs="宋体"/>
          <w:b/>
          <w:bCs/>
          <w:i w:val="0"/>
          <w:iCs w:val="0"/>
          <w:caps w:val="0"/>
          <w:color w:val="333333"/>
          <w:spacing w:val="0"/>
          <w:sz w:val="24"/>
          <w:szCs w:val="24"/>
          <w:shd w:val="clear" w:fill="FFFFFF"/>
        </w:rPr>
        <w:t>3.4.2交货地点和方式</w:t>
      </w:r>
    </w:p>
    <w:p w14:paraId="32F30091">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auto"/>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shd w:val="clear" w:fill="FFFFFF"/>
        </w:rPr>
        <w:t>采购包1：</w:t>
      </w:r>
    </w:p>
    <w:p w14:paraId="23422001">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auto"/>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shd w:val="clear" w:fill="FFFFFF"/>
        </w:rPr>
        <w:t>西安市雁塔区第二小学(具体按采购人指定地点)</w:t>
      </w:r>
    </w:p>
    <w:p w14:paraId="52DA89E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240" w:lineRule="auto"/>
        <w:ind w:left="0" w:right="0" w:firstLine="0"/>
        <w:jc w:val="left"/>
        <w:rPr>
          <w:rFonts w:hint="eastAsia" w:ascii="宋体" w:hAnsi="宋体" w:eastAsia="宋体" w:cs="宋体"/>
          <w:b/>
          <w:bCs/>
          <w:i w:val="0"/>
          <w:iCs w:val="0"/>
          <w:caps w:val="0"/>
          <w:color w:val="333333"/>
          <w:spacing w:val="0"/>
          <w:sz w:val="24"/>
          <w:szCs w:val="24"/>
        </w:rPr>
      </w:pPr>
      <w:r>
        <w:rPr>
          <w:rFonts w:hint="eastAsia" w:ascii="宋体" w:hAnsi="宋体" w:eastAsia="宋体" w:cs="宋体"/>
          <w:b/>
          <w:bCs/>
          <w:i w:val="0"/>
          <w:iCs w:val="0"/>
          <w:caps w:val="0"/>
          <w:color w:val="333333"/>
          <w:spacing w:val="0"/>
          <w:sz w:val="24"/>
          <w:szCs w:val="24"/>
          <w:shd w:val="clear" w:fill="FFFFFF"/>
        </w:rPr>
        <w:t>3.4.3支付方式</w:t>
      </w:r>
    </w:p>
    <w:p w14:paraId="11A3661F">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auto"/>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shd w:val="clear" w:fill="FFFFFF"/>
        </w:rPr>
        <w:t>采购包1：</w:t>
      </w:r>
    </w:p>
    <w:p w14:paraId="758EDFF4">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auto"/>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shd w:val="clear" w:fill="FFFFFF"/>
        </w:rPr>
        <w:t>一次付清</w:t>
      </w:r>
    </w:p>
    <w:p w14:paraId="49BFBB7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240" w:lineRule="auto"/>
        <w:ind w:left="0" w:right="0" w:firstLine="0"/>
        <w:jc w:val="left"/>
        <w:rPr>
          <w:rFonts w:hint="eastAsia" w:ascii="宋体" w:hAnsi="宋体" w:eastAsia="宋体" w:cs="宋体"/>
          <w:b/>
          <w:bCs/>
          <w:i w:val="0"/>
          <w:iCs w:val="0"/>
          <w:caps w:val="0"/>
          <w:color w:val="333333"/>
          <w:spacing w:val="0"/>
          <w:sz w:val="24"/>
          <w:szCs w:val="24"/>
        </w:rPr>
      </w:pPr>
      <w:r>
        <w:rPr>
          <w:rFonts w:hint="eastAsia" w:ascii="宋体" w:hAnsi="宋体" w:eastAsia="宋体" w:cs="宋体"/>
          <w:b/>
          <w:bCs/>
          <w:i w:val="0"/>
          <w:iCs w:val="0"/>
          <w:caps w:val="0"/>
          <w:color w:val="333333"/>
          <w:spacing w:val="0"/>
          <w:sz w:val="24"/>
          <w:szCs w:val="24"/>
          <w:shd w:val="clear" w:fill="FFFFFF"/>
        </w:rPr>
        <w:t>3.4.4支付约定</w:t>
      </w:r>
    </w:p>
    <w:p w14:paraId="5DAAC0BE">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auto"/>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shd w:val="clear" w:fill="FFFFFF"/>
        </w:rPr>
        <w:t>采购包1：</w:t>
      </w:r>
    </w:p>
    <w:p w14:paraId="6C196B04">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auto"/>
        <w:ind w:left="0" w:right="0" w:firstLine="120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shd w:val="clear" w:fill="FFFFFF"/>
        </w:rPr>
        <w:t>1、 其他，所有货物交货完成，验收合格 (付款前成交供应商应出具等值发票交至采购人，采购人以银行转账方式支付；其他具体按拟签订采购合同相关条款执行后)，达到付款条件起10个工作日内，支付合同总金额的100.0%</w:t>
      </w:r>
    </w:p>
    <w:p w14:paraId="4451AAD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240" w:lineRule="auto"/>
        <w:ind w:left="0" w:right="0" w:firstLine="0"/>
        <w:jc w:val="left"/>
        <w:rPr>
          <w:rFonts w:hint="eastAsia" w:ascii="宋体" w:hAnsi="宋体" w:eastAsia="宋体" w:cs="宋体"/>
          <w:b/>
          <w:bCs/>
          <w:i w:val="0"/>
          <w:iCs w:val="0"/>
          <w:caps w:val="0"/>
          <w:color w:val="333333"/>
          <w:spacing w:val="0"/>
          <w:sz w:val="24"/>
          <w:szCs w:val="24"/>
        </w:rPr>
      </w:pPr>
      <w:r>
        <w:rPr>
          <w:rFonts w:hint="eastAsia" w:ascii="宋体" w:hAnsi="宋体" w:eastAsia="宋体" w:cs="宋体"/>
          <w:b/>
          <w:bCs/>
          <w:i w:val="0"/>
          <w:iCs w:val="0"/>
          <w:caps w:val="0"/>
          <w:color w:val="333333"/>
          <w:spacing w:val="0"/>
          <w:sz w:val="24"/>
          <w:szCs w:val="24"/>
          <w:shd w:val="clear" w:fill="FFFFFF"/>
        </w:rPr>
        <w:t>3.4.5验收标准和方法</w:t>
      </w:r>
    </w:p>
    <w:p w14:paraId="3074C6C1">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auto"/>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shd w:val="clear" w:fill="FFFFFF"/>
        </w:rPr>
        <w:t>采购包1：</w:t>
      </w:r>
    </w:p>
    <w:p w14:paraId="71CE8BB1">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auto"/>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shd w:val="clear" w:fill="FFFFFF"/>
        </w:rPr>
        <w:t>现行的国家标准或国家行政部门颁布的法律法规、规章制度等，是项目验收的重要依据。采购人根据有关规范、规定及项目要求对成交供应商所供货物（产品）或服务进行检查或验收，成交供应商须无条件的接受采购人检查或验收；若验收不通过或质量不合格，成交供应商应在一定期限进行整改完善，以采购人要求的标准提供合格的货物（产品）或服务；若成交供应商在接受检查整改后，仍不能提供符合采购要求的合格货物（产品）或服务，采购人有权按违约予以撤项并要求承包人承担相应的法律责任和经济损失。具体按拟定合同相关条款执行。</w:t>
      </w:r>
    </w:p>
    <w:p w14:paraId="6A81344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240" w:lineRule="auto"/>
        <w:ind w:left="0" w:right="0" w:firstLine="0"/>
        <w:jc w:val="left"/>
        <w:rPr>
          <w:rFonts w:hint="eastAsia" w:ascii="宋体" w:hAnsi="宋体" w:eastAsia="宋体" w:cs="宋体"/>
          <w:b/>
          <w:bCs/>
          <w:i w:val="0"/>
          <w:iCs w:val="0"/>
          <w:caps w:val="0"/>
          <w:color w:val="333333"/>
          <w:spacing w:val="0"/>
          <w:sz w:val="24"/>
          <w:szCs w:val="24"/>
        </w:rPr>
      </w:pPr>
      <w:r>
        <w:rPr>
          <w:rFonts w:hint="eastAsia" w:ascii="宋体" w:hAnsi="宋体" w:eastAsia="宋体" w:cs="宋体"/>
          <w:b/>
          <w:bCs/>
          <w:i w:val="0"/>
          <w:iCs w:val="0"/>
          <w:caps w:val="0"/>
          <w:color w:val="333333"/>
          <w:spacing w:val="0"/>
          <w:sz w:val="24"/>
          <w:szCs w:val="24"/>
          <w:shd w:val="clear" w:fill="FFFFFF"/>
        </w:rPr>
        <w:t>3.4.6包装方式及运输</w:t>
      </w:r>
    </w:p>
    <w:p w14:paraId="2B4FF042">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auto"/>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shd w:val="clear" w:fill="FFFFFF"/>
        </w:rPr>
        <w:t>采购包1：</w:t>
      </w:r>
    </w:p>
    <w:p w14:paraId="5B385384">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auto"/>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shd w:val="clear" w:fill="FFFFFF"/>
        </w:rPr>
        <w:t>涉及的商品包装和快递包装，均应符合《商品包装政府采购需求标准（试行）》《快递包装政府采购需求标准（试行）》的要求，包装应适应于远距离运输、防潮、防震、防锈和防野蛮装卸，以确保货物安全无损运抵指定地点。</w:t>
      </w:r>
    </w:p>
    <w:p w14:paraId="4611C75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240" w:lineRule="auto"/>
        <w:ind w:left="0" w:right="0" w:firstLine="0"/>
        <w:jc w:val="left"/>
        <w:rPr>
          <w:rFonts w:hint="eastAsia" w:ascii="宋体" w:hAnsi="宋体" w:eastAsia="宋体" w:cs="宋体"/>
          <w:b/>
          <w:bCs/>
          <w:i w:val="0"/>
          <w:iCs w:val="0"/>
          <w:caps w:val="0"/>
          <w:color w:val="333333"/>
          <w:spacing w:val="0"/>
          <w:sz w:val="24"/>
          <w:szCs w:val="24"/>
        </w:rPr>
      </w:pPr>
      <w:r>
        <w:rPr>
          <w:rFonts w:hint="eastAsia" w:ascii="宋体" w:hAnsi="宋体" w:eastAsia="宋体" w:cs="宋体"/>
          <w:b/>
          <w:bCs/>
          <w:i w:val="0"/>
          <w:iCs w:val="0"/>
          <w:caps w:val="0"/>
          <w:color w:val="333333"/>
          <w:spacing w:val="0"/>
          <w:sz w:val="24"/>
          <w:szCs w:val="24"/>
          <w:shd w:val="clear" w:fill="FFFFFF"/>
        </w:rPr>
        <w:t>3.4.7质量保修范围和保修期</w:t>
      </w:r>
    </w:p>
    <w:p w14:paraId="70421F73">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auto"/>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shd w:val="clear" w:fill="FFFFFF"/>
        </w:rPr>
        <w:t>采购包1：</w:t>
      </w:r>
    </w:p>
    <w:p w14:paraId="4BC3B58B">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auto"/>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shd w:val="clear" w:fill="FFFFFF"/>
        </w:rPr>
        <w:t>(一)本项目整体质保期≥12个月，供应商承诺超过采购文件要求的，按其承诺的质保期进行质保，质保期起始时间为终验合格之日。 (二)本项目合同履行期限为自合同签订之日起至质保期结束。中标人应保证在要求时间内完成全部供货、安装、调试、验收和培训工作(或其他伴随服务)等工作，并按其承诺的质量保修范围和内容(售后服务等)进行免费质保，且符合国家标准、行业规范和合同等相关文件的要求。</w:t>
      </w:r>
    </w:p>
    <w:p w14:paraId="1C2F71B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240" w:lineRule="auto"/>
        <w:ind w:left="0" w:right="0" w:firstLine="0"/>
        <w:jc w:val="left"/>
        <w:rPr>
          <w:rFonts w:hint="eastAsia" w:ascii="宋体" w:hAnsi="宋体" w:eastAsia="宋体" w:cs="宋体"/>
          <w:b/>
          <w:bCs/>
          <w:i w:val="0"/>
          <w:iCs w:val="0"/>
          <w:caps w:val="0"/>
          <w:color w:val="333333"/>
          <w:spacing w:val="0"/>
          <w:sz w:val="24"/>
          <w:szCs w:val="24"/>
        </w:rPr>
      </w:pPr>
      <w:r>
        <w:rPr>
          <w:rFonts w:hint="eastAsia" w:ascii="宋体" w:hAnsi="宋体" w:eastAsia="宋体" w:cs="宋体"/>
          <w:b/>
          <w:bCs/>
          <w:i w:val="0"/>
          <w:iCs w:val="0"/>
          <w:caps w:val="0"/>
          <w:color w:val="333333"/>
          <w:spacing w:val="0"/>
          <w:sz w:val="24"/>
          <w:szCs w:val="24"/>
          <w:shd w:val="clear" w:fill="FFFFFF"/>
        </w:rPr>
        <w:t>3.4.8违约责任及解决争议的方法</w:t>
      </w:r>
    </w:p>
    <w:p w14:paraId="79048017">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auto"/>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shd w:val="clear" w:fill="FFFFFF"/>
        </w:rPr>
        <w:t>采购包1：</w:t>
      </w:r>
    </w:p>
    <w:p w14:paraId="2F667408">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auto"/>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shd w:val="clear" w:fill="FFFFFF"/>
        </w:rPr>
        <w:t>具体按拟定合同相关条款执行。</w:t>
      </w:r>
    </w:p>
    <w:p w14:paraId="74FE9F9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240" w:lineRule="auto"/>
        <w:ind w:left="0" w:right="0" w:firstLine="0"/>
        <w:jc w:val="left"/>
        <w:rPr>
          <w:rFonts w:hint="eastAsia" w:ascii="宋体" w:hAnsi="宋体" w:eastAsia="宋体" w:cs="宋体"/>
          <w:b/>
          <w:bCs/>
          <w:i w:val="0"/>
          <w:iCs w:val="0"/>
          <w:caps w:val="0"/>
          <w:color w:val="333333"/>
          <w:spacing w:val="0"/>
          <w:sz w:val="24"/>
          <w:szCs w:val="24"/>
        </w:rPr>
      </w:pPr>
      <w:r>
        <w:rPr>
          <w:rFonts w:hint="eastAsia" w:ascii="宋体" w:hAnsi="宋体" w:eastAsia="宋体" w:cs="宋体"/>
          <w:b/>
          <w:bCs/>
          <w:i w:val="0"/>
          <w:iCs w:val="0"/>
          <w:caps w:val="0"/>
          <w:color w:val="333333"/>
          <w:spacing w:val="0"/>
          <w:sz w:val="24"/>
          <w:szCs w:val="24"/>
          <w:shd w:val="clear" w:fill="FFFFFF"/>
        </w:rPr>
        <w:t>3.5其他要求</w:t>
      </w:r>
    </w:p>
    <w:p w14:paraId="72D983AA">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auto"/>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shd w:val="clear" w:fill="FFFFFF"/>
        </w:rPr>
        <w:t>采购包1：</w:t>
      </w:r>
    </w:p>
    <w:p w14:paraId="29499372">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auto"/>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shd w:val="clear" w:fill="FFFFFF"/>
        </w:rPr>
        <w:t>(一)、谈判有效期 1.出现特殊情况需要延长谈判有效期的，采购代理机构或采购人可于谈判有效期满之前，以书面形式通知所有供应商延长谈判有效期。供应商应予书面答复，同意延长的，但不得要求或被允许修改其响应文件；供应商拒绝延长的，其响应文件失效。 2.在谈判有效期内，供应商撤销响应文件的，应承担响应文件和法律规定的责任。 3.成交供应商的谈判有效期自动延长至合同终止为止。 (二)、分公司独立参与谈判时，不能使用总公司的资质或业绩；总公司授权分公司或分支机构参与谈判，可以使用总公司的资质或业绩。总公司单独参与谈判时，可以使用分公司的业绩，在相关资质证书的管理要求和适用范围内可以使用分公司资质。 (三)、供应商的电子响应文件中的所有文字资料、图纸、数据、方案、证书、检测报告等响应内容应清晰可辨，表达意思统一，便于查找，供应商自行承担资料模糊不清、无法辨认的不利后果。 (四)、文件中签名是指：手写签名或加盖签名章（含电子章、印章、签名章），盖章是指加盖单位章（含电子章）。 (五)、恶意质疑、投诉的法律后果 1.对捏造事实、提供虚假材料进行质疑、投诉的行为将予以严肃处理： 《政府采购质疑和投诉办法》（财政部令第94号）规定，投诉人在全国范围内十二个月内三次以上投诉查无实据的，由财政部门列入不良行为记录名单。对于捏造事实或提供虚假材料或以非法手段取得证明材料（证据来源的合法性存在明显疑问，投诉人无法证明其取得方式合法的，视为以非法手段取得证明材料）进行投诉的，属于虚假、恶意投诉，由财政部门列入不良行为记录名单，并禁止其一至三年内参加政府采购活动。 2.对捏造事实诬告陷害他人、诽谤他人的法律适用： （1）《中华人民共和国刑法》第243条【诬告陷害罪】捏造事实诬告陷害他人，意图使他人受到刑事追究，情节严重的，处三年以下有期徒刑、拘役或者管制；造成严重后果的，处三年以上十年以下有期徒刑。 （2）《中华人民共和国刑法》第246条【侮辱罪、诽谤罪】以暴力或者其他方法公然侮辱他人或者捏造事实诽谤他人，情节严重的，处三年以下有期徒刑、拘役、管制或者剥夺政治权利。 (六)、参与本项目的供应商应通过陕西省政府采购综合管理平台的项目电子化交易系统在线实施报名、获取采购文件、响应、报价等操作，供应商无需现场提供纸质响应文件。但在中标（成交）后，中标（成交）供应商在领取中标（成交）通知书时需提供纸质响应文件两套用于备案，纸质响应文件应通过专用制作软件直接打印(自定单双面、黑白/彩色)，确保与项目电子化交易系统中的电子响应文件保持一致，不允许修改和补充。中标（成交）通知书领取地址：西安市雁塔区雁翔路111号赛格·中京坊6幢1（公寓A1）单元2层招标一部。</w:t>
      </w:r>
    </w:p>
    <w:p w14:paraId="1FE6D942">
      <w:pPr>
        <w:keepNext w:val="0"/>
        <w:keepLines w:val="0"/>
        <w:pageBreakBefore w:val="0"/>
        <w:kinsoku/>
        <w:overflowPunct/>
        <w:topLinePunct w:val="0"/>
        <w:autoSpaceDE/>
        <w:autoSpaceDN/>
        <w:bidi w:val="0"/>
        <w:adjustRightInd/>
        <w:snapToGrid/>
        <w:spacing w:line="240" w:lineRule="auto"/>
      </w:pPr>
      <w:r>
        <w:br w:type="page"/>
      </w:r>
    </w:p>
    <w:p w14:paraId="413A7FC5">
      <w:pPr>
        <w:pStyle w:val="11"/>
        <w:keepNext w:val="0"/>
        <w:keepLines w:val="0"/>
        <w:pageBreakBefore w:val="0"/>
        <w:widowControl/>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b/>
          <w:bCs/>
          <w:color w:val="000000"/>
          <w:sz w:val="24"/>
          <w:szCs w:val="24"/>
          <w:highlight w:val="none"/>
          <w:lang w:val="en-US" w:eastAsia="zh-CN"/>
        </w:rPr>
      </w:pPr>
      <w:r>
        <w:rPr>
          <w:rFonts w:hint="eastAsia" w:ascii="仿宋_GB2312" w:hAnsi="仿宋_GB2312" w:eastAsia="仿宋_GB2312" w:cs="仿宋_GB2312"/>
          <w:b/>
          <w:bCs/>
          <w:color w:val="000000"/>
          <w:sz w:val="24"/>
          <w:szCs w:val="24"/>
          <w:highlight w:val="none"/>
          <w:lang w:val="en-US" w:eastAsia="zh-CN"/>
        </w:rPr>
        <w:t>附件：</w:t>
      </w:r>
    </w:p>
    <w:p w14:paraId="47C25FBC">
      <w:pPr>
        <w:keepNext w:val="0"/>
        <w:keepLines w:val="0"/>
        <w:pageBreakBefore w:val="0"/>
        <w:kinsoku/>
        <w:overflowPunct/>
        <w:topLinePunct w:val="0"/>
        <w:autoSpaceDE/>
        <w:autoSpaceDN/>
        <w:bidi w:val="0"/>
        <w:adjustRightInd/>
        <w:snapToGrid/>
        <w:spacing w:line="240" w:lineRule="auto"/>
        <w:ind w:firstLine="422" w:firstLineChars="200"/>
        <w:jc w:val="center"/>
        <w:rPr>
          <w:rFonts w:hint="eastAsia" w:ascii="仿宋_GB2312" w:hAnsi="仿宋_GB2312" w:eastAsia="仿宋_GB2312" w:cs="仿宋_GB2312"/>
          <w:b/>
          <w:bCs/>
          <w:color w:val="000000"/>
          <w:sz w:val="24"/>
          <w:szCs w:val="24"/>
          <w:highlight w:val="none"/>
          <w:lang w:val="en-US" w:eastAsia="zh-CN"/>
        </w:rPr>
      </w:pPr>
      <w:r>
        <w:rPr>
          <w:rFonts w:hint="eastAsia" w:ascii="宋体" w:hAnsi="宋体" w:eastAsia="宋体" w:cs="宋体"/>
          <w:b/>
          <w:color w:val="000000"/>
          <w:sz w:val="21"/>
          <w:szCs w:val="21"/>
          <w:highlight w:val="none"/>
        </w:rPr>
        <w:t>网络设备改造及监控新增采购需求一览表</w:t>
      </w:r>
    </w:p>
    <w:tbl>
      <w:tblPr>
        <w:tblStyle w:val="8"/>
        <w:tblW w:w="5376" w:type="pct"/>
        <w:tblInd w:w="-274"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912"/>
        <w:gridCol w:w="1676"/>
        <w:gridCol w:w="5160"/>
        <w:gridCol w:w="927"/>
        <w:gridCol w:w="823"/>
      </w:tblGrid>
      <w:tr w14:paraId="668E38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9" w:hRule="atLeast"/>
        </w:trPr>
        <w:tc>
          <w:tcPr>
            <w:tcW w:w="5000" w:type="pct"/>
            <w:gridSpan w:val="5"/>
            <w:tcBorders>
              <w:top w:val="single" w:color="000000" w:sz="4" w:space="0"/>
              <w:left w:val="single" w:color="000000" w:sz="4" w:space="0"/>
              <w:bottom w:val="single" w:color="000000" w:sz="4" w:space="0"/>
              <w:right w:val="single" w:color="000000" w:sz="4" w:space="0"/>
            </w:tcBorders>
            <w:noWrap/>
            <w:vAlign w:val="center"/>
          </w:tcPr>
          <w:p w14:paraId="153F0275">
            <w:pPr>
              <w:keepNext w:val="0"/>
              <w:keepLines w:val="0"/>
              <w:pageBreakBefore w:val="0"/>
              <w:widowControl/>
              <w:suppressLineNumbers w:val="0"/>
              <w:kinsoku/>
              <w:overflowPunct/>
              <w:topLinePunct w:val="0"/>
              <w:autoSpaceDE/>
              <w:autoSpaceDN/>
              <w:bidi w:val="0"/>
              <w:adjustRightInd/>
              <w:snapToGrid/>
              <w:spacing w:line="240" w:lineRule="auto"/>
              <w:jc w:val="center"/>
              <w:textAlignment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kern w:val="0"/>
                <w:sz w:val="22"/>
                <w:szCs w:val="22"/>
                <w:highlight w:val="none"/>
                <w:u w:val="none"/>
                <w:lang w:val="en-US" w:eastAsia="zh-CN" w:bidi="ar"/>
              </w:rPr>
              <w:t xml:space="preserve">一、网络设备换新   </w:t>
            </w:r>
          </w:p>
        </w:tc>
      </w:tr>
      <w:tr w14:paraId="1BB372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4"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6C1CACFD">
            <w:pPr>
              <w:keepNext w:val="0"/>
              <w:keepLines w:val="0"/>
              <w:pageBreakBefore w:val="0"/>
              <w:widowControl/>
              <w:suppressLineNumbers w:val="0"/>
              <w:kinsoku/>
              <w:overflowPunct/>
              <w:topLinePunct w:val="0"/>
              <w:autoSpaceDE/>
              <w:autoSpaceDN/>
              <w:bidi w:val="0"/>
              <w:adjustRightInd/>
              <w:snapToGrid/>
              <w:spacing w:line="240" w:lineRule="auto"/>
              <w:jc w:val="center"/>
              <w:textAlignment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kern w:val="0"/>
                <w:sz w:val="22"/>
                <w:szCs w:val="22"/>
                <w:highlight w:val="none"/>
                <w:u w:val="none"/>
                <w:lang w:val="en-US" w:eastAsia="zh-CN" w:bidi="ar"/>
              </w:rPr>
              <w:t>序号</w:t>
            </w:r>
          </w:p>
        </w:tc>
        <w:tc>
          <w:tcPr>
            <w:tcW w:w="882" w:type="pct"/>
            <w:tcBorders>
              <w:top w:val="single" w:color="000000" w:sz="4" w:space="0"/>
              <w:left w:val="single" w:color="000000" w:sz="4" w:space="0"/>
              <w:bottom w:val="single" w:color="000000" w:sz="4" w:space="0"/>
              <w:right w:val="single" w:color="000000" w:sz="4" w:space="0"/>
            </w:tcBorders>
            <w:noWrap w:val="0"/>
            <w:vAlign w:val="center"/>
          </w:tcPr>
          <w:p w14:paraId="3C0EAE56">
            <w:pPr>
              <w:keepNext w:val="0"/>
              <w:keepLines w:val="0"/>
              <w:pageBreakBefore w:val="0"/>
              <w:widowControl/>
              <w:suppressLineNumbers w:val="0"/>
              <w:kinsoku/>
              <w:overflowPunct/>
              <w:topLinePunct w:val="0"/>
              <w:autoSpaceDE/>
              <w:autoSpaceDN/>
              <w:bidi w:val="0"/>
              <w:adjustRightInd/>
              <w:snapToGrid/>
              <w:spacing w:line="240" w:lineRule="auto"/>
              <w:jc w:val="center"/>
              <w:textAlignment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kern w:val="0"/>
                <w:sz w:val="22"/>
                <w:szCs w:val="22"/>
                <w:highlight w:val="none"/>
                <w:u w:val="none"/>
                <w:lang w:val="en-US" w:eastAsia="zh-CN" w:bidi="ar"/>
              </w:rPr>
              <w:t>名称</w:t>
            </w:r>
          </w:p>
        </w:tc>
        <w:tc>
          <w:tcPr>
            <w:tcW w:w="2716" w:type="pct"/>
            <w:tcBorders>
              <w:top w:val="single" w:color="000000" w:sz="4" w:space="0"/>
              <w:left w:val="single" w:color="000000" w:sz="4" w:space="0"/>
              <w:bottom w:val="single" w:color="000000" w:sz="4" w:space="0"/>
              <w:right w:val="single" w:color="000000" w:sz="4" w:space="0"/>
            </w:tcBorders>
            <w:noWrap w:val="0"/>
            <w:vAlign w:val="center"/>
          </w:tcPr>
          <w:p w14:paraId="7E915CF5">
            <w:pPr>
              <w:keepNext w:val="0"/>
              <w:keepLines w:val="0"/>
              <w:pageBreakBefore w:val="0"/>
              <w:widowControl/>
              <w:suppressLineNumbers w:val="0"/>
              <w:kinsoku/>
              <w:overflowPunct/>
              <w:topLinePunct w:val="0"/>
              <w:autoSpaceDE/>
              <w:autoSpaceDN/>
              <w:bidi w:val="0"/>
              <w:adjustRightInd/>
              <w:snapToGrid/>
              <w:spacing w:line="240" w:lineRule="auto"/>
              <w:jc w:val="center"/>
              <w:textAlignment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kern w:val="0"/>
                <w:sz w:val="22"/>
                <w:szCs w:val="22"/>
                <w:highlight w:val="none"/>
                <w:u w:val="none"/>
                <w:lang w:val="en-US" w:eastAsia="zh-CN" w:bidi="ar"/>
              </w:rPr>
              <w:t>参数要求</w:t>
            </w:r>
          </w:p>
        </w:tc>
        <w:tc>
          <w:tcPr>
            <w:tcW w:w="487" w:type="pct"/>
            <w:tcBorders>
              <w:top w:val="single" w:color="000000" w:sz="4" w:space="0"/>
              <w:left w:val="single" w:color="000000" w:sz="4" w:space="0"/>
              <w:bottom w:val="single" w:color="000000" w:sz="4" w:space="0"/>
              <w:right w:val="single" w:color="000000" w:sz="4" w:space="0"/>
            </w:tcBorders>
            <w:noWrap w:val="0"/>
            <w:vAlign w:val="center"/>
          </w:tcPr>
          <w:p w14:paraId="09ACDA1A">
            <w:pPr>
              <w:keepNext w:val="0"/>
              <w:keepLines w:val="0"/>
              <w:pageBreakBefore w:val="0"/>
              <w:widowControl/>
              <w:suppressLineNumbers w:val="0"/>
              <w:kinsoku/>
              <w:overflowPunct/>
              <w:topLinePunct w:val="0"/>
              <w:autoSpaceDE/>
              <w:autoSpaceDN/>
              <w:bidi w:val="0"/>
              <w:adjustRightInd/>
              <w:snapToGrid/>
              <w:spacing w:line="240" w:lineRule="auto"/>
              <w:jc w:val="center"/>
              <w:textAlignment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kern w:val="0"/>
                <w:sz w:val="22"/>
                <w:szCs w:val="22"/>
                <w:highlight w:val="none"/>
                <w:u w:val="none"/>
                <w:lang w:val="en-US" w:eastAsia="zh-CN" w:bidi="ar"/>
              </w:rPr>
              <w:t>单位</w:t>
            </w:r>
          </w:p>
        </w:tc>
        <w:tc>
          <w:tcPr>
            <w:tcW w:w="433" w:type="pct"/>
            <w:tcBorders>
              <w:top w:val="single" w:color="000000" w:sz="4" w:space="0"/>
              <w:left w:val="single" w:color="000000" w:sz="4" w:space="0"/>
              <w:bottom w:val="single" w:color="000000" w:sz="4" w:space="0"/>
              <w:right w:val="single" w:color="000000" w:sz="4" w:space="0"/>
            </w:tcBorders>
            <w:noWrap w:val="0"/>
            <w:vAlign w:val="center"/>
          </w:tcPr>
          <w:p w14:paraId="2E9E88E4">
            <w:pPr>
              <w:keepNext w:val="0"/>
              <w:keepLines w:val="0"/>
              <w:pageBreakBefore w:val="0"/>
              <w:widowControl/>
              <w:suppressLineNumbers w:val="0"/>
              <w:kinsoku/>
              <w:overflowPunct/>
              <w:topLinePunct w:val="0"/>
              <w:autoSpaceDE/>
              <w:autoSpaceDN/>
              <w:bidi w:val="0"/>
              <w:adjustRightInd/>
              <w:snapToGrid/>
              <w:spacing w:line="240" w:lineRule="auto"/>
              <w:jc w:val="center"/>
              <w:textAlignment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kern w:val="0"/>
                <w:sz w:val="22"/>
                <w:szCs w:val="22"/>
                <w:highlight w:val="none"/>
                <w:u w:val="none"/>
                <w:lang w:val="en-US" w:eastAsia="zh-CN" w:bidi="ar"/>
              </w:rPr>
              <w:t>数量</w:t>
            </w:r>
          </w:p>
        </w:tc>
      </w:tr>
      <w:tr w14:paraId="79B584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4CF7A556">
            <w:pPr>
              <w:keepNext w:val="0"/>
              <w:keepLines w:val="0"/>
              <w:pageBreakBefore w:val="0"/>
              <w:widowControl/>
              <w:suppressLineNumbers w:val="0"/>
              <w:kinsoku/>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w:t>
            </w:r>
          </w:p>
        </w:tc>
        <w:tc>
          <w:tcPr>
            <w:tcW w:w="882" w:type="pct"/>
            <w:tcBorders>
              <w:top w:val="single" w:color="000000" w:sz="4" w:space="0"/>
              <w:left w:val="single" w:color="000000" w:sz="4" w:space="0"/>
              <w:bottom w:val="single" w:color="000000" w:sz="4" w:space="0"/>
              <w:right w:val="single" w:color="000000" w:sz="4" w:space="0"/>
            </w:tcBorders>
            <w:noWrap w:val="0"/>
            <w:vAlign w:val="center"/>
          </w:tcPr>
          <w:p w14:paraId="33D6B2A7">
            <w:pPr>
              <w:keepNext w:val="0"/>
              <w:keepLines w:val="0"/>
              <w:pageBreakBefore w:val="0"/>
              <w:widowControl/>
              <w:suppressLineNumbers w:val="0"/>
              <w:kinsoku/>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网关</w:t>
            </w:r>
          </w:p>
        </w:tc>
        <w:tc>
          <w:tcPr>
            <w:tcW w:w="2716" w:type="pct"/>
            <w:tcBorders>
              <w:top w:val="single" w:color="000000" w:sz="4" w:space="0"/>
              <w:left w:val="single" w:color="000000" w:sz="4" w:space="0"/>
              <w:bottom w:val="single" w:color="000000" w:sz="4" w:space="0"/>
              <w:right w:val="single" w:color="000000" w:sz="4" w:space="0"/>
            </w:tcBorders>
            <w:noWrap w:val="0"/>
            <w:vAlign w:val="center"/>
          </w:tcPr>
          <w:p w14:paraId="08C069D1">
            <w:pPr>
              <w:keepNext w:val="0"/>
              <w:keepLines w:val="0"/>
              <w:pageBreakBefore w:val="0"/>
              <w:widowControl/>
              <w:suppressLineNumbers w:val="0"/>
              <w:kinsoku/>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1.★支持千兆电口≥8个，千兆光口≥2个，万兆光口≥2个。</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2.支持带机终端≥1000台。</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3.支持并发隧道数≥600，支持Web认证、本地服务器认证。</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4.支持应用流控、支持整网管理应用会话抑制、应用流控、应用控制、URL阻断，支持应用路由、策略路由等多类型路由，支持云平台与移动端管理。</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5.支持硬盘扩展 ，支持威胁情报库授权。</w:t>
            </w:r>
          </w:p>
        </w:tc>
        <w:tc>
          <w:tcPr>
            <w:tcW w:w="487" w:type="pct"/>
            <w:tcBorders>
              <w:top w:val="single" w:color="000000" w:sz="4" w:space="0"/>
              <w:left w:val="single" w:color="000000" w:sz="4" w:space="0"/>
              <w:bottom w:val="single" w:color="000000" w:sz="4" w:space="0"/>
              <w:right w:val="single" w:color="000000" w:sz="4" w:space="0"/>
            </w:tcBorders>
            <w:noWrap w:val="0"/>
            <w:vAlign w:val="center"/>
          </w:tcPr>
          <w:p w14:paraId="3F13B4B3">
            <w:pPr>
              <w:keepNext w:val="0"/>
              <w:keepLines w:val="0"/>
              <w:pageBreakBefore w:val="0"/>
              <w:widowControl/>
              <w:suppressLineNumbers w:val="0"/>
              <w:kinsoku/>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w:t>
            </w:r>
          </w:p>
        </w:tc>
        <w:tc>
          <w:tcPr>
            <w:tcW w:w="433" w:type="pct"/>
            <w:tcBorders>
              <w:top w:val="single" w:color="000000" w:sz="4" w:space="0"/>
              <w:left w:val="single" w:color="000000" w:sz="4" w:space="0"/>
              <w:bottom w:val="single" w:color="000000" w:sz="4" w:space="0"/>
              <w:right w:val="single" w:color="000000" w:sz="4" w:space="0"/>
            </w:tcBorders>
            <w:noWrap w:val="0"/>
            <w:vAlign w:val="center"/>
          </w:tcPr>
          <w:p w14:paraId="4A645D84">
            <w:pPr>
              <w:keepNext w:val="0"/>
              <w:keepLines w:val="0"/>
              <w:pageBreakBefore w:val="0"/>
              <w:widowControl/>
              <w:suppressLineNumbers w:val="0"/>
              <w:kinsoku/>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台</w:t>
            </w:r>
          </w:p>
        </w:tc>
      </w:tr>
      <w:tr w14:paraId="34CC6B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8" w:hRule="atLeast"/>
        </w:trPr>
        <w:tc>
          <w:tcPr>
            <w:tcW w:w="480" w:type="pct"/>
            <w:vMerge w:val="restart"/>
            <w:tcBorders>
              <w:top w:val="single" w:color="000000" w:sz="4" w:space="0"/>
              <w:left w:val="single" w:color="000000" w:sz="4" w:space="0"/>
              <w:bottom w:val="single" w:color="000000" w:sz="4" w:space="0"/>
              <w:right w:val="single" w:color="000000" w:sz="4" w:space="0"/>
            </w:tcBorders>
            <w:noWrap w:val="0"/>
            <w:vAlign w:val="center"/>
          </w:tcPr>
          <w:p w14:paraId="077FA02F">
            <w:pPr>
              <w:keepNext w:val="0"/>
              <w:keepLines w:val="0"/>
              <w:pageBreakBefore w:val="0"/>
              <w:widowControl/>
              <w:suppressLineNumbers w:val="0"/>
              <w:kinsoku/>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2</w:t>
            </w:r>
          </w:p>
        </w:tc>
        <w:tc>
          <w:tcPr>
            <w:tcW w:w="882" w:type="pct"/>
            <w:vMerge w:val="restart"/>
            <w:tcBorders>
              <w:top w:val="single" w:color="000000" w:sz="4" w:space="0"/>
              <w:left w:val="single" w:color="000000" w:sz="4" w:space="0"/>
              <w:bottom w:val="single" w:color="000000" w:sz="4" w:space="0"/>
              <w:right w:val="single" w:color="000000" w:sz="4" w:space="0"/>
            </w:tcBorders>
            <w:noWrap w:val="0"/>
            <w:vAlign w:val="center"/>
          </w:tcPr>
          <w:p w14:paraId="75ABAA21">
            <w:pPr>
              <w:keepNext w:val="0"/>
              <w:keepLines w:val="0"/>
              <w:pageBreakBefore w:val="0"/>
              <w:widowControl/>
              <w:suppressLineNumbers w:val="0"/>
              <w:kinsoku/>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防火墙</w:t>
            </w:r>
          </w:p>
        </w:tc>
        <w:tc>
          <w:tcPr>
            <w:tcW w:w="2716" w:type="pct"/>
            <w:tcBorders>
              <w:top w:val="single" w:color="000000" w:sz="4" w:space="0"/>
              <w:left w:val="single" w:color="000000" w:sz="4" w:space="0"/>
              <w:bottom w:val="single" w:color="000000" w:sz="4" w:space="0"/>
              <w:right w:val="single" w:color="000000" w:sz="4" w:space="0"/>
            </w:tcBorders>
            <w:noWrap w:val="0"/>
            <w:vAlign w:val="center"/>
          </w:tcPr>
          <w:p w14:paraId="3980A23A">
            <w:pPr>
              <w:keepNext w:val="0"/>
              <w:keepLines w:val="0"/>
              <w:pageBreakBefore w:val="0"/>
              <w:widowControl/>
              <w:suppressLineNumbers w:val="0"/>
              <w:kinsoku/>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1.产品千兆电口≥8个；千兆光口数量≥2个；万兆光口数量≥4个。</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2.产品扩展槽≥2个；1U高度，电源数量≥1个。</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3.支持扩展热插拔冗余电源。</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4.支持扩展≥1T企业级硬盘。</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5.支持云平台/移动端管理。</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6.支持授权提供1年入侵防御、防病毒、应用识别特征库升级。</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7.IPv4性能要求：万兆吞吐量≥3Gbps。</w:t>
            </w:r>
          </w:p>
        </w:tc>
        <w:tc>
          <w:tcPr>
            <w:tcW w:w="487" w:type="pct"/>
            <w:tcBorders>
              <w:top w:val="single" w:color="000000" w:sz="4" w:space="0"/>
              <w:left w:val="single" w:color="000000" w:sz="4" w:space="0"/>
              <w:bottom w:val="single" w:color="000000" w:sz="4" w:space="0"/>
              <w:right w:val="single" w:color="000000" w:sz="4" w:space="0"/>
            </w:tcBorders>
            <w:noWrap w:val="0"/>
            <w:vAlign w:val="center"/>
          </w:tcPr>
          <w:p w14:paraId="1ABA4765">
            <w:pPr>
              <w:keepNext w:val="0"/>
              <w:keepLines w:val="0"/>
              <w:pageBreakBefore w:val="0"/>
              <w:widowControl/>
              <w:suppressLineNumbers w:val="0"/>
              <w:kinsoku/>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w:t>
            </w:r>
          </w:p>
        </w:tc>
        <w:tc>
          <w:tcPr>
            <w:tcW w:w="433" w:type="pct"/>
            <w:tcBorders>
              <w:top w:val="single" w:color="000000" w:sz="4" w:space="0"/>
              <w:left w:val="single" w:color="000000" w:sz="4" w:space="0"/>
              <w:bottom w:val="single" w:color="000000" w:sz="4" w:space="0"/>
              <w:right w:val="single" w:color="000000" w:sz="4" w:space="0"/>
            </w:tcBorders>
            <w:noWrap w:val="0"/>
            <w:vAlign w:val="center"/>
          </w:tcPr>
          <w:p w14:paraId="20D91AFE">
            <w:pPr>
              <w:keepNext w:val="0"/>
              <w:keepLines w:val="0"/>
              <w:pageBreakBefore w:val="0"/>
              <w:widowControl/>
              <w:suppressLineNumbers w:val="0"/>
              <w:kinsoku/>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台</w:t>
            </w:r>
          </w:p>
        </w:tc>
      </w:tr>
      <w:tr w14:paraId="409317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480" w:type="pct"/>
            <w:vMerge w:val="continue"/>
            <w:tcBorders>
              <w:top w:val="single" w:color="000000" w:sz="4" w:space="0"/>
              <w:left w:val="single" w:color="000000" w:sz="4" w:space="0"/>
              <w:bottom w:val="single" w:color="000000" w:sz="4" w:space="0"/>
              <w:right w:val="single" w:color="000000" w:sz="4" w:space="0"/>
            </w:tcBorders>
            <w:noWrap w:val="0"/>
            <w:vAlign w:val="center"/>
          </w:tcPr>
          <w:p w14:paraId="4AE867D0">
            <w:pPr>
              <w:keepNext w:val="0"/>
              <w:keepLines w:val="0"/>
              <w:pageBreakBefore w:val="0"/>
              <w:kinsoku/>
              <w:overflowPunct/>
              <w:topLinePunct w:val="0"/>
              <w:autoSpaceDE/>
              <w:autoSpaceDN/>
              <w:bidi w:val="0"/>
              <w:adjustRightInd/>
              <w:snapToGrid/>
              <w:spacing w:line="240" w:lineRule="auto"/>
              <w:jc w:val="center"/>
              <w:rPr>
                <w:rFonts w:hint="eastAsia" w:ascii="宋体" w:hAnsi="宋体" w:eastAsia="宋体" w:cs="宋体"/>
                <w:i w:val="0"/>
                <w:iCs w:val="0"/>
                <w:color w:val="000000"/>
                <w:sz w:val="22"/>
                <w:szCs w:val="22"/>
                <w:highlight w:val="none"/>
                <w:u w:val="none"/>
              </w:rPr>
            </w:pPr>
          </w:p>
        </w:tc>
        <w:tc>
          <w:tcPr>
            <w:tcW w:w="882" w:type="pct"/>
            <w:vMerge w:val="continue"/>
            <w:tcBorders>
              <w:top w:val="single" w:color="000000" w:sz="4" w:space="0"/>
              <w:left w:val="single" w:color="000000" w:sz="4" w:space="0"/>
              <w:bottom w:val="single" w:color="000000" w:sz="4" w:space="0"/>
              <w:right w:val="single" w:color="000000" w:sz="4" w:space="0"/>
            </w:tcBorders>
            <w:noWrap w:val="0"/>
            <w:vAlign w:val="center"/>
          </w:tcPr>
          <w:p w14:paraId="2FD8A98D">
            <w:pPr>
              <w:keepNext w:val="0"/>
              <w:keepLines w:val="0"/>
              <w:pageBreakBefore w:val="0"/>
              <w:kinsoku/>
              <w:overflowPunct/>
              <w:topLinePunct w:val="0"/>
              <w:autoSpaceDE/>
              <w:autoSpaceDN/>
              <w:bidi w:val="0"/>
              <w:adjustRightInd/>
              <w:snapToGrid/>
              <w:spacing w:line="240" w:lineRule="auto"/>
              <w:jc w:val="center"/>
              <w:rPr>
                <w:rFonts w:hint="eastAsia" w:ascii="宋体" w:hAnsi="宋体" w:eastAsia="宋体" w:cs="宋体"/>
                <w:i w:val="0"/>
                <w:iCs w:val="0"/>
                <w:color w:val="000000"/>
                <w:sz w:val="22"/>
                <w:szCs w:val="22"/>
                <w:highlight w:val="none"/>
                <w:u w:val="none"/>
              </w:rPr>
            </w:pPr>
          </w:p>
        </w:tc>
        <w:tc>
          <w:tcPr>
            <w:tcW w:w="2716" w:type="pct"/>
            <w:tcBorders>
              <w:top w:val="single" w:color="000000" w:sz="4" w:space="0"/>
              <w:left w:val="single" w:color="000000" w:sz="4" w:space="0"/>
              <w:bottom w:val="single" w:color="000000" w:sz="4" w:space="0"/>
              <w:right w:val="single" w:color="000000" w:sz="4" w:space="0"/>
            </w:tcBorders>
            <w:noWrap w:val="0"/>
            <w:vAlign w:val="center"/>
          </w:tcPr>
          <w:p w14:paraId="51592C4E">
            <w:pPr>
              <w:keepNext w:val="0"/>
              <w:keepLines w:val="0"/>
              <w:pageBreakBefore w:val="0"/>
              <w:widowControl/>
              <w:suppressLineNumbers w:val="0"/>
              <w:kinsoku/>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入侵防御、防病毒、应用识别特征库三合一授权，每个授权提供1年入侵防御、防病毒、应用识别特征库升级。</w:t>
            </w:r>
          </w:p>
        </w:tc>
        <w:tc>
          <w:tcPr>
            <w:tcW w:w="487" w:type="pct"/>
            <w:tcBorders>
              <w:top w:val="single" w:color="000000" w:sz="4" w:space="0"/>
              <w:left w:val="single" w:color="000000" w:sz="4" w:space="0"/>
              <w:bottom w:val="single" w:color="000000" w:sz="4" w:space="0"/>
              <w:right w:val="single" w:color="000000" w:sz="4" w:space="0"/>
            </w:tcBorders>
            <w:noWrap w:val="0"/>
            <w:vAlign w:val="center"/>
          </w:tcPr>
          <w:p w14:paraId="5DA2C974">
            <w:pPr>
              <w:keepNext w:val="0"/>
              <w:keepLines w:val="0"/>
              <w:pageBreakBefore w:val="0"/>
              <w:widowControl/>
              <w:suppressLineNumbers w:val="0"/>
              <w:kinsoku/>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w:t>
            </w:r>
          </w:p>
        </w:tc>
        <w:tc>
          <w:tcPr>
            <w:tcW w:w="433" w:type="pct"/>
            <w:tcBorders>
              <w:top w:val="single" w:color="000000" w:sz="4" w:space="0"/>
              <w:left w:val="single" w:color="000000" w:sz="4" w:space="0"/>
              <w:bottom w:val="single" w:color="000000" w:sz="4" w:space="0"/>
              <w:right w:val="single" w:color="000000" w:sz="4" w:space="0"/>
            </w:tcBorders>
            <w:noWrap w:val="0"/>
            <w:vAlign w:val="center"/>
          </w:tcPr>
          <w:p w14:paraId="118273D2">
            <w:pPr>
              <w:keepNext w:val="0"/>
              <w:keepLines w:val="0"/>
              <w:pageBreakBefore w:val="0"/>
              <w:widowControl/>
              <w:suppressLineNumbers w:val="0"/>
              <w:kinsoku/>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套</w:t>
            </w:r>
          </w:p>
        </w:tc>
      </w:tr>
      <w:tr w14:paraId="2F573B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46" w:hRule="atLeast"/>
        </w:trPr>
        <w:tc>
          <w:tcPr>
            <w:tcW w:w="480" w:type="pct"/>
            <w:vMerge w:val="restart"/>
            <w:tcBorders>
              <w:top w:val="single" w:color="000000" w:sz="4" w:space="0"/>
              <w:left w:val="single" w:color="000000" w:sz="4" w:space="0"/>
              <w:bottom w:val="single" w:color="000000" w:sz="4" w:space="0"/>
              <w:right w:val="single" w:color="000000" w:sz="4" w:space="0"/>
            </w:tcBorders>
            <w:noWrap w:val="0"/>
            <w:vAlign w:val="center"/>
          </w:tcPr>
          <w:p w14:paraId="50263863">
            <w:pPr>
              <w:keepNext w:val="0"/>
              <w:keepLines w:val="0"/>
              <w:pageBreakBefore w:val="0"/>
              <w:widowControl/>
              <w:suppressLineNumbers w:val="0"/>
              <w:kinsoku/>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3</w:t>
            </w:r>
          </w:p>
        </w:tc>
        <w:tc>
          <w:tcPr>
            <w:tcW w:w="882" w:type="pct"/>
            <w:vMerge w:val="restart"/>
            <w:tcBorders>
              <w:top w:val="single" w:color="000000" w:sz="4" w:space="0"/>
              <w:left w:val="single" w:color="000000" w:sz="4" w:space="0"/>
              <w:bottom w:val="single" w:color="000000" w:sz="4" w:space="0"/>
              <w:right w:val="single" w:color="000000" w:sz="4" w:space="0"/>
            </w:tcBorders>
            <w:noWrap w:val="0"/>
            <w:vAlign w:val="center"/>
          </w:tcPr>
          <w:p w14:paraId="57F1CF3D">
            <w:pPr>
              <w:keepNext w:val="0"/>
              <w:keepLines w:val="0"/>
              <w:pageBreakBefore w:val="0"/>
              <w:widowControl/>
              <w:suppressLineNumbers w:val="0"/>
              <w:kinsoku/>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行为审计</w:t>
            </w:r>
          </w:p>
        </w:tc>
        <w:tc>
          <w:tcPr>
            <w:tcW w:w="2716" w:type="pct"/>
            <w:tcBorders>
              <w:top w:val="single" w:color="000000" w:sz="4" w:space="0"/>
              <w:left w:val="single" w:color="000000" w:sz="4" w:space="0"/>
              <w:bottom w:val="single" w:color="000000" w:sz="4" w:space="0"/>
              <w:right w:val="single" w:color="000000" w:sz="4" w:space="0"/>
            </w:tcBorders>
            <w:noWrap w:val="0"/>
            <w:vAlign w:val="center"/>
          </w:tcPr>
          <w:p w14:paraId="7B2B9874">
            <w:pPr>
              <w:keepNext w:val="0"/>
              <w:keepLines w:val="0"/>
              <w:pageBreakBefore w:val="0"/>
              <w:widowControl/>
              <w:suppressLineNumbers w:val="0"/>
              <w:kinsoku/>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1.整机支持≥6个千兆电口，≥2个千兆光口，≥2个万兆光口。         </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 xml:space="preserve">★2.支持≥1TB的硬盘存储。                                                                                                                      </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3.设备最大吞吐≥1Gbps，全功能开启适用审计带宽≥100Mbps，整机最大支持并发连接数≥50万，整机每秒新建连接数≥7000/秒。</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 xml:space="preserve">4.支持自定义设置识别方式的可信度；支持再次违规，多倍惩罚；支持旁路防共享。         </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 xml:space="preserve">5.并支持指定静态ARP；支持Web管理IPv6邻居表查看，并支持指定静态。 </w:t>
            </w:r>
          </w:p>
        </w:tc>
        <w:tc>
          <w:tcPr>
            <w:tcW w:w="487" w:type="pct"/>
            <w:tcBorders>
              <w:top w:val="single" w:color="000000" w:sz="4" w:space="0"/>
              <w:left w:val="single" w:color="000000" w:sz="4" w:space="0"/>
              <w:bottom w:val="single" w:color="000000" w:sz="4" w:space="0"/>
              <w:right w:val="single" w:color="000000" w:sz="4" w:space="0"/>
            </w:tcBorders>
            <w:noWrap w:val="0"/>
            <w:vAlign w:val="center"/>
          </w:tcPr>
          <w:p w14:paraId="68A7977F">
            <w:pPr>
              <w:keepNext w:val="0"/>
              <w:keepLines w:val="0"/>
              <w:pageBreakBefore w:val="0"/>
              <w:widowControl/>
              <w:suppressLineNumbers w:val="0"/>
              <w:kinsoku/>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w:t>
            </w:r>
          </w:p>
        </w:tc>
        <w:tc>
          <w:tcPr>
            <w:tcW w:w="433" w:type="pct"/>
            <w:tcBorders>
              <w:top w:val="single" w:color="000000" w:sz="4" w:space="0"/>
              <w:left w:val="single" w:color="000000" w:sz="4" w:space="0"/>
              <w:bottom w:val="single" w:color="000000" w:sz="4" w:space="0"/>
              <w:right w:val="single" w:color="000000" w:sz="4" w:space="0"/>
            </w:tcBorders>
            <w:noWrap w:val="0"/>
            <w:vAlign w:val="center"/>
          </w:tcPr>
          <w:p w14:paraId="7D080A37">
            <w:pPr>
              <w:keepNext w:val="0"/>
              <w:keepLines w:val="0"/>
              <w:pageBreakBefore w:val="0"/>
              <w:widowControl/>
              <w:suppressLineNumbers w:val="0"/>
              <w:kinsoku/>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台</w:t>
            </w:r>
          </w:p>
        </w:tc>
      </w:tr>
      <w:tr w14:paraId="09BDA4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480" w:type="pct"/>
            <w:vMerge w:val="continue"/>
            <w:tcBorders>
              <w:top w:val="single" w:color="000000" w:sz="4" w:space="0"/>
              <w:left w:val="single" w:color="000000" w:sz="4" w:space="0"/>
              <w:bottom w:val="single" w:color="000000" w:sz="4" w:space="0"/>
              <w:right w:val="single" w:color="000000" w:sz="4" w:space="0"/>
            </w:tcBorders>
            <w:noWrap w:val="0"/>
            <w:vAlign w:val="center"/>
          </w:tcPr>
          <w:p w14:paraId="6B9F7028">
            <w:pPr>
              <w:keepNext w:val="0"/>
              <w:keepLines w:val="0"/>
              <w:pageBreakBefore w:val="0"/>
              <w:kinsoku/>
              <w:overflowPunct/>
              <w:topLinePunct w:val="0"/>
              <w:autoSpaceDE/>
              <w:autoSpaceDN/>
              <w:bidi w:val="0"/>
              <w:adjustRightInd/>
              <w:snapToGrid/>
              <w:spacing w:line="240" w:lineRule="auto"/>
              <w:jc w:val="center"/>
              <w:rPr>
                <w:rFonts w:hint="eastAsia" w:ascii="宋体" w:hAnsi="宋体" w:eastAsia="宋体" w:cs="宋体"/>
                <w:i w:val="0"/>
                <w:iCs w:val="0"/>
                <w:color w:val="000000"/>
                <w:sz w:val="22"/>
                <w:szCs w:val="22"/>
                <w:highlight w:val="none"/>
                <w:u w:val="none"/>
              </w:rPr>
            </w:pPr>
          </w:p>
        </w:tc>
        <w:tc>
          <w:tcPr>
            <w:tcW w:w="882" w:type="pct"/>
            <w:vMerge w:val="continue"/>
            <w:tcBorders>
              <w:top w:val="single" w:color="000000" w:sz="4" w:space="0"/>
              <w:left w:val="single" w:color="000000" w:sz="4" w:space="0"/>
              <w:bottom w:val="single" w:color="000000" w:sz="4" w:space="0"/>
              <w:right w:val="single" w:color="000000" w:sz="4" w:space="0"/>
            </w:tcBorders>
            <w:noWrap w:val="0"/>
            <w:vAlign w:val="center"/>
          </w:tcPr>
          <w:p w14:paraId="5A9839D2">
            <w:pPr>
              <w:keepNext w:val="0"/>
              <w:keepLines w:val="0"/>
              <w:pageBreakBefore w:val="0"/>
              <w:kinsoku/>
              <w:overflowPunct/>
              <w:topLinePunct w:val="0"/>
              <w:autoSpaceDE/>
              <w:autoSpaceDN/>
              <w:bidi w:val="0"/>
              <w:adjustRightInd/>
              <w:snapToGrid/>
              <w:spacing w:line="240" w:lineRule="auto"/>
              <w:jc w:val="center"/>
              <w:rPr>
                <w:rFonts w:hint="eastAsia" w:ascii="宋体" w:hAnsi="宋体" w:eastAsia="宋体" w:cs="宋体"/>
                <w:i w:val="0"/>
                <w:iCs w:val="0"/>
                <w:color w:val="000000"/>
                <w:sz w:val="22"/>
                <w:szCs w:val="22"/>
                <w:highlight w:val="none"/>
                <w:u w:val="none"/>
              </w:rPr>
            </w:pPr>
          </w:p>
        </w:tc>
        <w:tc>
          <w:tcPr>
            <w:tcW w:w="2716" w:type="pct"/>
            <w:tcBorders>
              <w:top w:val="single" w:color="000000" w:sz="4" w:space="0"/>
              <w:left w:val="single" w:color="000000" w:sz="4" w:space="0"/>
              <w:bottom w:val="single" w:color="000000" w:sz="4" w:space="0"/>
              <w:right w:val="single" w:color="000000" w:sz="4" w:space="0"/>
            </w:tcBorders>
            <w:noWrap w:val="0"/>
            <w:vAlign w:val="center"/>
          </w:tcPr>
          <w:p w14:paraId="7DD2F1CE">
            <w:pPr>
              <w:keepNext w:val="0"/>
              <w:keepLines w:val="0"/>
              <w:pageBreakBefore w:val="0"/>
              <w:widowControl/>
              <w:suppressLineNumbers w:val="0"/>
              <w:kinsoku/>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应用识别特征库+URL库升级授权，每个授权提供≥1年库升级服务，授权到期后不能影响功能使用。</w:t>
            </w:r>
          </w:p>
        </w:tc>
        <w:tc>
          <w:tcPr>
            <w:tcW w:w="487" w:type="pct"/>
            <w:tcBorders>
              <w:top w:val="single" w:color="000000" w:sz="4" w:space="0"/>
              <w:left w:val="single" w:color="000000" w:sz="4" w:space="0"/>
              <w:bottom w:val="single" w:color="000000" w:sz="4" w:space="0"/>
              <w:right w:val="single" w:color="000000" w:sz="4" w:space="0"/>
            </w:tcBorders>
            <w:noWrap w:val="0"/>
            <w:vAlign w:val="center"/>
          </w:tcPr>
          <w:p w14:paraId="6CA5E040">
            <w:pPr>
              <w:keepNext w:val="0"/>
              <w:keepLines w:val="0"/>
              <w:pageBreakBefore w:val="0"/>
              <w:widowControl/>
              <w:suppressLineNumbers w:val="0"/>
              <w:kinsoku/>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w:t>
            </w:r>
          </w:p>
        </w:tc>
        <w:tc>
          <w:tcPr>
            <w:tcW w:w="433" w:type="pct"/>
            <w:tcBorders>
              <w:top w:val="single" w:color="000000" w:sz="4" w:space="0"/>
              <w:left w:val="single" w:color="000000" w:sz="4" w:space="0"/>
              <w:bottom w:val="single" w:color="000000" w:sz="4" w:space="0"/>
              <w:right w:val="single" w:color="000000" w:sz="4" w:space="0"/>
            </w:tcBorders>
            <w:noWrap w:val="0"/>
            <w:vAlign w:val="center"/>
          </w:tcPr>
          <w:p w14:paraId="74FDD60B">
            <w:pPr>
              <w:keepNext w:val="0"/>
              <w:keepLines w:val="0"/>
              <w:pageBreakBefore w:val="0"/>
              <w:widowControl/>
              <w:suppressLineNumbers w:val="0"/>
              <w:kinsoku/>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台</w:t>
            </w:r>
          </w:p>
        </w:tc>
      </w:tr>
      <w:tr w14:paraId="4E0122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7" w:hRule="atLeast"/>
        </w:trPr>
        <w:tc>
          <w:tcPr>
            <w:tcW w:w="480" w:type="pct"/>
            <w:vMerge w:val="restart"/>
            <w:tcBorders>
              <w:top w:val="single" w:color="000000" w:sz="4" w:space="0"/>
              <w:left w:val="single" w:color="000000" w:sz="4" w:space="0"/>
              <w:bottom w:val="single" w:color="000000" w:sz="4" w:space="0"/>
              <w:right w:val="single" w:color="000000" w:sz="4" w:space="0"/>
            </w:tcBorders>
            <w:noWrap w:val="0"/>
            <w:vAlign w:val="center"/>
          </w:tcPr>
          <w:p w14:paraId="2A949DD5">
            <w:pPr>
              <w:keepNext w:val="0"/>
              <w:keepLines w:val="0"/>
              <w:pageBreakBefore w:val="0"/>
              <w:widowControl/>
              <w:suppressLineNumbers w:val="0"/>
              <w:kinsoku/>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4</w:t>
            </w:r>
          </w:p>
        </w:tc>
        <w:tc>
          <w:tcPr>
            <w:tcW w:w="882" w:type="pct"/>
            <w:vMerge w:val="restart"/>
            <w:tcBorders>
              <w:top w:val="single" w:color="000000" w:sz="4" w:space="0"/>
              <w:left w:val="single" w:color="000000" w:sz="4" w:space="0"/>
              <w:bottom w:val="single" w:color="000000" w:sz="4" w:space="0"/>
              <w:right w:val="single" w:color="000000" w:sz="4" w:space="0"/>
            </w:tcBorders>
            <w:noWrap w:val="0"/>
            <w:vAlign w:val="center"/>
          </w:tcPr>
          <w:p w14:paraId="4B2E2444">
            <w:pPr>
              <w:keepNext w:val="0"/>
              <w:keepLines w:val="0"/>
              <w:pageBreakBefore w:val="0"/>
              <w:widowControl/>
              <w:suppressLineNumbers w:val="0"/>
              <w:kinsoku/>
              <w:overflowPunct/>
              <w:topLinePunct w:val="0"/>
              <w:autoSpaceDE/>
              <w:autoSpaceDN/>
              <w:bidi w:val="0"/>
              <w:adjustRightInd/>
              <w:snapToGrid/>
              <w:spacing w:line="240" w:lineRule="auto"/>
              <w:jc w:val="center"/>
              <w:textAlignment w:val="center"/>
              <w:rPr>
                <w:rFonts w:hint="default" w:ascii="宋体" w:hAnsi="宋体" w:eastAsia="宋体" w:cs="宋体"/>
                <w:i w:val="0"/>
                <w:iCs w:val="0"/>
                <w:color w:val="000000"/>
                <w:sz w:val="22"/>
                <w:szCs w:val="22"/>
                <w:highlight w:val="none"/>
                <w:u w:val="none"/>
                <w:lang w:val="en-US"/>
              </w:rPr>
            </w:pPr>
            <w:r>
              <w:rPr>
                <w:rFonts w:hint="eastAsia" w:ascii="宋体" w:hAnsi="宋体" w:eastAsia="宋体" w:cs="宋体"/>
                <w:i w:val="0"/>
                <w:iCs w:val="0"/>
                <w:color w:val="000000"/>
                <w:kern w:val="0"/>
                <w:sz w:val="22"/>
                <w:szCs w:val="22"/>
                <w:highlight w:val="none"/>
                <w:u w:val="none"/>
                <w:lang w:val="en-US" w:eastAsia="zh-CN" w:bidi="ar"/>
              </w:rPr>
              <w:t>核心交换机</w:t>
            </w:r>
          </w:p>
        </w:tc>
        <w:tc>
          <w:tcPr>
            <w:tcW w:w="2716" w:type="pct"/>
            <w:tcBorders>
              <w:top w:val="single" w:color="000000" w:sz="4" w:space="0"/>
              <w:left w:val="single" w:color="000000" w:sz="4" w:space="0"/>
              <w:bottom w:val="single" w:color="000000" w:sz="4" w:space="0"/>
              <w:right w:val="single" w:color="000000" w:sz="4" w:space="0"/>
            </w:tcBorders>
            <w:noWrap w:val="0"/>
            <w:vAlign w:val="center"/>
          </w:tcPr>
          <w:p w14:paraId="7DF2163E">
            <w:pPr>
              <w:keepNext w:val="0"/>
              <w:keepLines w:val="0"/>
              <w:pageBreakBefore w:val="0"/>
              <w:widowControl/>
              <w:suppressLineNumbers w:val="0"/>
              <w:kinsoku/>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配套业务线卡，48个千兆电口+2个万兆光口。</w:t>
            </w:r>
          </w:p>
        </w:tc>
        <w:tc>
          <w:tcPr>
            <w:tcW w:w="487" w:type="pct"/>
            <w:tcBorders>
              <w:top w:val="single" w:color="000000" w:sz="4" w:space="0"/>
              <w:left w:val="single" w:color="000000" w:sz="4" w:space="0"/>
              <w:bottom w:val="single" w:color="000000" w:sz="4" w:space="0"/>
              <w:right w:val="single" w:color="000000" w:sz="4" w:space="0"/>
            </w:tcBorders>
            <w:noWrap w:val="0"/>
            <w:vAlign w:val="center"/>
          </w:tcPr>
          <w:p w14:paraId="6D7371C1">
            <w:pPr>
              <w:keepNext w:val="0"/>
              <w:keepLines w:val="0"/>
              <w:pageBreakBefore w:val="0"/>
              <w:widowControl/>
              <w:suppressLineNumbers w:val="0"/>
              <w:kinsoku/>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w:t>
            </w:r>
          </w:p>
        </w:tc>
        <w:tc>
          <w:tcPr>
            <w:tcW w:w="433" w:type="pct"/>
            <w:tcBorders>
              <w:top w:val="single" w:color="000000" w:sz="4" w:space="0"/>
              <w:left w:val="single" w:color="000000" w:sz="4" w:space="0"/>
              <w:bottom w:val="single" w:color="000000" w:sz="4" w:space="0"/>
              <w:right w:val="single" w:color="000000" w:sz="4" w:space="0"/>
            </w:tcBorders>
            <w:noWrap w:val="0"/>
            <w:vAlign w:val="center"/>
          </w:tcPr>
          <w:p w14:paraId="2E0787FA">
            <w:pPr>
              <w:keepNext w:val="0"/>
              <w:keepLines w:val="0"/>
              <w:pageBreakBefore w:val="0"/>
              <w:widowControl/>
              <w:suppressLineNumbers w:val="0"/>
              <w:kinsoku/>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张</w:t>
            </w:r>
          </w:p>
        </w:tc>
      </w:tr>
      <w:tr w14:paraId="784BC8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2" w:hRule="atLeast"/>
        </w:trPr>
        <w:tc>
          <w:tcPr>
            <w:tcW w:w="480" w:type="pct"/>
            <w:vMerge w:val="continue"/>
            <w:tcBorders>
              <w:top w:val="single" w:color="000000" w:sz="4" w:space="0"/>
              <w:left w:val="single" w:color="000000" w:sz="4" w:space="0"/>
              <w:bottom w:val="single" w:color="000000" w:sz="4" w:space="0"/>
              <w:right w:val="single" w:color="000000" w:sz="4" w:space="0"/>
            </w:tcBorders>
            <w:noWrap w:val="0"/>
            <w:vAlign w:val="center"/>
          </w:tcPr>
          <w:p w14:paraId="0EAD8CC2">
            <w:pPr>
              <w:keepNext w:val="0"/>
              <w:keepLines w:val="0"/>
              <w:pageBreakBefore w:val="0"/>
              <w:kinsoku/>
              <w:overflowPunct/>
              <w:topLinePunct w:val="0"/>
              <w:autoSpaceDE/>
              <w:autoSpaceDN/>
              <w:bidi w:val="0"/>
              <w:adjustRightInd/>
              <w:snapToGrid/>
              <w:spacing w:line="240" w:lineRule="auto"/>
              <w:jc w:val="center"/>
              <w:rPr>
                <w:rFonts w:hint="eastAsia" w:ascii="宋体" w:hAnsi="宋体" w:eastAsia="宋体" w:cs="宋体"/>
                <w:i w:val="0"/>
                <w:iCs w:val="0"/>
                <w:color w:val="000000"/>
                <w:sz w:val="22"/>
                <w:szCs w:val="22"/>
                <w:highlight w:val="none"/>
                <w:u w:val="none"/>
              </w:rPr>
            </w:pPr>
          </w:p>
        </w:tc>
        <w:tc>
          <w:tcPr>
            <w:tcW w:w="882" w:type="pct"/>
            <w:vMerge w:val="continue"/>
            <w:tcBorders>
              <w:top w:val="single" w:color="000000" w:sz="4" w:space="0"/>
              <w:left w:val="single" w:color="000000" w:sz="4" w:space="0"/>
              <w:bottom w:val="single" w:color="000000" w:sz="4" w:space="0"/>
              <w:right w:val="single" w:color="000000" w:sz="4" w:space="0"/>
            </w:tcBorders>
            <w:noWrap w:val="0"/>
            <w:vAlign w:val="center"/>
          </w:tcPr>
          <w:p w14:paraId="5F7C96EE">
            <w:pPr>
              <w:keepNext w:val="0"/>
              <w:keepLines w:val="0"/>
              <w:pageBreakBefore w:val="0"/>
              <w:kinsoku/>
              <w:overflowPunct/>
              <w:topLinePunct w:val="0"/>
              <w:autoSpaceDE/>
              <w:autoSpaceDN/>
              <w:bidi w:val="0"/>
              <w:adjustRightInd/>
              <w:snapToGrid/>
              <w:spacing w:line="240" w:lineRule="auto"/>
              <w:jc w:val="center"/>
              <w:rPr>
                <w:rFonts w:hint="eastAsia" w:ascii="宋体" w:hAnsi="宋体" w:eastAsia="宋体" w:cs="宋体"/>
                <w:i w:val="0"/>
                <w:iCs w:val="0"/>
                <w:color w:val="000000"/>
                <w:sz w:val="22"/>
                <w:szCs w:val="22"/>
                <w:highlight w:val="none"/>
                <w:u w:val="none"/>
              </w:rPr>
            </w:pPr>
          </w:p>
        </w:tc>
        <w:tc>
          <w:tcPr>
            <w:tcW w:w="2716" w:type="pct"/>
            <w:tcBorders>
              <w:top w:val="single" w:color="000000" w:sz="4" w:space="0"/>
              <w:left w:val="single" w:color="000000" w:sz="4" w:space="0"/>
              <w:bottom w:val="single" w:color="000000" w:sz="4" w:space="0"/>
              <w:right w:val="single" w:color="000000" w:sz="4" w:space="0"/>
            </w:tcBorders>
            <w:noWrap w:val="0"/>
            <w:vAlign w:val="center"/>
          </w:tcPr>
          <w:p w14:paraId="55F40758">
            <w:pPr>
              <w:keepNext w:val="0"/>
              <w:keepLines w:val="0"/>
              <w:pageBreakBefore w:val="0"/>
              <w:widowControl/>
              <w:suppressLineNumbers w:val="0"/>
              <w:kinsoku/>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1.产品支持≥48个千兆电口，≥2个万兆光口。</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2.支持实现以太网数据包的转发、过滤、交换等功能；</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★3.整机独立板卡插槽≥3个；</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4.配置的业务卡支持 1000Base-T 接口、1000Base-LX 接口和 10GBase-LR 接口。</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5.支持端口镜像、端口聚合等功能，可以通过Web 等方式对设备进行管理。</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6.支持用户访问控制、MAC 地址绑定功能；支持基于源 MAC、目的 MAC 的 ACL 功能，支持 SNMPv1/v2。</w:t>
            </w:r>
          </w:p>
        </w:tc>
        <w:tc>
          <w:tcPr>
            <w:tcW w:w="487" w:type="pct"/>
            <w:tcBorders>
              <w:top w:val="single" w:color="000000" w:sz="4" w:space="0"/>
              <w:left w:val="single" w:color="000000" w:sz="4" w:space="0"/>
              <w:bottom w:val="single" w:color="000000" w:sz="4" w:space="0"/>
              <w:right w:val="single" w:color="000000" w:sz="4" w:space="0"/>
            </w:tcBorders>
            <w:noWrap w:val="0"/>
            <w:vAlign w:val="center"/>
          </w:tcPr>
          <w:p w14:paraId="44EA213D">
            <w:pPr>
              <w:keepNext w:val="0"/>
              <w:keepLines w:val="0"/>
              <w:pageBreakBefore w:val="0"/>
              <w:widowControl/>
              <w:suppressLineNumbers w:val="0"/>
              <w:kinsoku/>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w:t>
            </w:r>
          </w:p>
        </w:tc>
        <w:tc>
          <w:tcPr>
            <w:tcW w:w="433" w:type="pct"/>
            <w:tcBorders>
              <w:top w:val="single" w:color="000000" w:sz="4" w:space="0"/>
              <w:left w:val="single" w:color="000000" w:sz="4" w:space="0"/>
              <w:bottom w:val="single" w:color="000000" w:sz="4" w:space="0"/>
              <w:right w:val="single" w:color="000000" w:sz="4" w:space="0"/>
            </w:tcBorders>
            <w:noWrap w:val="0"/>
            <w:vAlign w:val="center"/>
          </w:tcPr>
          <w:p w14:paraId="47A36EB8">
            <w:pPr>
              <w:keepNext w:val="0"/>
              <w:keepLines w:val="0"/>
              <w:pageBreakBefore w:val="0"/>
              <w:widowControl/>
              <w:suppressLineNumbers w:val="0"/>
              <w:kinsoku/>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台</w:t>
            </w:r>
          </w:p>
        </w:tc>
      </w:tr>
      <w:tr w14:paraId="079555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5" w:hRule="atLeast"/>
        </w:trPr>
        <w:tc>
          <w:tcPr>
            <w:tcW w:w="480" w:type="pct"/>
            <w:vMerge w:val="continue"/>
            <w:tcBorders>
              <w:top w:val="single" w:color="000000" w:sz="4" w:space="0"/>
              <w:left w:val="single" w:color="000000" w:sz="4" w:space="0"/>
              <w:bottom w:val="single" w:color="000000" w:sz="4" w:space="0"/>
              <w:right w:val="single" w:color="000000" w:sz="4" w:space="0"/>
            </w:tcBorders>
            <w:noWrap w:val="0"/>
            <w:vAlign w:val="center"/>
          </w:tcPr>
          <w:p w14:paraId="5D8C37C8">
            <w:pPr>
              <w:keepNext w:val="0"/>
              <w:keepLines w:val="0"/>
              <w:pageBreakBefore w:val="0"/>
              <w:kinsoku/>
              <w:overflowPunct/>
              <w:topLinePunct w:val="0"/>
              <w:autoSpaceDE/>
              <w:autoSpaceDN/>
              <w:bidi w:val="0"/>
              <w:adjustRightInd/>
              <w:snapToGrid/>
              <w:spacing w:line="240" w:lineRule="auto"/>
              <w:jc w:val="center"/>
              <w:rPr>
                <w:rFonts w:hint="eastAsia" w:ascii="宋体" w:hAnsi="宋体" w:eastAsia="宋体" w:cs="宋体"/>
                <w:i w:val="0"/>
                <w:iCs w:val="0"/>
                <w:color w:val="000000"/>
                <w:sz w:val="22"/>
                <w:szCs w:val="22"/>
                <w:highlight w:val="none"/>
                <w:u w:val="none"/>
              </w:rPr>
            </w:pPr>
          </w:p>
        </w:tc>
        <w:tc>
          <w:tcPr>
            <w:tcW w:w="882" w:type="pct"/>
            <w:vMerge w:val="continue"/>
            <w:tcBorders>
              <w:top w:val="single" w:color="000000" w:sz="4" w:space="0"/>
              <w:left w:val="single" w:color="000000" w:sz="4" w:space="0"/>
              <w:bottom w:val="single" w:color="000000" w:sz="4" w:space="0"/>
              <w:right w:val="single" w:color="000000" w:sz="4" w:space="0"/>
            </w:tcBorders>
            <w:noWrap w:val="0"/>
            <w:vAlign w:val="center"/>
          </w:tcPr>
          <w:p w14:paraId="61EADEAA">
            <w:pPr>
              <w:keepNext w:val="0"/>
              <w:keepLines w:val="0"/>
              <w:pageBreakBefore w:val="0"/>
              <w:kinsoku/>
              <w:overflowPunct/>
              <w:topLinePunct w:val="0"/>
              <w:autoSpaceDE/>
              <w:autoSpaceDN/>
              <w:bidi w:val="0"/>
              <w:adjustRightInd/>
              <w:snapToGrid/>
              <w:spacing w:line="240" w:lineRule="auto"/>
              <w:jc w:val="center"/>
              <w:rPr>
                <w:rFonts w:hint="eastAsia" w:ascii="宋体" w:hAnsi="宋体" w:eastAsia="宋体" w:cs="宋体"/>
                <w:i w:val="0"/>
                <w:iCs w:val="0"/>
                <w:color w:val="000000"/>
                <w:sz w:val="22"/>
                <w:szCs w:val="22"/>
                <w:highlight w:val="none"/>
                <w:u w:val="none"/>
              </w:rPr>
            </w:pPr>
          </w:p>
        </w:tc>
        <w:tc>
          <w:tcPr>
            <w:tcW w:w="2716" w:type="pct"/>
            <w:tcBorders>
              <w:top w:val="single" w:color="000000" w:sz="4" w:space="0"/>
              <w:left w:val="single" w:color="000000" w:sz="4" w:space="0"/>
              <w:bottom w:val="single" w:color="000000" w:sz="4" w:space="0"/>
              <w:right w:val="single" w:color="000000" w:sz="4" w:space="0"/>
            </w:tcBorders>
            <w:noWrap w:val="0"/>
            <w:vAlign w:val="center"/>
          </w:tcPr>
          <w:p w14:paraId="697CACB8">
            <w:pPr>
              <w:keepNext w:val="0"/>
              <w:keepLines w:val="0"/>
              <w:pageBreakBefore w:val="0"/>
              <w:widowControl/>
              <w:suppressLineNumbers w:val="0"/>
              <w:kinsoku/>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电源模块（交流，300W）</w:t>
            </w:r>
          </w:p>
        </w:tc>
        <w:tc>
          <w:tcPr>
            <w:tcW w:w="487" w:type="pct"/>
            <w:tcBorders>
              <w:top w:val="single" w:color="000000" w:sz="4" w:space="0"/>
              <w:left w:val="single" w:color="000000" w:sz="4" w:space="0"/>
              <w:bottom w:val="single" w:color="000000" w:sz="4" w:space="0"/>
              <w:right w:val="single" w:color="000000" w:sz="4" w:space="0"/>
            </w:tcBorders>
            <w:noWrap w:val="0"/>
            <w:vAlign w:val="center"/>
          </w:tcPr>
          <w:p w14:paraId="350DB9BB">
            <w:pPr>
              <w:keepNext w:val="0"/>
              <w:keepLines w:val="0"/>
              <w:pageBreakBefore w:val="0"/>
              <w:widowControl/>
              <w:suppressLineNumbers w:val="0"/>
              <w:kinsoku/>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2</w:t>
            </w:r>
          </w:p>
        </w:tc>
        <w:tc>
          <w:tcPr>
            <w:tcW w:w="433" w:type="pct"/>
            <w:tcBorders>
              <w:top w:val="single" w:color="000000" w:sz="4" w:space="0"/>
              <w:left w:val="single" w:color="000000" w:sz="4" w:space="0"/>
              <w:bottom w:val="single" w:color="000000" w:sz="4" w:space="0"/>
              <w:right w:val="single" w:color="000000" w:sz="4" w:space="0"/>
            </w:tcBorders>
            <w:noWrap w:val="0"/>
            <w:vAlign w:val="center"/>
          </w:tcPr>
          <w:p w14:paraId="568BEEEC">
            <w:pPr>
              <w:keepNext w:val="0"/>
              <w:keepLines w:val="0"/>
              <w:pageBreakBefore w:val="0"/>
              <w:widowControl/>
              <w:suppressLineNumbers w:val="0"/>
              <w:kinsoku/>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台</w:t>
            </w:r>
          </w:p>
        </w:tc>
      </w:tr>
      <w:tr w14:paraId="58D637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69"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0142311B">
            <w:pPr>
              <w:keepNext w:val="0"/>
              <w:keepLines w:val="0"/>
              <w:pageBreakBefore w:val="0"/>
              <w:widowControl/>
              <w:suppressLineNumbers w:val="0"/>
              <w:kinsoku/>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5</w:t>
            </w:r>
          </w:p>
        </w:tc>
        <w:tc>
          <w:tcPr>
            <w:tcW w:w="882" w:type="pct"/>
            <w:tcBorders>
              <w:top w:val="single" w:color="000000" w:sz="4" w:space="0"/>
              <w:left w:val="single" w:color="000000" w:sz="4" w:space="0"/>
              <w:bottom w:val="single" w:color="000000" w:sz="4" w:space="0"/>
              <w:right w:val="single" w:color="000000" w:sz="4" w:space="0"/>
            </w:tcBorders>
            <w:noWrap w:val="0"/>
            <w:vAlign w:val="center"/>
          </w:tcPr>
          <w:p w14:paraId="4F4D15DB">
            <w:pPr>
              <w:keepNext w:val="0"/>
              <w:keepLines w:val="0"/>
              <w:pageBreakBefore w:val="0"/>
              <w:widowControl/>
              <w:suppressLineNumbers w:val="0"/>
              <w:kinsoku/>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吸顶AP</w:t>
            </w:r>
          </w:p>
        </w:tc>
        <w:tc>
          <w:tcPr>
            <w:tcW w:w="2716" w:type="pct"/>
            <w:tcBorders>
              <w:top w:val="single" w:color="000000" w:sz="4" w:space="0"/>
              <w:left w:val="single" w:color="000000" w:sz="4" w:space="0"/>
              <w:bottom w:val="single" w:color="000000" w:sz="4" w:space="0"/>
              <w:right w:val="single" w:color="000000" w:sz="4" w:space="0"/>
            </w:tcBorders>
            <w:noWrap w:val="0"/>
            <w:vAlign w:val="center"/>
          </w:tcPr>
          <w:p w14:paraId="397229EC">
            <w:pPr>
              <w:keepNext w:val="0"/>
              <w:keepLines w:val="0"/>
              <w:pageBreakBefore w:val="0"/>
              <w:widowControl/>
              <w:suppressLineNumbers w:val="0"/>
              <w:kinsoku/>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1.支持接入终端数≥100台，适用高密环境。</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2.支持双LAN口上联，内置天线。</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3.支持2.4GHz/5GHz双频通信，支持802.11a/b/g/n/ac Wave1/Wave2/ax协议，支持Wi-Fi 6 160M频宽。</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4.整机最大接入速率≥2900Mbps。</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5.支持AP与路由两种工作模式，支持APP管理。</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6.支持802.3at PoE标准供电。</w:t>
            </w:r>
          </w:p>
        </w:tc>
        <w:tc>
          <w:tcPr>
            <w:tcW w:w="487" w:type="pct"/>
            <w:tcBorders>
              <w:top w:val="single" w:color="000000" w:sz="4" w:space="0"/>
              <w:left w:val="single" w:color="000000" w:sz="4" w:space="0"/>
              <w:bottom w:val="single" w:color="000000" w:sz="4" w:space="0"/>
              <w:right w:val="single" w:color="000000" w:sz="4" w:space="0"/>
            </w:tcBorders>
            <w:noWrap w:val="0"/>
            <w:vAlign w:val="center"/>
          </w:tcPr>
          <w:p w14:paraId="78F752F7">
            <w:pPr>
              <w:keepNext w:val="0"/>
              <w:keepLines w:val="0"/>
              <w:pageBreakBefore w:val="0"/>
              <w:widowControl/>
              <w:suppressLineNumbers w:val="0"/>
              <w:kinsoku/>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32</w:t>
            </w:r>
          </w:p>
        </w:tc>
        <w:tc>
          <w:tcPr>
            <w:tcW w:w="433" w:type="pct"/>
            <w:tcBorders>
              <w:top w:val="single" w:color="000000" w:sz="4" w:space="0"/>
              <w:left w:val="single" w:color="000000" w:sz="4" w:space="0"/>
              <w:bottom w:val="single" w:color="000000" w:sz="4" w:space="0"/>
              <w:right w:val="single" w:color="000000" w:sz="4" w:space="0"/>
            </w:tcBorders>
            <w:noWrap w:val="0"/>
            <w:vAlign w:val="center"/>
          </w:tcPr>
          <w:p w14:paraId="39B815DF">
            <w:pPr>
              <w:keepNext w:val="0"/>
              <w:keepLines w:val="0"/>
              <w:pageBreakBefore w:val="0"/>
              <w:widowControl/>
              <w:suppressLineNumbers w:val="0"/>
              <w:kinsoku/>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台</w:t>
            </w:r>
          </w:p>
        </w:tc>
      </w:tr>
      <w:tr w14:paraId="3AE513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5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64D2CCF0">
            <w:pPr>
              <w:keepNext w:val="0"/>
              <w:keepLines w:val="0"/>
              <w:pageBreakBefore w:val="0"/>
              <w:widowControl/>
              <w:suppressLineNumbers w:val="0"/>
              <w:kinsoku/>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6</w:t>
            </w:r>
          </w:p>
        </w:tc>
        <w:tc>
          <w:tcPr>
            <w:tcW w:w="882" w:type="pct"/>
            <w:tcBorders>
              <w:top w:val="single" w:color="000000" w:sz="4" w:space="0"/>
              <w:left w:val="single" w:color="000000" w:sz="4" w:space="0"/>
              <w:bottom w:val="single" w:color="000000" w:sz="4" w:space="0"/>
              <w:right w:val="single" w:color="000000" w:sz="4" w:space="0"/>
            </w:tcBorders>
            <w:noWrap w:val="0"/>
            <w:vAlign w:val="center"/>
          </w:tcPr>
          <w:p w14:paraId="7A625AF2">
            <w:pPr>
              <w:keepNext w:val="0"/>
              <w:keepLines w:val="0"/>
              <w:pageBreakBefore w:val="0"/>
              <w:widowControl/>
              <w:suppressLineNumbers w:val="0"/>
              <w:kinsoku/>
              <w:overflowPunct/>
              <w:topLinePunct w:val="0"/>
              <w:autoSpaceDE/>
              <w:autoSpaceDN/>
              <w:bidi w:val="0"/>
              <w:adjustRightInd/>
              <w:snapToGrid/>
              <w:spacing w:line="240" w:lineRule="auto"/>
              <w:jc w:val="center"/>
              <w:textAlignment w:val="center"/>
              <w:rPr>
                <w:rFonts w:hint="default" w:ascii="宋体" w:hAnsi="宋体" w:eastAsia="宋体" w:cs="宋体"/>
                <w:i w:val="0"/>
                <w:iCs w:val="0"/>
                <w:color w:val="000000"/>
                <w:sz w:val="22"/>
                <w:szCs w:val="22"/>
                <w:highlight w:val="none"/>
                <w:u w:val="none"/>
                <w:lang w:val="en-US"/>
              </w:rPr>
            </w:pPr>
            <w:r>
              <w:rPr>
                <w:rFonts w:hint="eastAsia" w:ascii="宋体" w:hAnsi="宋体" w:eastAsia="宋体" w:cs="宋体"/>
                <w:i w:val="0"/>
                <w:iCs w:val="0"/>
                <w:color w:val="000000"/>
                <w:kern w:val="0"/>
                <w:sz w:val="22"/>
                <w:szCs w:val="22"/>
                <w:highlight w:val="none"/>
                <w:u w:val="none"/>
                <w:lang w:val="en-US" w:eastAsia="zh-CN" w:bidi="ar"/>
              </w:rPr>
              <w:t>POE交换机</w:t>
            </w:r>
          </w:p>
        </w:tc>
        <w:tc>
          <w:tcPr>
            <w:tcW w:w="2716" w:type="pct"/>
            <w:tcBorders>
              <w:top w:val="single" w:color="000000" w:sz="4" w:space="0"/>
              <w:left w:val="single" w:color="000000" w:sz="4" w:space="0"/>
              <w:bottom w:val="single" w:color="000000" w:sz="4" w:space="0"/>
              <w:right w:val="single" w:color="000000" w:sz="4" w:space="0"/>
            </w:tcBorders>
            <w:noWrap w:val="0"/>
            <w:vAlign w:val="center"/>
          </w:tcPr>
          <w:p w14:paraId="60779D8B">
            <w:pPr>
              <w:keepNext w:val="0"/>
              <w:keepLines w:val="0"/>
              <w:pageBreakBefore w:val="0"/>
              <w:widowControl/>
              <w:suppressLineNumbers w:val="0"/>
              <w:kinsoku/>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1.支持交换容量≥336Gbps，包转发率≥78Mpps。</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2.支持≥24个10/100/1000Mbps电口，且电口(支持POE/POE+，POE功率370W)，≥固化4个SFP千兆光口。</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3.支持VLAN、ACL、端口镜像、端口聚合等功能。</w:t>
            </w:r>
          </w:p>
          <w:p w14:paraId="365500C9">
            <w:pPr>
              <w:keepNext w:val="0"/>
              <w:keepLines w:val="0"/>
              <w:pageBreakBefore w:val="0"/>
              <w:widowControl/>
              <w:suppressLineNumbers w:val="0"/>
              <w:kinsoku/>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4.</w:t>
            </w:r>
            <w:r>
              <w:rPr>
                <w:rFonts w:hint="eastAsia" w:ascii="宋体" w:hAnsi="宋体" w:eastAsia="宋体" w:cs="宋体"/>
                <w:i w:val="0"/>
                <w:iCs w:val="0"/>
                <w:color w:val="000000"/>
                <w:kern w:val="0"/>
                <w:sz w:val="21"/>
                <w:szCs w:val="21"/>
                <w:highlight w:val="none"/>
                <w:u w:val="none"/>
                <w:lang w:val="en-US" w:eastAsia="zh-CN" w:bidi="ar"/>
              </w:rPr>
              <w:t>支持云平台与移动端管理。</w:t>
            </w:r>
          </w:p>
        </w:tc>
        <w:tc>
          <w:tcPr>
            <w:tcW w:w="487" w:type="pct"/>
            <w:tcBorders>
              <w:top w:val="single" w:color="000000" w:sz="4" w:space="0"/>
              <w:left w:val="single" w:color="000000" w:sz="4" w:space="0"/>
              <w:bottom w:val="single" w:color="000000" w:sz="4" w:space="0"/>
              <w:right w:val="single" w:color="000000" w:sz="4" w:space="0"/>
            </w:tcBorders>
            <w:noWrap w:val="0"/>
            <w:vAlign w:val="center"/>
          </w:tcPr>
          <w:p w14:paraId="69229C40">
            <w:pPr>
              <w:keepNext w:val="0"/>
              <w:keepLines w:val="0"/>
              <w:pageBreakBefore w:val="0"/>
              <w:widowControl/>
              <w:suppressLineNumbers w:val="0"/>
              <w:kinsoku/>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3</w:t>
            </w:r>
          </w:p>
        </w:tc>
        <w:tc>
          <w:tcPr>
            <w:tcW w:w="433" w:type="pct"/>
            <w:tcBorders>
              <w:top w:val="single" w:color="000000" w:sz="4" w:space="0"/>
              <w:left w:val="single" w:color="000000" w:sz="4" w:space="0"/>
              <w:bottom w:val="single" w:color="000000" w:sz="4" w:space="0"/>
              <w:right w:val="single" w:color="000000" w:sz="4" w:space="0"/>
            </w:tcBorders>
            <w:noWrap w:val="0"/>
            <w:vAlign w:val="center"/>
          </w:tcPr>
          <w:p w14:paraId="55152951">
            <w:pPr>
              <w:keepNext w:val="0"/>
              <w:keepLines w:val="0"/>
              <w:pageBreakBefore w:val="0"/>
              <w:widowControl/>
              <w:suppressLineNumbers w:val="0"/>
              <w:kinsoku/>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台</w:t>
            </w:r>
          </w:p>
        </w:tc>
      </w:tr>
      <w:tr w14:paraId="53F3F1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1" w:hRule="atLeast"/>
        </w:trPr>
        <w:tc>
          <w:tcPr>
            <w:tcW w:w="480" w:type="pct"/>
            <w:vMerge w:val="restart"/>
            <w:tcBorders>
              <w:top w:val="single" w:color="000000" w:sz="4" w:space="0"/>
              <w:left w:val="single" w:color="000000" w:sz="4" w:space="0"/>
              <w:bottom w:val="single" w:color="000000" w:sz="4" w:space="0"/>
              <w:right w:val="single" w:color="000000" w:sz="4" w:space="0"/>
            </w:tcBorders>
            <w:noWrap w:val="0"/>
            <w:vAlign w:val="center"/>
          </w:tcPr>
          <w:p w14:paraId="3C169A75">
            <w:pPr>
              <w:keepNext w:val="0"/>
              <w:keepLines w:val="0"/>
              <w:pageBreakBefore w:val="0"/>
              <w:widowControl/>
              <w:suppressLineNumbers w:val="0"/>
              <w:kinsoku/>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7</w:t>
            </w:r>
          </w:p>
        </w:tc>
        <w:tc>
          <w:tcPr>
            <w:tcW w:w="882" w:type="pct"/>
            <w:vMerge w:val="restart"/>
            <w:tcBorders>
              <w:top w:val="single" w:color="000000" w:sz="4" w:space="0"/>
              <w:left w:val="single" w:color="000000" w:sz="4" w:space="0"/>
              <w:bottom w:val="single" w:color="000000" w:sz="4" w:space="0"/>
              <w:right w:val="single" w:color="000000" w:sz="4" w:space="0"/>
            </w:tcBorders>
            <w:noWrap w:val="0"/>
            <w:vAlign w:val="center"/>
          </w:tcPr>
          <w:p w14:paraId="12BB6DDF">
            <w:pPr>
              <w:keepNext w:val="0"/>
              <w:keepLines w:val="0"/>
              <w:pageBreakBefore w:val="0"/>
              <w:widowControl/>
              <w:suppressLineNumbers w:val="0"/>
              <w:kinsoku/>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2"/>
                <w:szCs w:val="22"/>
                <w:highlight w:val="none"/>
                <w:u w:val="none"/>
                <w:lang w:val="en-US"/>
              </w:rPr>
            </w:pPr>
            <w:r>
              <w:rPr>
                <w:rFonts w:hint="eastAsia" w:ascii="宋体" w:hAnsi="宋体" w:eastAsia="宋体" w:cs="宋体"/>
                <w:i w:val="0"/>
                <w:iCs w:val="0"/>
                <w:color w:val="000000"/>
                <w:kern w:val="0"/>
                <w:sz w:val="22"/>
                <w:szCs w:val="22"/>
                <w:highlight w:val="none"/>
                <w:u w:val="none"/>
                <w:lang w:val="en-US" w:eastAsia="zh-CN" w:bidi="ar"/>
              </w:rPr>
              <w:t>办公室接入交换机</w:t>
            </w:r>
          </w:p>
        </w:tc>
        <w:tc>
          <w:tcPr>
            <w:tcW w:w="2716" w:type="pct"/>
            <w:tcBorders>
              <w:top w:val="single" w:color="000000" w:sz="4" w:space="0"/>
              <w:left w:val="single" w:color="000000" w:sz="4" w:space="0"/>
              <w:bottom w:val="single" w:color="000000" w:sz="4" w:space="0"/>
              <w:right w:val="single" w:color="000000" w:sz="4" w:space="0"/>
            </w:tcBorders>
            <w:noWrap w:val="0"/>
            <w:vAlign w:val="center"/>
          </w:tcPr>
          <w:p w14:paraId="719D5144">
            <w:pPr>
              <w:keepNext w:val="0"/>
              <w:keepLines w:val="0"/>
              <w:pageBreakBefore w:val="0"/>
              <w:widowControl/>
              <w:suppressLineNumbers w:val="0"/>
              <w:kinsoku/>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1.实配固化千兆电接口数≥8个，最大可用端口≥8个</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2.交换容量≥16Gbps，包转发率≥12Mpps</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3.为了保证交换机使用寿命，防雷等级≥4kV</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4.mac表项容量≥4K</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5.工作温度0℃~40℃。</w:t>
            </w:r>
          </w:p>
        </w:tc>
        <w:tc>
          <w:tcPr>
            <w:tcW w:w="487" w:type="pct"/>
            <w:tcBorders>
              <w:top w:val="single" w:color="000000" w:sz="4" w:space="0"/>
              <w:left w:val="single" w:color="000000" w:sz="4" w:space="0"/>
              <w:bottom w:val="single" w:color="000000" w:sz="4" w:space="0"/>
              <w:right w:val="single" w:color="000000" w:sz="4" w:space="0"/>
            </w:tcBorders>
            <w:noWrap w:val="0"/>
            <w:vAlign w:val="center"/>
          </w:tcPr>
          <w:p w14:paraId="2B238401">
            <w:pPr>
              <w:keepNext w:val="0"/>
              <w:keepLines w:val="0"/>
              <w:pageBreakBefore w:val="0"/>
              <w:widowControl/>
              <w:suppressLineNumbers w:val="0"/>
              <w:kinsoku/>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20</w:t>
            </w:r>
          </w:p>
        </w:tc>
        <w:tc>
          <w:tcPr>
            <w:tcW w:w="433" w:type="pct"/>
            <w:tcBorders>
              <w:top w:val="single" w:color="000000" w:sz="4" w:space="0"/>
              <w:left w:val="single" w:color="000000" w:sz="4" w:space="0"/>
              <w:bottom w:val="single" w:color="000000" w:sz="4" w:space="0"/>
              <w:right w:val="single" w:color="000000" w:sz="4" w:space="0"/>
            </w:tcBorders>
            <w:noWrap w:val="0"/>
            <w:vAlign w:val="center"/>
          </w:tcPr>
          <w:p w14:paraId="4E5D8987">
            <w:pPr>
              <w:keepNext w:val="0"/>
              <w:keepLines w:val="0"/>
              <w:pageBreakBefore w:val="0"/>
              <w:widowControl/>
              <w:suppressLineNumbers w:val="0"/>
              <w:kinsoku/>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台</w:t>
            </w:r>
          </w:p>
        </w:tc>
      </w:tr>
      <w:tr w14:paraId="391D9A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83" w:hRule="atLeast"/>
        </w:trPr>
        <w:tc>
          <w:tcPr>
            <w:tcW w:w="480" w:type="pct"/>
            <w:vMerge w:val="continue"/>
            <w:tcBorders>
              <w:top w:val="single" w:color="000000" w:sz="4" w:space="0"/>
              <w:left w:val="single" w:color="000000" w:sz="4" w:space="0"/>
              <w:bottom w:val="single" w:color="000000" w:sz="4" w:space="0"/>
              <w:right w:val="single" w:color="000000" w:sz="4" w:space="0"/>
            </w:tcBorders>
            <w:noWrap w:val="0"/>
            <w:vAlign w:val="center"/>
          </w:tcPr>
          <w:p w14:paraId="2457F95F">
            <w:pPr>
              <w:keepNext w:val="0"/>
              <w:keepLines w:val="0"/>
              <w:pageBreakBefore w:val="0"/>
              <w:kinsoku/>
              <w:overflowPunct/>
              <w:topLinePunct w:val="0"/>
              <w:autoSpaceDE/>
              <w:autoSpaceDN/>
              <w:bidi w:val="0"/>
              <w:adjustRightInd/>
              <w:snapToGrid/>
              <w:spacing w:line="240" w:lineRule="auto"/>
              <w:jc w:val="center"/>
              <w:rPr>
                <w:rFonts w:hint="eastAsia" w:ascii="宋体" w:hAnsi="宋体" w:eastAsia="宋体" w:cs="宋体"/>
                <w:i w:val="0"/>
                <w:iCs w:val="0"/>
                <w:color w:val="000000"/>
                <w:sz w:val="22"/>
                <w:szCs w:val="22"/>
                <w:highlight w:val="none"/>
                <w:u w:val="none"/>
              </w:rPr>
            </w:pPr>
          </w:p>
        </w:tc>
        <w:tc>
          <w:tcPr>
            <w:tcW w:w="882" w:type="pct"/>
            <w:vMerge w:val="continue"/>
            <w:tcBorders>
              <w:top w:val="single" w:color="000000" w:sz="4" w:space="0"/>
              <w:left w:val="single" w:color="000000" w:sz="4" w:space="0"/>
              <w:bottom w:val="single" w:color="000000" w:sz="4" w:space="0"/>
              <w:right w:val="single" w:color="000000" w:sz="4" w:space="0"/>
            </w:tcBorders>
            <w:noWrap w:val="0"/>
            <w:vAlign w:val="center"/>
          </w:tcPr>
          <w:p w14:paraId="516FCF30">
            <w:pPr>
              <w:keepNext w:val="0"/>
              <w:keepLines w:val="0"/>
              <w:pageBreakBefore w:val="0"/>
              <w:kinsoku/>
              <w:overflowPunct/>
              <w:topLinePunct w:val="0"/>
              <w:autoSpaceDE/>
              <w:autoSpaceDN/>
              <w:bidi w:val="0"/>
              <w:adjustRightInd/>
              <w:snapToGrid/>
              <w:spacing w:line="240" w:lineRule="auto"/>
              <w:jc w:val="center"/>
              <w:rPr>
                <w:rFonts w:hint="eastAsia" w:ascii="宋体" w:hAnsi="宋体" w:eastAsia="宋体" w:cs="宋体"/>
                <w:i w:val="0"/>
                <w:iCs w:val="0"/>
                <w:color w:val="000000"/>
                <w:sz w:val="22"/>
                <w:szCs w:val="22"/>
                <w:highlight w:val="none"/>
                <w:u w:val="none"/>
              </w:rPr>
            </w:pPr>
          </w:p>
        </w:tc>
        <w:tc>
          <w:tcPr>
            <w:tcW w:w="2716" w:type="pct"/>
            <w:tcBorders>
              <w:top w:val="single" w:color="000000" w:sz="4" w:space="0"/>
              <w:left w:val="single" w:color="000000" w:sz="4" w:space="0"/>
              <w:bottom w:val="single" w:color="000000" w:sz="4" w:space="0"/>
              <w:right w:val="single" w:color="000000" w:sz="4" w:space="0"/>
            </w:tcBorders>
            <w:noWrap w:val="0"/>
            <w:vAlign w:val="center"/>
          </w:tcPr>
          <w:p w14:paraId="71C9513B">
            <w:pPr>
              <w:keepNext w:val="0"/>
              <w:keepLines w:val="0"/>
              <w:pageBreakBefore w:val="0"/>
              <w:widowControl/>
              <w:suppressLineNumbers w:val="0"/>
              <w:kinsoku/>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1.实配固化千兆电接口数≥5个，最大可用端口≥5个。</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2.交换容量≥10Gbps，包转发率≥7.5Mpps。</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3.mac表项容量≥2K。</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4.防雷等级≥4kV。</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5.工作温度0℃~40℃。</w:t>
            </w:r>
          </w:p>
        </w:tc>
        <w:tc>
          <w:tcPr>
            <w:tcW w:w="487" w:type="pct"/>
            <w:tcBorders>
              <w:top w:val="single" w:color="000000" w:sz="4" w:space="0"/>
              <w:left w:val="single" w:color="000000" w:sz="4" w:space="0"/>
              <w:bottom w:val="single" w:color="000000" w:sz="4" w:space="0"/>
              <w:right w:val="single" w:color="000000" w:sz="4" w:space="0"/>
            </w:tcBorders>
            <w:noWrap w:val="0"/>
            <w:vAlign w:val="center"/>
          </w:tcPr>
          <w:p w14:paraId="154A7CF4">
            <w:pPr>
              <w:keepNext w:val="0"/>
              <w:keepLines w:val="0"/>
              <w:pageBreakBefore w:val="0"/>
              <w:widowControl/>
              <w:suppressLineNumbers w:val="0"/>
              <w:kinsoku/>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20</w:t>
            </w:r>
          </w:p>
        </w:tc>
        <w:tc>
          <w:tcPr>
            <w:tcW w:w="433" w:type="pct"/>
            <w:tcBorders>
              <w:top w:val="single" w:color="000000" w:sz="4" w:space="0"/>
              <w:left w:val="single" w:color="000000" w:sz="4" w:space="0"/>
              <w:bottom w:val="single" w:color="000000" w:sz="4" w:space="0"/>
              <w:right w:val="single" w:color="000000" w:sz="4" w:space="0"/>
            </w:tcBorders>
            <w:noWrap w:val="0"/>
            <w:vAlign w:val="center"/>
          </w:tcPr>
          <w:p w14:paraId="57245CA2">
            <w:pPr>
              <w:keepNext w:val="0"/>
              <w:keepLines w:val="0"/>
              <w:pageBreakBefore w:val="0"/>
              <w:widowControl/>
              <w:suppressLineNumbers w:val="0"/>
              <w:kinsoku/>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台</w:t>
            </w:r>
          </w:p>
        </w:tc>
      </w:tr>
      <w:tr w14:paraId="36EE5A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98"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1FF3F3E4">
            <w:pPr>
              <w:keepNext w:val="0"/>
              <w:keepLines w:val="0"/>
              <w:pageBreakBefore w:val="0"/>
              <w:widowControl/>
              <w:suppressLineNumbers w:val="0"/>
              <w:kinsoku/>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8</w:t>
            </w:r>
          </w:p>
        </w:tc>
        <w:tc>
          <w:tcPr>
            <w:tcW w:w="882" w:type="pct"/>
            <w:tcBorders>
              <w:top w:val="single" w:color="000000" w:sz="4" w:space="0"/>
              <w:left w:val="single" w:color="000000" w:sz="4" w:space="0"/>
              <w:bottom w:val="single" w:color="000000" w:sz="4" w:space="0"/>
              <w:right w:val="single" w:color="000000" w:sz="4" w:space="0"/>
            </w:tcBorders>
            <w:noWrap w:val="0"/>
            <w:vAlign w:val="center"/>
          </w:tcPr>
          <w:p w14:paraId="2B520522">
            <w:pPr>
              <w:keepNext w:val="0"/>
              <w:keepLines w:val="0"/>
              <w:pageBreakBefore w:val="0"/>
              <w:widowControl/>
              <w:suppressLineNumbers w:val="0"/>
              <w:kinsoku/>
              <w:overflowPunct/>
              <w:topLinePunct w:val="0"/>
              <w:autoSpaceDE/>
              <w:autoSpaceDN/>
              <w:bidi w:val="0"/>
              <w:adjustRightInd/>
              <w:snapToGrid/>
              <w:spacing w:line="240" w:lineRule="auto"/>
              <w:jc w:val="center"/>
              <w:textAlignment w:val="center"/>
              <w:rPr>
                <w:rFonts w:hint="default" w:ascii="宋体" w:hAnsi="宋体" w:eastAsia="宋体" w:cs="宋体"/>
                <w:i w:val="0"/>
                <w:iCs w:val="0"/>
                <w:color w:val="000000"/>
                <w:sz w:val="22"/>
                <w:szCs w:val="22"/>
                <w:highlight w:val="none"/>
                <w:u w:val="none"/>
                <w:lang w:val="en-US"/>
              </w:rPr>
            </w:pPr>
            <w:r>
              <w:rPr>
                <w:rFonts w:hint="eastAsia" w:ascii="宋体" w:hAnsi="宋体" w:eastAsia="宋体" w:cs="宋体"/>
                <w:i w:val="0"/>
                <w:iCs w:val="0"/>
                <w:color w:val="000000"/>
                <w:kern w:val="0"/>
                <w:sz w:val="22"/>
                <w:szCs w:val="22"/>
                <w:highlight w:val="none"/>
                <w:u w:val="none"/>
                <w:lang w:val="en-US" w:eastAsia="zh-CN" w:bidi="ar"/>
              </w:rPr>
              <w:t>24口千兆交换机</w:t>
            </w:r>
          </w:p>
        </w:tc>
        <w:tc>
          <w:tcPr>
            <w:tcW w:w="2716" w:type="pct"/>
            <w:tcBorders>
              <w:top w:val="single" w:color="000000" w:sz="4" w:space="0"/>
              <w:left w:val="single" w:color="000000" w:sz="4" w:space="0"/>
              <w:bottom w:val="single" w:color="000000" w:sz="4" w:space="0"/>
              <w:right w:val="single" w:color="000000" w:sz="4" w:space="0"/>
            </w:tcBorders>
            <w:noWrap w:val="0"/>
            <w:vAlign w:val="center"/>
          </w:tcPr>
          <w:p w14:paraId="4EBC3146">
            <w:pPr>
              <w:keepNext w:val="0"/>
              <w:keepLines w:val="0"/>
              <w:pageBreakBefore w:val="0"/>
              <w:widowControl/>
              <w:suppressLineNumbers w:val="0"/>
              <w:kinsoku/>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1.支持≥24个10/100/1000Mbps自适应电口+2个1000Mbps上联SFP光口。</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2.支持24个口PoE/PoE+供电，整机最大PoE输出功率≥230W。</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3.交换机容量≥52Gbps，包转发率≥39Mpps。</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4.材质：金属外壳，支持6kV防雷，支持机架式安装。</w:t>
            </w:r>
          </w:p>
        </w:tc>
        <w:tc>
          <w:tcPr>
            <w:tcW w:w="487" w:type="pct"/>
            <w:tcBorders>
              <w:top w:val="single" w:color="000000" w:sz="4" w:space="0"/>
              <w:left w:val="single" w:color="000000" w:sz="4" w:space="0"/>
              <w:bottom w:val="single" w:color="000000" w:sz="4" w:space="0"/>
              <w:right w:val="single" w:color="000000" w:sz="4" w:space="0"/>
            </w:tcBorders>
            <w:noWrap w:val="0"/>
            <w:vAlign w:val="center"/>
          </w:tcPr>
          <w:p w14:paraId="62160E6E">
            <w:pPr>
              <w:keepNext w:val="0"/>
              <w:keepLines w:val="0"/>
              <w:pageBreakBefore w:val="0"/>
              <w:widowControl/>
              <w:suppressLineNumbers w:val="0"/>
              <w:kinsoku/>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5</w:t>
            </w:r>
          </w:p>
        </w:tc>
        <w:tc>
          <w:tcPr>
            <w:tcW w:w="433" w:type="pct"/>
            <w:tcBorders>
              <w:top w:val="single" w:color="000000" w:sz="4" w:space="0"/>
              <w:left w:val="single" w:color="000000" w:sz="4" w:space="0"/>
              <w:bottom w:val="single" w:color="000000" w:sz="4" w:space="0"/>
              <w:right w:val="single" w:color="000000" w:sz="4" w:space="0"/>
            </w:tcBorders>
            <w:noWrap w:val="0"/>
            <w:vAlign w:val="center"/>
          </w:tcPr>
          <w:p w14:paraId="20DE256A">
            <w:pPr>
              <w:keepNext w:val="0"/>
              <w:keepLines w:val="0"/>
              <w:pageBreakBefore w:val="0"/>
              <w:widowControl/>
              <w:suppressLineNumbers w:val="0"/>
              <w:kinsoku/>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台</w:t>
            </w:r>
          </w:p>
        </w:tc>
      </w:tr>
      <w:tr w14:paraId="487EA7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2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53F72A2C">
            <w:pPr>
              <w:keepNext w:val="0"/>
              <w:keepLines w:val="0"/>
              <w:pageBreakBefore w:val="0"/>
              <w:widowControl/>
              <w:suppressLineNumbers w:val="0"/>
              <w:kinsoku/>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9</w:t>
            </w:r>
          </w:p>
        </w:tc>
        <w:tc>
          <w:tcPr>
            <w:tcW w:w="882" w:type="pct"/>
            <w:tcBorders>
              <w:top w:val="single" w:color="000000" w:sz="4" w:space="0"/>
              <w:left w:val="single" w:color="000000" w:sz="4" w:space="0"/>
              <w:bottom w:val="single" w:color="000000" w:sz="4" w:space="0"/>
              <w:right w:val="single" w:color="000000" w:sz="4" w:space="0"/>
            </w:tcBorders>
            <w:noWrap w:val="0"/>
            <w:vAlign w:val="center"/>
          </w:tcPr>
          <w:p w14:paraId="7152BC07">
            <w:pPr>
              <w:keepNext w:val="0"/>
              <w:keepLines w:val="0"/>
              <w:pageBreakBefore w:val="0"/>
              <w:widowControl/>
              <w:suppressLineNumbers w:val="0"/>
              <w:kinsoku/>
              <w:overflowPunct/>
              <w:topLinePunct w:val="0"/>
              <w:autoSpaceDE/>
              <w:autoSpaceDN/>
              <w:bidi w:val="0"/>
              <w:adjustRightInd/>
              <w:snapToGrid/>
              <w:spacing w:line="240" w:lineRule="auto"/>
              <w:jc w:val="center"/>
              <w:textAlignment w:val="center"/>
              <w:rPr>
                <w:rFonts w:hint="default" w:ascii="宋体" w:hAnsi="宋体" w:eastAsia="宋体" w:cs="宋体"/>
                <w:i w:val="0"/>
                <w:iCs w:val="0"/>
                <w:color w:val="000000"/>
                <w:sz w:val="22"/>
                <w:szCs w:val="22"/>
                <w:highlight w:val="none"/>
                <w:u w:val="none"/>
                <w:lang w:val="en-US"/>
              </w:rPr>
            </w:pPr>
            <w:r>
              <w:rPr>
                <w:rFonts w:hint="eastAsia" w:ascii="宋体" w:hAnsi="宋体" w:eastAsia="宋体" w:cs="宋体"/>
                <w:i w:val="0"/>
                <w:iCs w:val="0"/>
                <w:color w:val="000000"/>
                <w:kern w:val="0"/>
                <w:sz w:val="22"/>
                <w:szCs w:val="22"/>
                <w:highlight w:val="none"/>
                <w:u w:val="none"/>
                <w:lang w:val="en-US" w:eastAsia="zh-CN" w:bidi="ar"/>
              </w:rPr>
              <w:t>16口千兆交换机</w:t>
            </w:r>
          </w:p>
        </w:tc>
        <w:tc>
          <w:tcPr>
            <w:tcW w:w="2716" w:type="pct"/>
            <w:tcBorders>
              <w:top w:val="single" w:color="000000" w:sz="4" w:space="0"/>
              <w:left w:val="single" w:color="000000" w:sz="4" w:space="0"/>
              <w:bottom w:val="single" w:color="000000" w:sz="4" w:space="0"/>
              <w:right w:val="single" w:color="000000" w:sz="4" w:space="0"/>
            </w:tcBorders>
            <w:noWrap w:val="0"/>
            <w:vAlign w:val="center"/>
          </w:tcPr>
          <w:p w14:paraId="120C34FA">
            <w:pPr>
              <w:keepNext w:val="0"/>
              <w:keepLines w:val="0"/>
              <w:pageBreakBefore w:val="0"/>
              <w:widowControl/>
              <w:suppressLineNumbers w:val="0"/>
              <w:kinsoku/>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1.支持≥16个10/100/1000Mbps自适应电口+1个10/100/1000Mbps上联电口+自适应上联电口+1个1000Mbps上联SFP光口。</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2.支持16个口PoE/PoE+供电，整机最大PoE输出功率180W。</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3.交换机容量≥36Gbps，包转发率≥27Mpps。</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4.材质：金属外壳，支持6kV防雷，支持机架式安装，支持桌面式安装。</w:t>
            </w:r>
          </w:p>
        </w:tc>
        <w:tc>
          <w:tcPr>
            <w:tcW w:w="487" w:type="pct"/>
            <w:tcBorders>
              <w:top w:val="single" w:color="000000" w:sz="4" w:space="0"/>
              <w:left w:val="single" w:color="000000" w:sz="4" w:space="0"/>
              <w:bottom w:val="single" w:color="000000" w:sz="4" w:space="0"/>
              <w:right w:val="single" w:color="000000" w:sz="4" w:space="0"/>
            </w:tcBorders>
            <w:noWrap w:val="0"/>
            <w:vAlign w:val="center"/>
          </w:tcPr>
          <w:p w14:paraId="38165EFA">
            <w:pPr>
              <w:keepNext w:val="0"/>
              <w:keepLines w:val="0"/>
              <w:pageBreakBefore w:val="0"/>
              <w:widowControl/>
              <w:suppressLineNumbers w:val="0"/>
              <w:kinsoku/>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5</w:t>
            </w:r>
          </w:p>
        </w:tc>
        <w:tc>
          <w:tcPr>
            <w:tcW w:w="433" w:type="pct"/>
            <w:tcBorders>
              <w:top w:val="single" w:color="000000" w:sz="4" w:space="0"/>
              <w:left w:val="single" w:color="000000" w:sz="4" w:space="0"/>
              <w:bottom w:val="single" w:color="000000" w:sz="4" w:space="0"/>
              <w:right w:val="single" w:color="000000" w:sz="4" w:space="0"/>
            </w:tcBorders>
            <w:noWrap w:val="0"/>
            <w:vAlign w:val="center"/>
          </w:tcPr>
          <w:p w14:paraId="6FB7D26C">
            <w:pPr>
              <w:keepNext w:val="0"/>
              <w:keepLines w:val="0"/>
              <w:pageBreakBefore w:val="0"/>
              <w:widowControl/>
              <w:suppressLineNumbers w:val="0"/>
              <w:kinsoku/>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台</w:t>
            </w:r>
          </w:p>
        </w:tc>
      </w:tr>
      <w:tr w14:paraId="348017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7154B88D">
            <w:pPr>
              <w:keepNext w:val="0"/>
              <w:keepLines w:val="0"/>
              <w:pageBreakBefore w:val="0"/>
              <w:widowControl/>
              <w:suppressLineNumbers w:val="0"/>
              <w:kinsoku/>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10</w:t>
            </w:r>
          </w:p>
        </w:tc>
        <w:tc>
          <w:tcPr>
            <w:tcW w:w="882" w:type="pct"/>
            <w:tcBorders>
              <w:top w:val="single" w:color="000000" w:sz="4" w:space="0"/>
              <w:left w:val="single" w:color="000000" w:sz="4" w:space="0"/>
              <w:bottom w:val="single" w:color="000000" w:sz="4" w:space="0"/>
              <w:right w:val="single" w:color="000000" w:sz="4" w:space="0"/>
            </w:tcBorders>
            <w:noWrap/>
            <w:vAlign w:val="center"/>
          </w:tcPr>
          <w:p w14:paraId="1E879DCD">
            <w:pPr>
              <w:keepNext w:val="0"/>
              <w:keepLines w:val="0"/>
              <w:pageBreakBefore w:val="0"/>
              <w:widowControl/>
              <w:suppressLineNumbers w:val="0"/>
              <w:kinsoku/>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AP面板</w:t>
            </w:r>
          </w:p>
        </w:tc>
        <w:tc>
          <w:tcPr>
            <w:tcW w:w="2716" w:type="pct"/>
            <w:tcBorders>
              <w:top w:val="single" w:color="000000" w:sz="4" w:space="0"/>
              <w:left w:val="single" w:color="000000" w:sz="4" w:space="0"/>
              <w:bottom w:val="single" w:color="000000" w:sz="4" w:space="0"/>
              <w:right w:val="single" w:color="000000" w:sz="4" w:space="0"/>
            </w:tcBorders>
            <w:noWrap w:val="0"/>
            <w:vAlign w:val="center"/>
          </w:tcPr>
          <w:p w14:paraId="0C1EBA64">
            <w:pPr>
              <w:keepNext w:val="0"/>
              <w:keepLines w:val="0"/>
              <w:pageBreakBefore w:val="0"/>
              <w:widowControl/>
              <w:suppressLineNumbers w:val="0"/>
              <w:kinsoku/>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1.支持1775M双频千兆，WAN/PoE上联端口≥1个</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2.支持内置天线，支持2.4GHz/5GHz双频通信，支持802.11a/b/g/n/ac Wave1/Wave2/ax协议。</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3.支持AP与路由两种工作模式，支持二层漫游。</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4.支持一体化组网，支持APP管理。支持PoE供电。</w:t>
            </w:r>
          </w:p>
        </w:tc>
        <w:tc>
          <w:tcPr>
            <w:tcW w:w="487" w:type="pct"/>
            <w:tcBorders>
              <w:top w:val="single" w:color="000000" w:sz="4" w:space="0"/>
              <w:left w:val="single" w:color="000000" w:sz="4" w:space="0"/>
              <w:bottom w:val="single" w:color="000000" w:sz="4" w:space="0"/>
              <w:right w:val="single" w:color="000000" w:sz="4" w:space="0"/>
            </w:tcBorders>
            <w:noWrap/>
            <w:vAlign w:val="center"/>
          </w:tcPr>
          <w:p w14:paraId="04C7ACDA">
            <w:pPr>
              <w:keepNext w:val="0"/>
              <w:keepLines w:val="0"/>
              <w:pageBreakBefore w:val="0"/>
              <w:widowControl/>
              <w:suppressLineNumbers w:val="0"/>
              <w:kinsoku/>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20</w:t>
            </w:r>
          </w:p>
        </w:tc>
        <w:tc>
          <w:tcPr>
            <w:tcW w:w="433" w:type="pct"/>
            <w:tcBorders>
              <w:top w:val="single" w:color="000000" w:sz="4" w:space="0"/>
              <w:left w:val="single" w:color="000000" w:sz="4" w:space="0"/>
              <w:bottom w:val="single" w:color="000000" w:sz="4" w:space="0"/>
              <w:right w:val="single" w:color="000000" w:sz="4" w:space="0"/>
            </w:tcBorders>
            <w:noWrap/>
            <w:vAlign w:val="center"/>
          </w:tcPr>
          <w:p w14:paraId="2A98803D">
            <w:pPr>
              <w:keepNext w:val="0"/>
              <w:keepLines w:val="0"/>
              <w:pageBreakBefore w:val="0"/>
              <w:widowControl/>
              <w:suppressLineNumbers w:val="0"/>
              <w:kinsoku/>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台</w:t>
            </w:r>
          </w:p>
        </w:tc>
      </w:tr>
      <w:tr w14:paraId="0B574B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0"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6F96FDBA">
            <w:pPr>
              <w:keepNext w:val="0"/>
              <w:keepLines w:val="0"/>
              <w:pageBreakBefore w:val="0"/>
              <w:widowControl/>
              <w:suppressLineNumbers w:val="0"/>
              <w:kinsoku/>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11</w:t>
            </w:r>
          </w:p>
        </w:tc>
        <w:tc>
          <w:tcPr>
            <w:tcW w:w="882" w:type="pct"/>
            <w:tcBorders>
              <w:top w:val="single" w:color="000000" w:sz="4" w:space="0"/>
              <w:left w:val="single" w:color="000000" w:sz="4" w:space="0"/>
              <w:bottom w:val="single" w:color="000000" w:sz="4" w:space="0"/>
              <w:right w:val="single" w:color="000000" w:sz="4" w:space="0"/>
            </w:tcBorders>
            <w:noWrap/>
            <w:vAlign w:val="center"/>
          </w:tcPr>
          <w:p w14:paraId="1643266D">
            <w:pPr>
              <w:keepNext w:val="0"/>
              <w:keepLines w:val="0"/>
              <w:pageBreakBefore w:val="0"/>
              <w:widowControl/>
              <w:suppressLineNumbers w:val="0"/>
              <w:kinsoku/>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6U机柜</w:t>
            </w:r>
          </w:p>
        </w:tc>
        <w:tc>
          <w:tcPr>
            <w:tcW w:w="2716" w:type="pct"/>
            <w:tcBorders>
              <w:top w:val="single" w:color="000000" w:sz="4" w:space="0"/>
              <w:left w:val="single" w:color="000000" w:sz="4" w:space="0"/>
              <w:bottom w:val="single" w:color="000000" w:sz="4" w:space="0"/>
              <w:right w:val="single" w:color="000000" w:sz="4" w:space="0"/>
            </w:tcBorders>
            <w:noWrap/>
            <w:vAlign w:val="center"/>
          </w:tcPr>
          <w:p w14:paraId="496BAD69">
            <w:pPr>
              <w:keepNext w:val="0"/>
              <w:keepLines w:val="0"/>
              <w:pageBreakBefore w:val="0"/>
              <w:widowControl/>
              <w:suppressLineNumbers w:val="0"/>
              <w:kinsoku/>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机柜尺寸：高350mm*宽600mm*深450mm;</w:t>
            </w:r>
          </w:p>
          <w:p w14:paraId="24F96287">
            <w:pPr>
              <w:keepNext w:val="0"/>
              <w:keepLines w:val="0"/>
              <w:pageBreakBefore w:val="0"/>
              <w:widowControl/>
              <w:suppressLineNumbers w:val="0"/>
              <w:kinsoku/>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内容量：6U,保19英寸；</w:t>
            </w:r>
          </w:p>
          <w:p w14:paraId="4DDFA2E7">
            <w:pPr>
              <w:keepNext w:val="0"/>
              <w:keepLines w:val="0"/>
              <w:pageBreakBefore w:val="0"/>
              <w:widowControl/>
              <w:suppressLineNumbers w:val="0"/>
              <w:kinsoku/>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主要材质：优质冷扎钢板，，厚度：承重方孔条1.5mm；侧板0.8mm;</w:t>
            </w:r>
          </w:p>
          <w:p w14:paraId="737EA887">
            <w:pPr>
              <w:keepNext w:val="0"/>
              <w:keepLines w:val="0"/>
              <w:pageBreakBefore w:val="0"/>
              <w:widowControl/>
              <w:suppressLineNumbers w:val="0"/>
              <w:kinsoku/>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配置：隔板1块 ，方螺母螺钉10套，前门玻璃门，后门铁网门（前后门的玻璃门、钢板门、网孔门可更换），可以快速装卸框架结构，快开侧门，方便安装和维修；可关闭的上部和下部走线通道；落地安装；落地安装时可以选配支脚或脚轮；防护等级：IP20</w:t>
            </w:r>
          </w:p>
        </w:tc>
        <w:tc>
          <w:tcPr>
            <w:tcW w:w="487" w:type="pct"/>
            <w:tcBorders>
              <w:top w:val="single" w:color="000000" w:sz="4" w:space="0"/>
              <w:left w:val="single" w:color="000000" w:sz="4" w:space="0"/>
              <w:bottom w:val="single" w:color="000000" w:sz="4" w:space="0"/>
              <w:right w:val="single" w:color="000000" w:sz="4" w:space="0"/>
            </w:tcBorders>
            <w:noWrap/>
            <w:vAlign w:val="center"/>
          </w:tcPr>
          <w:p w14:paraId="4134B0D8">
            <w:pPr>
              <w:keepNext w:val="0"/>
              <w:keepLines w:val="0"/>
              <w:pageBreakBefore w:val="0"/>
              <w:widowControl/>
              <w:suppressLineNumbers w:val="0"/>
              <w:kinsoku/>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20</w:t>
            </w:r>
          </w:p>
        </w:tc>
        <w:tc>
          <w:tcPr>
            <w:tcW w:w="433" w:type="pct"/>
            <w:tcBorders>
              <w:top w:val="single" w:color="000000" w:sz="4" w:space="0"/>
              <w:left w:val="single" w:color="000000" w:sz="4" w:space="0"/>
              <w:bottom w:val="single" w:color="000000" w:sz="4" w:space="0"/>
              <w:right w:val="single" w:color="000000" w:sz="4" w:space="0"/>
            </w:tcBorders>
            <w:noWrap/>
            <w:vAlign w:val="center"/>
          </w:tcPr>
          <w:p w14:paraId="5761D299">
            <w:pPr>
              <w:keepNext w:val="0"/>
              <w:keepLines w:val="0"/>
              <w:pageBreakBefore w:val="0"/>
              <w:widowControl/>
              <w:suppressLineNumbers w:val="0"/>
              <w:kinsoku/>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台</w:t>
            </w:r>
          </w:p>
        </w:tc>
      </w:tr>
      <w:tr w14:paraId="6D122C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9"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0F45C7B4">
            <w:pPr>
              <w:keepNext w:val="0"/>
              <w:keepLines w:val="0"/>
              <w:pageBreakBefore w:val="0"/>
              <w:widowControl/>
              <w:suppressLineNumbers w:val="0"/>
              <w:kinsoku/>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12</w:t>
            </w:r>
          </w:p>
        </w:tc>
        <w:tc>
          <w:tcPr>
            <w:tcW w:w="882" w:type="pct"/>
            <w:tcBorders>
              <w:top w:val="single" w:color="000000" w:sz="4" w:space="0"/>
              <w:left w:val="single" w:color="000000" w:sz="4" w:space="0"/>
              <w:bottom w:val="single" w:color="000000" w:sz="4" w:space="0"/>
              <w:right w:val="single" w:color="000000" w:sz="4" w:space="0"/>
            </w:tcBorders>
            <w:noWrap/>
            <w:vAlign w:val="center"/>
          </w:tcPr>
          <w:p w14:paraId="55DE25DD">
            <w:pPr>
              <w:keepNext w:val="0"/>
              <w:keepLines w:val="0"/>
              <w:pageBreakBefore w:val="0"/>
              <w:widowControl/>
              <w:suppressLineNumbers w:val="0"/>
              <w:kinsoku/>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网线</w:t>
            </w:r>
          </w:p>
        </w:tc>
        <w:tc>
          <w:tcPr>
            <w:tcW w:w="2716" w:type="pct"/>
            <w:tcBorders>
              <w:top w:val="single" w:color="000000" w:sz="4" w:space="0"/>
              <w:left w:val="single" w:color="000000" w:sz="4" w:space="0"/>
              <w:bottom w:val="single" w:color="000000" w:sz="4" w:space="0"/>
              <w:right w:val="single" w:color="000000" w:sz="4" w:space="0"/>
            </w:tcBorders>
            <w:noWrap/>
            <w:vAlign w:val="center"/>
          </w:tcPr>
          <w:p w14:paraId="357B75F2">
            <w:pPr>
              <w:keepNext w:val="0"/>
              <w:keepLines w:val="0"/>
              <w:pageBreakBefore w:val="0"/>
              <w:widowControl/>
              <w:suppressLineNumbers w:val="0"/>
              <w:kinsoku/>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 xml:space="preserve">符合国标的六类网线，每箱305米。 </w:t>
            </w:r>
          </w:p>
        </w:tc>
        <w:tc>
          <w:tcPr>
            <w:tcW w:w="487" w:type="pct"/>
            <w:tcBorders>
              <w:top w:val="single" w:color="000000" w:sz="4" w:space="0"/>
              <w:left w:val="single" w:color="000000" w:sz="4" w:space="0"/>
              <w:bottom w:val="single" w:color="000000" w:sz="4" w:space="0"/>
              <w:right w:val="single" w:color="000000" w:sz="4" w:space="0"/>
            </w:tcBorders>
            <w:noWrap/>
            <w:vAlign w:val="center"/>
          </w:tcPr>
          <w:p w14:paraId="7C3AB872">
            <w:pPr>
              <w:keepNext w:val="0"/>
              <w:keepLines w:val="0"/>
              <w:pageBreakBefore w:val="0"/>
              <w:widowControl/>
              <w:suppressLineNumbers w:val="0"/>
              <w:kinsoku/>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30</w:t>
            </w:r>
          </w:p>
        </w:tc>
        <w:tc>
          <w:tcPr>
            <w:tcW w:w="433" w:type="pct"/>
            <w:tcBorders>
              <w:top w:val="single" w:color="000000" w:sz="4" w:space="0"/>
              <w:left w:val="single" w:color="000000" w:sz="4" w:space="0"/>
              <w:bottom w:val="single" w:color="000000" w:sz="4" w:space="0"/>
              <w:right w:val="single" w:color="000000" w:sz="4" w:space="0"/>
            </w:tcBorders>
            <w:noWrap/>
            <w:vAlign w:val="center"/>
          </w:tcPr>
          <w:p w14:paraId="1FE4BA70">
            <w:pPr>
              <w:keepNext w:val="0"/>
              <w:keepLines w:val="0"/>
              <w:pageBreakBefore w:val="0"/>
              <w:widowControl/>
              <w:suppressLineNumbers w:val="0"/>
              <w:kinsoku/>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箱</w:t>
            </w:r>
          </w:p>
        </w:tc>
      </w:tr>
      <w:tr w14:paraId="69DE47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1"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6FF4F986">
            <w:pPr>
              <w:keepNext w:val="0"/>
              <w:keepLines w:val="0"/>
              <w:pageBreakBefore w:val="0"/>
              <w:widowControl/>
              <w:suppressLineNumbers w:val="0"/>
              <w:kinsoku/>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13</w:t>
            </w:r>
          </w:p>
        </w:tc>
        <w:tc>
          <w:tcPr>
            <w:tcW w:w="882" w:type="pct"/>
            <w:tcBorders>
              <w:top w:val="single" w:color="000000" w:sz="4" w:space="0"/>
              <w:left w:val="single" w:color="000000" w:sz="4" w:space="0"/>
              <w:bottom w:val="single" w:color="000000" w:sz="4" w:space="0"/>
              <w:right w:val="single" w:color="000000" w:sz="4" w:space="0"/>
            </w:tcBorders>
            <w:noWrap/>
            <w:vAlign w:val="center"/>
          </w:tcPr>
          <w:p w14:paraId="4BDEF45B">
            <w:pPr>
              <w:keepNext w:val="0"/>
              <w:keepLines w:val="0"/>
              <w:pageBreakBefore w:val="0"/>
              <w:widowControl/>
              <w:suppressLineNumbers w:val="0"/>
              <w:kinsoku/>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管材</w:t>
            </w:r>
          </w:p>
        </w:tc>
        <w:tc>
          <w:tcPr>
            <w:tcW w:w="2716" w:type="pct"/>
            <w:tcBorders>
              <w:top w:val="single" w:color="000000" w:sz="4" w:space="0"/>
              <w:left w:val="single" w:color="000000" w:sz="4" w:space="0"/>
              <w:bottom w:val="single" w:color="000000" w:sz="4" w:space="0"/>
              <w:right w:val="single" w:color="000000" w:sz="4" w:space="0"/>
            </w:tcBorders>
            <w:noWrap/>
            <w:vAlign w:val="center"/>
          </w:tcPr>
          <w:p w14:paraId="67C0A649">
            <w:pPr>
              <w:keepNext w:val="0"/>
              <w:keepLines w:val="0"/>
              <w:pageBreakBefore w:val="0"/>
              <w:widowControl/>
              <w:suppressLineNumbers w:val="0"/>
              <w:kinsoku/>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符合国标和实际使用的39*18.mmA类材料</w:t>
            </w:r>
          </w:p>
        </w:tc>
        <w:tc>
          <w:tcPr>
            <w:tcW w:w="487" w:type="pct"/>
            <w:tcBorders>
              <w:top w:val="single" w:color="000000" w:sz="4" w:space="0"/>
              <w:left w:val="single" w:color="000000" w:sz="4" w:space="0"/>
              <w:bottom w:val="single" w:color="000000" w:sz="4" w:space="0"/>
              <w:right w:val="single" w:color="000000" w:sz="4" w:space="0"/>
            </w:tcBorders>
            <w:noWrap/>
            <w:vAlign w:val="center"/>
          </w:tcPr>
          <w:p w14:paraId="12356BDE">
            <w:pPr>
              <w:keepNext w:val="0"/>
              <w:keepLines w:val="0"/>
              <w:pageBreakBefore w:val="0"/>
              <w:widowControl/>
              <w:suppressLineNumbers w:val="0"/>
              <w:kinsoku/>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1600</w:t>
            </w:r>
          </w:p>
        </w:tc>
        <w:tc>
          <w:tcPr>
            <w:tcW w:w="433" w:type="pct"/>
            <w:tcBorders>
              <w:top w:val="single" w:color="000000" w:sz="4" w:space="0"/>
              <w:left w:val="single" w:color="000000" w:sz="4" w:space="0"/>
              <w:bottom w:val="single" w:color="000000" w:sz="4" w:space="0"/>
              <w:right w:val="single" w:color="000000" w:sz="4" w:space="0"/>
            </w:tcBorders>
            <w:noWrap/>
            <w:vAlign w:val="center"/>
          </w:tcPr>
          <w:p w14:paraId="65FDF8BE">
            <w:pPr>
              <w:keepNext w:val="0"/>
              <w:keepLines w:val="0"/>
              <w:pageBreakBefore w:val="0"/>
              <w:widowControl/>
              <w:suppressLineNumbers w:val="0"/>
              <w:kinsoku/>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米</w:t>
            </w:r>
          </w:p>
        </w:tc>
      </w:tr>
      <w:tr w14:paraId="5FA58E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8"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2A47EBBA">
            <w:pPr>
              <w:keepNext w:val="0"/>
              <w:keepLines w:val="0"/>
              <w:pageBreakBefore w:val="0"/>
              <w:widowControl/>
              <w:suppressLineNumbers w:val="0"/>
              <w:kinsoku/>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14</w:t>
            </w:r>
          </w:p>
        </w:tc>
        <w:tc>
          <w:tcPr>
            <w:tcW w:w="882" w:type="pct"/>
            <w:tcBorders>
              <w:top w:val="single" w:color="000000" w:sz="4" w:space="0"/>
              <w:left w:val="single" w:color="000000" w:sz="4" w:space="0"/>
              <w:bottom w:val="single" w:color="000000" w:sz="4" w:space="0"/>
              <w:right w:val="single" w:color="000000" w:sz="4" w:space="0"/>
            </w:tcBorders>
            <w:noWrap/>
            <w:vAlign w:val="center"/>
          </w:tcPr>
          <w:p w14:paraId="3BFB6634">
            <w:pPr>
              <w:keepNext w:val="0"/>
              <w:keepLines w:val="0"/>
              <w:pageBreakBefore w:val="0"/>
              <w:widowControl/>
              <w:suppressLineNumbers w:val="0"/>
              <w:kinsoku/>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辅材辅料</w:t>
            </w:r>
          </w:p>
        </w:tc>
        <w:tc>
          <w:tcPr>
            <w:tcW w:w="2716" w:type="pct"/>
            <w:tcBorders>
              <w:top w:val="single" w:color="000000" w:sz="4" w:space="0"/>
              <w:left w:val="single" w:color="000000" w:sz="4" w:space="0"/>
              <w:bottom w:val="single" w:color="000000" w:sz="4" w:space="0"/>
              <w:right w:val="single" w:color="000000" w:sz="4" w:space="0"/>
            </w:tcBorders>
            <w:noWrap w:val="0"/>
            <w:vAlign w:val="center"/>
          </w:tcPr>
          <w:p w14:paraId="06F215F6">
            <w:pPr>
              <w:keepNext w:val="0"/>
              <w:keepLines w:val="0"/>
              <w:pageBreakBefore w:val="0"/>
              <w:widowControl/>
              <w:suppressLineNumbers w:val="0"/>
              <w:kinsoku/>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符合国标和实际使用轧带，水晶头，电胶带，自攻丝，胀管，膨胀螺丝，波纹软管，86底盒，网络模块等辅材辅料</w:t>
            </w:r>
          </w:p>
        </w:tc>
        <w:tc>
          <w:tcPr>
            <w:tcW w:w="487" w:type="pct"/>
            <w:tcBorders>
              <w:top w:val="single" w:color="000000" w:sz="4" w:space="0"/>
              <w:left w:val="single" w:color="000000" w:sz="4" w:space="0"/>
              <w:bottom w:val="single" w:color="000000" w:sz="4" w:space="0"/>
              <w:right w:val="single" w:color="000000" w:sz="4" w:space="0"/>
            </w:tcBorders>
            <w:noWrap/>
            <w:vAlign w:val="center"/>
          </w:tcPr>
          <w:p w14:paraId="22FD5AAA">
            <w:pPr>
              <w:keepNext w:val="0"/>
              <w:keepLines w:val="0"/>
              <w:pageBreakBefore w:val="0"/>
              <w:widowControl/>
              <w:suppressLineNumbers w:val="0"/>
              <w:kinsoku/>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w:t>
            </w:r>
          </w:p>
        </w:tc>
        <w:tc>
          <w:tcPr>
            <w:tcW w:w="433" w:type="pct"/>
            <w:tcBorders>
              <w:top w:val="single" w:color="000000" w:sz="4" w:space="0"/>
              <w:left w:val="single" w:color="000000" w:sz="4" w:space="0"/>
              <w:bottom w:val="single" w:color="000000" w:sz="4" w:space="0"/>
              <w:right w:val="single" w:color="000000" w:sz="4" w:space="0"/>
            </w:tcBorders>
            <w:noWrap/>
            <w:vAlign w:val="center"/>
          </w:tcPr>
          <w:p w14:paraId="18190EE3">
            <w:pPr>
              <w:keepNext w:val="0"/>
              <w:keepLines w:val="0"/>
              <w:pageBreakBefore w:val="0"/>
              <w:widowControl/>
              <w:suppressLineNumbers w:val="0"/>
              <w:kinsoku/>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项</w:t>
            </w:r>
          </w:p>
        </w:tc>
      </w:tr>
      <w:tr w14:paraId="1B1AFB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9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570840B2">
            <w:pPr>
              <w:keepNext w:val="0"/>
              <w:keepLines w:val="0"/>
              <w:pageBreakBefore w:val="0"/>
              <w:widowControl/>
              <w:suppressLineNumbers w:val="0"/>
              <w:kinsoku/>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15</w:t>
            </w:r>
          </w:p>
        </w:tc>
        <w:tc>
          <w:tcPr>
            <w:tcW w:w="882" w:type="pct"/>
            <w:tcBorders>
              <w:top w:val="single" w:color="000000" w:sz="4" w:space="0"/>
              <w:left w:val="single" w:color="000000" w:sz="4" w:space="0"/>
              <w:bottom w:val="single" w:color="000000" w:sz="4" w:space="0"/>
              <w:right w:val="single" w:color="000000" w:sz="4" w:space="0"/>
            </w:tcBorders>
            <w:noWrap/>
            <w:vAlign w:val="center"/>
          </w:tcPr>
          <w:p w14:paraId="306DAB1C">
            <w:pPr>
              <w:keepNext w:val="0"/>
              <w:keepLines w:val="0"/>
              <w:pageBreakBefore w:val="0"/>
              <w:widowControl/>
              <w:suppressLineNumbers w:val="0"/>
              <w:kinsoku/>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技术服务</w:t>
            </w:r>
          </w:p>
        </w:tc>
        <w:tc>
          <w:tcPr>
            <w:tcW w:w="2716" w:type="pct"/>
            <w:tcBorders>
              <w:top w:val="single" w:color="000000" w:sz="4" w:space="0"/>
              <w:left w:val="single" w:color="000000" w:sz="4" w:space="0"/>
              <w:bottom w:val="single" w:color="000000" w:sz="4" w:space="0"/>
              <w:right w:val="single" w:color="000000" w:sz="4" w:space="0"/>
            </w:tcBorders>
            <w:noWrap w:val="0"/>
            <w:vAlign w:val="center"/>
          </w:tcPr>
          <w:p w14:paraId="4C07A13B">
            <w:pPr>
              <w:keepNext w:val="0"/>
              <w:keepLines w:val="0"/>
              <w:pageBreakBefore w:val="0"/>
              <w:widowControl/>
              <w:suppressLineNumbers w:val="0"/>
              <w:kinsoku/>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sz w:val="22"/>
                <w:szCs w:val="22"/>
                <w:highlight w:val="none"/>
                <w:u w:val="none"/>
                <w:lang w:val="en-US"/>
              </w:rPr>
            </w:pPr>
            <w:r>
              <w:rPr>
                <w:rFonts w:hint="eastAsia" w:ascii="宋体" w:hAnsi="宋体" w:eastAsia="宋体" w:cs="宋体"/>
                <w:i w:val="0"/>
                <w:iCs w:val="0"/>
                <w:color w:val="000000"/>
                <w:kern w:val="0"/>
                <w:sz w:val="22"/>
                <w:szCs w:val="22"/>
                <w:highlight w:val="none"/>
                <w:u w:val="none"/>
                <w:lang w:val="en-US" w:eastAsia="zh-CN" w:bidi="ar"/>
              </w:rPr>
              <w:t>现场协调，安排工人，现场突发状况解决，现场安全保障，布线，原有网线拆除，设备安装，调试，整理线缆，机柜整理，线材标识等</w:t>
            </w:r>
          </w:p>
        </w:tc>
        <w:tc>
          <w:tcPr>
            <w:tcW w:w="487" w:type="pct"/>
            <w:tcBorders>
              <w:top w:val="single" w:color="000000" w:sz="4" w:space="0"/>
              <w:left w:val="single" w:color="000000" w:sz="4" w:space="0"/>
              <w:bottom w:val="single" w:color="000000" w:sz="4" w:space="0"/>
              <w:right w:val="single" w:color="000000" w:sz="4" w:space="0"/>
            </w:tcBorders>
            <w:noWrap/>
            <w:vAlign w:val="center"/>
          </w:tcPr>
          <w:p w14:paraId="69231573">
            <w:pPr>
              <w:keepNext w:val="0"/>
              <w:keepLines w:val="0"/>
              <w:pageBreakBefore w:val="0"/>
              <w:widowControl/>
              <w:suppressLineNumbers w:val="0"/>
              <w:kinsoku/>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w:t>
            </w:r>
          </w:p>
        </w:tc>
        <w:tc>
          <w:tcPr>
            <w:tcW w:w="433" w:type="pct"/>
            <w:tcBorders>
              <w:top w:val="single" w:color="000000" w:sz="4" w:space="0"/>
              <w:left w:val="single" w:color="000000" w:sz="4" w:space="0"/>
              <w:bottom w:val="single" w:color="000000" w:sz="4" w:space="0"/>
              <w:right w:val="single" w:color="000000" w:sz="4" w:space="0"/>
            </w:tcBorders>
            <w:noWrap/>
            <w:vAlign w:val="center"/>
          </w:tcPr>
          <w:p w14:paraId="2311DDFB">
            <w:pPr>
              <w:keepNext w:val="0"/>
              <w:keepLines w:val="0"/>
              <w:pageBreakBefore w:val="0"/>
              <w:widowControl/>
              <w:suppressLineNumbers w:val="0"/>
              <w:kinsoku/>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项</w:t>
            </w:r>
          </w:p>
        </w:tc>
      </w:tr>
      <w:tr w14:paraId="168006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7" w:hRule="atLeast"/>
        </w:trPr>
        <w:tc>
          <w:tcPr>
            <w:tcW w:w="5000" w:type="pct"/>
            <w:gridSpan w:val="5"/>
            <w:tcBorders>
              <w:top w:val="single" w:color="000000" w:sz="4" w:space="0"/>
              <w:left w:val="single" w:color="000000" w:sz="4" w:space="0"/>
              <w:bottom w:val="single" w:color="000000" w:sz="4" w:space="0"/>
              <w:right w:val="single" w:color="000000" w:sz="4" w:space="0"/>
            </w:tcBorders>
            <w:noWrap/>
            <w:vAlign w:val="center"/>
          </w:tcPr>
          <w:p w14:paraId="208D8374">
            <w:pPr>
              <w:keepNext w:val="0"/>
              <w:keepLines w:val="0"/>
              <w:pageBreakBefore w:val="0"/>
              <w:widowControl/>
              <w:suppressLineNumbers w:val="0"/>
              <w:kinsoku/>
              <w:overflowPunct/>
              <w:topLinePunct w:val="0"/>
              <w:autoSpaceDE/>
              <w:autoSpaceDN/>
              <w:bidi w:val="0"/>
              <w:adjustRightInd/>
              <w:snapToGrid/>
              <w:spacing w:line="240" w:lineRule="auto"/>
              <w:jc w:val="center"/>
              <w:textAlignment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kern w:val="0"/>
                <w:sz w:val="22"/>
                <w:szCs w:val="22"/>
                <w:highlight w:val="none"/>
                <w:u w:val="none"/>
                <w:lang w:val="en-US" w:eastAsia="zh-CN" w:bidi="ar"/>
              </w:rPr>
              <w:t>二、监控新增及改造</w:t>
            </w:r>
          </w:p>
        </w:tc>
      </w:tr>
      <w:tr w14:paraId="647295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9"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14640B9E">
            <w:pPr>
              <w:keepNext w:val="0"/>
              <w:keepLines w:val="0"/>
              <w:pageBreakBefore w:val="0"/>
              <w:widowControl/>
              <w:suppressLineNumbers w:val="0"/>
              <w:kinsoku/>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w:t>
            </w:r>
          </w:p>
        </w:tc>
        <w:tc>
          <w:tcPr>
            <w:tcW w:w="882" w:type="pct"/>
            <w:tcBorders>
              <w:top w:val="single" w:color="000000" w:sz="4" w:space="0"/>
              <w:left w:val="single" w:color="000000" w:sz="4" w:space="0"/>
              <w:bottom w:val="single" w:color="000000" w:sz="4" w:space="0"/>
              <w:right w:val="single" w:color="000000" w:sz="4" w:space="0"/>
            </w:tcBorders>
            <w:noWrap w:val="0"/>
            <w:vAlign w:val="center"/>
          </w:tcPr>
          <w:p w14:paraId="47D38E1F">
            <w:pPr>
              <w:keepNext w:val="0"/>
              <w:keepLines w:val="0"/>
              <w:pageBreakBefore w:val="0"/>
              <w:widowControl/>
              <w:suppressLineNumbers w:val="0"/>
              <w:kinsoku/>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4芯单模光纤</w:t>
            </w:r>
          </w:p>
        </w:tc>
        <w:tc>
          <w:tcPr>
            <w:tcW w:w="2716" w:type="pct"/>
            <w:tcBorders>
              <w:top w:val="single" w:color="000000" w:sz="4" w:space="0"/>
              <w:left w:val="single" w:color="000000" w:sz="4" w:space="0"/>
              <w:bottom w:val="single" w:color="000000" w:sz="4" w:space="0"/>
              <w:right w:val="single" w:color="000000" w:sz="4" w:space="0"/>
            </w:tcBorders>
            <w:noWrap w:val="0"/>
            <w:vAlign w:val="center"/>
          </w:tcPr>
          <w:p w14:paraId="36733015">
            <w:pPr>
              <w:keepNext w:val="0"/>
              <w:keepLines w:val="0"/>
              <w:pageBreakBefore w:val="0"/>
              <w:widowControl/>
              <w:suppressLineNumbers w:val="0"/>
              <w:kinsoku/>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符合国标的4芯国标束状光缆</w:t>
            </w:r>
          </w:p>
        </w:tc>
        <w:tc>
          <w:tcPr>
            <w:tcW w:w="487" w:type="pct"/>
            <w:tcBorders>
              <w:top w:val="single" w:color="000000" w:sz="4" w:space="0"/>
              <w:left w:val="single" w:color="000000" w:sz="4" w:space="0"/>
              <w:bottom w:val="single" w:color="000000" w:sz="4" w:space="0"/>
              <w:right w:val="single" w:color="000000" w:sz="4" w:space="0"/>
            </w:tcBorders>
            <w:noWrap w:val="0"/>
            <w:vAlign w:val="center"/>
          </w:tcPr>
          <w:p w14:paraId="67821FF3">
            <w:pPr>
              <w:keepNext w:val="0"/>
              <w:keepLines w:val="0"/>
              <w:pageBreakBefore w:val="0"/>
              <w:widowControl/>
              <w:suppressLineNumbers w:val="0"/>
              <w:kinsoku/>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6600</w:t>
            </w:r>
          </w:p>
        </w:tc>
        <w:tc>
          <w:tcPr>
            <w:tcW w:w="433" w:type="pct"/>
            <w:tcBorders>
              <w:top w:val="single" w:color="000000" w:sz="4" w:space="0"/>
              <w:left w:val="single" w:color="000000" w:sz="4" w:space="0"/>
              <w:bottom w:val="single" w:color="000000" w:sz="4" w:space="0"/>
              <w:right w:val="single" w:color="000000" w:sz="4" w:space="0"/>
            </w:tcBorders>
            <w:noWrap w:val="0"/>
            <w:vAlign w:val="center"/>
          </w:tcPr>
          <w:p w14:paraId="06D93181">
            <w:pPr>
              <w:keepNext w:val="0"/>
              <w:keepLines w:val="0"/>
              <w:pageBreakBefore w:val="0"/>
              <w:widowControl/>
              <w:suppressLineNumbers w:val="0"/>
              <w:kinsoku/>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米</w:t>
            </w:r>
          </w:p>
        </w:tc>
      </w:tr>
      <w:tr w14:paraId="1F3A8B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28"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48164ABE">
            <w:pPr>
              <w:keepNext w:val="0"/>
              <w:keepLines w:val="0"/>
              <w:pageBreakBefore w:val="0"/>
              <w:widowControl/>
              <w:suppressLineNumbers w:val="0"/>
              <w:kinsoku/>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2</w:t>
            </w:r>
          </w:p>
        </w:tc>
        <w:tc>
          <w:tcPr>
            <w:tcW w:w="882" w:type="pct"/>
            <w:tcBorders>
              <w:top w:val="single" w:color="000000" w:sz="4" w:space="0"/>
              <w:left w:val="single" w:color="000000" w:sz="4" w:space="0"/>
              <w:bottom w:val="single" w:color="000000" w:sz="4" w:space="0"/>
              <w:right w:val="single" w:color="000000" w:sz="4" w:space="0"/>
            </w:tcBorders>
            <w:noWrap w:val="0"/>
            <w:vAlign w:val="center"/>
          </w:tcPr>
          <w:p w14:paraId="582F1E1A">
            <w:pPr>
              <w:keepNext w:val="0"/>
              <w:keepLines w:val="0"/>
              <w:pageBreakBefore w:val="0"/>
              <w:widowControl/>
              <w:suppressLineNumbers w:val="0"/>
              <w:kinsoku/>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网络存储服务器</w:t>
            </w:r>
          </w:p>
        </w:tc>
        <w:tc>
          <w:tcPr>
            <w:tcW w:w="2716" w:type="pct"/>
            <w:tcBorders>
              <w:top w:val="single" w:color="000000" w:sz="4" w:space="0"/>
              <w:left w:val="single" w:color="000000" w:sz="4" w:space="0"/>
              <w:bottom w:val="single" w:color="000000" w:sz="4" w:space="0"/>
              <w:right w:val="single" w:color="000000" w:sz="4" w:space="0"/>
            </w:tcBorders>
            <w:noWrap w:val="0"/>
            <w:vAlign w:val="center"/>
          </w:tcPr>
          <w:p w14:paraId="49A75AB1">
            <w:pPr>
              <w:keepNext w:val="0"/>
              <w:keepLines w:val="0"/>
              <w:pageBreakBefore w:val="0"/>
              <w:widowControl/>
              <w:suppressLineNumbers w:val="0"/>
              <w:kinsoku/>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★1.支持≥1个RS232串口/CONSOLE接口，≥1个VGA接口，≥2个USB2.0接口，支持可热插拔。</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2.支持≥1颗64位8核处理器，标配≥8GB内存，内置EMMC系统盘和IOT企业级硬盘，硬盘数量可按需配置，最大可配置≥24块；最多支持≥2个风扇，可热插拔冗余温控调速风扇。</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3.支持通过IE浏览器设置RAID组为RAID0、RAID1、RAID5、RAID6、RAID10、RAID50、VRAID模式，并支持RAID即建即用（RAID创建后拔掉任意一块硬盘都不影响数据读写）。</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4.应能在RAID内丢失2块（含）以上硬盘但至少有1块正常磁盘时，无需等待丢失盘恢复，保留的硬盘中的数据可正常读出，且新数据可正常写入。</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5.RAID模式下，当RAID内某一块硬盘发生故障，更换该硬盘或热备盘替换时，可自动进行RAID重构。当RAID处于降级或重构状态下，不影响数据写入。且存储的数据不丢失。</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6.支持录像存储过程中加入特殊字段，防止录像被篡改或伪造，以保证录像的原始性及完整性。可对录像的某个时间点添加标签，并可进行查询、回放、下载可接入MPEG4、H.264、H.265、Smart265、SVAC编码格式和分辨率为4096×2160的前端设备并存储录像文件。</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7.可将接入样机的网络设备的IP地址、端口号等信息以excel形式进行导入导出。</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8.应能预录报警触发前1-40min的视频录像。</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9.当接入的视频图像的警戒区域内探测到移动目标时，可给出报警提示信息并进行录像。</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★10.支持对存储硬盘进行SMART检测。</w:t>
            </w:r>
          </w:p>
        </w:tc>
        <w:tc>
          <w:tcPr>
            <w:tcW w:w="487" w:type="pct"/>
            <w:tcBorders>
              <w:top w:val="single" w:color="000000" w:sz="4" w:space="0"/>
              <w:left w:val="single" w:color="000000" w:sz="4" w:space="0"/>
              <w:bottom w:val="single" w:color="000000" w:sz="4" w:space="0"/>
              <w:right w:val="single" w:color="000000" w:sz="4" w:space="0"/>
            </w:tcBorders>
            <w:noWrap w:val="0"/>
            <w:vAlign w:val="center"/>
          </w:tcPr>
          <w:p w14:paraId="45535009">
            <w:pPr>
              <w:keepNext w:val="0"/>
              <w:keepLines w:val="0"/>
              <w:pageBreakBefore w:val="0"/>
              <w:widowControl/>
              <w:suppressLineNumbers w:val="0"/>
              <w:kinsoku/>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w:t>
            </w:r>
          </w:p>
        </w:tc>
        <w:tc>
          <w:tcPr>
            <w:tcW w:w="433" w:type="pct"/>
            <w:tcBorders>
              <w:top w:val="single" w:color="000000" w:sz="4" w:space="0"/>
              <w:left w:val="single" w:color="000000" w:sz="4" w:space="0"/>
              <w:bottom w:val="single" w:color="000000" w:sz="4" w:space="0"/>
              <w:right w:val="single" w:color="000000" w:sz="4" w:space="0"/>
            </w:tcBorders>
            <w:noWrap w:val="0"/>
            <w:vAlign w:val="center"/>
          </w:tcPr>
          <w:p w14:paraId="692BB0CA">
            <w:pPr>
              <w:keepNext w:val="0"/>
              <w:keepLines w:val="0"/>
              <w:pageBreakBefore w:val="0"/>
              <w:widowControl/>
              <w:suppressLineNumbers w:val="0"/>
              <w:kinsoku/>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台</w:t>
            </w:r>
          </w:p>
        </w:tc>
      </w:tr>
      <w:tr w14:paraId="62F3E2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1"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6C4DACF9">
            <w:pPr>
              <w:keepNext w:val="0"/>
              <w:keepLines w:val="0"/>
              <w:pageBreakBefore w:val="0"/>
              <w:widowControl/>
              <w:suppressLineNumbers w:val="0"/>
              <w:kinsoku/>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3</w:t>
            </w:r>
          </w:p>
        </w:tc>
        <w:tc>
          <w:tcPr>
            <w:tcW w:w="882" w:type="pct"/>
            <w:tcBorders>
              <w:top w:val="single" w:color="000000" w:sz="4" w:space="0"/>
              <w:left w:val="single" w:color="000000" w:sz="4" w:space="0"/>
              <w:bottom w:val="single" w:color="000000" w:sz="4" w:space="0"/>
              <w:right w:val="single" w:color="000000" w:sz="4" w:space="0"/>
            </w:tcBorders>
            <w:noWrap w:val="0"/>
            <w:vAlign w:val="center"/>
          </w:tcPr>
          <w:p w14:paraId="09F22070">
            <w:pPr>
              <w:keepNext w:val="0"/>
              <w:keepLines w:val="0"/>
              <w:pageBreakBefore w:val="0"/>
              <w:widowControl/>
              <w:suppressLineNumbers w:val="0"/>
              <w:kinsoku/>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监控硬盘</w:t>
            </w:r>
          </w:p>
        </w:tc>
        <w:tc>
          <w:tcPr>
            <w:tcW w:w="2716" w:type="pct"/>
            <w:tcBorders>
              <w:top w:val="single" w:color="000000" w:sz="4" w:space="0"/>
              <w:left w:val="single" w:color="000000" w:sz="4" w:space="0"/>
              <w:bottom w:val="single" w:color="000000" w:sz="4" w:space="0"/>
              <w:right w:val="single" w:color="000000" w:sz="4" w:space="0"/>
            </w:tcBorders>
            <w:noWrap w:val="0"/>
            <w:vAlign w:val="center"/>
          </w:tcPr>
          <w:p w14:paraId="58AEB373">
            <w:pPr>
              <w:keepNext w:val="0"/>
              <w:keepLines w:val="0"/>
              <w:pageBreakBefore w:val="0"/>
              <w:widowControl/>
              <w:suppressLineNumbers w:val="0"/>
              <w:kinsoku/>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≥8000G 3.5英寸监控专用。</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≥7200转速，≥256M缓存。</w:t>
            </w:r>
          </w:p>
        </w:tc>
        <w:tc>
          <w:tcPr>
            <w:tcW w:w="487" w:type="pct"/>
            <w:tcBorders>
              <w:top w:val="single" w:color="000000" w:sz="4" w:space="0"/>
              <w:left w:val="single" w:color="000000" w:sz="4" w:space="0"/>
              <w:bottom w:val="single" w:color="000000" w:sz="4" w:space="0"/>
              <w:right w:val="single" w:color="000000" w:sz="4" w:space="0"/>
            </w:tcBorders>
            <w:noWrap w:val="0"/>
            <w:vAlign w:val="center"/>
          </w:tcPr>
          <w:p w14:paraId="0E781262">
            <w:pPr>
              <w:keepNext w:val="0"/>
              <w:keepLines w:val="0"/>
              <w:pageBreakBefore w:val="0"/>
              <w:widowControl/>
              <w:suppressLineNumbers w:val="0"/>
              <w:kinsoku/>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21</w:t>
            </w:r>
          </w:p>
        </w:tc>
        <w:tc>
          <w:tcPr>
            <w:tcW w:w="433" w:type="pct"/>
            <w:tcBorders>
              <w:top w:val="single" w:color="000000" w:sz="4" w:space="0"/>
              <w:left w:val="single" w:color="000000" w:sz="4" w:space="0"/>
              <w:bottom w:val="single" w:color="000000" w:sz="4" w:space="0"/>
              <w:right w:val="single" w:color="000000" w:sz="4" w:space="0"/>
            </w:tcBorders>
            <w:noWrap w:val="0"/>
            <w:vAlign w:val="center"/>
          </w:tcPr>
          <w:p w14:paraId="4A9DA5EF">
            <w:pPr>
              <w:keepNext w:val="0"/>
              <w:keepLines w:val="0"/>
              <w:pageBreakBefore w:val="0"/>
              <w:widowControl/>
              <w:suppressLineNumbers w:val="0"/>
              <w:kinsoku/>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块</w:t>
            </w:r>
          </w:p>
        </w:tc>
      </w:tr>
      <w:tr w14:paraId="080524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8" w:hRule="atLeast"/>
        </w:trPr>
        <w:tc>
          <w:tcPr>
            <w:tcW w:w="480" w:type="pct"/>
            <w:vMerge w:val="restart"/>
            <w:tcBorders>
              <w:top w:val="single" w:color="000000" w:sz="4" w:space="0"/>
              <w:left w:val="single" w:color="000000" w:sz="4" w:space="0"/>
              <w:bottom w:val="single" w:color="000000" w:sz="4" w:space="0"/>
              <w:right w:val="single" w:color="000000" w:sz="4" w:space="0"/>
            </w:tcBorders>
            <w:noWrap w:val="0"/>
            <w:vAlign w:val="center"/>
          </w:tcPr>
          <w:p w14:paraId="6C60E4D9">
            <w:pPr>
              <w:keepNext w:val="0"/>
              <w:keepLines w:val="0"/>
              <w:pageBreakBefore w:val="0"/>
              <w:widowControl/>
              <w:suppressLineNumbers w:val="0"/>
              <w:kinsoku/>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4</w:t>
            </w:r>
          </w:p>
        </w:tc>
        <w:tc>
          <w:tcPr>
            <w:tcW w:w="882" w:type="pct"/>
            <w:vMerge w:val="restart"/>
            <w:tcBorders>
              <w:top w:val="single" w:color="000000" w:sz="4" w:space="0"/>
              <w:left w:val="single" w:color="000000" w:sz="4" w:space="0"/>
              <w:bottom w:val="single" w:color="000000" w:sz="4" w:space="0"/>
              <w:right w:val="single" w:color="000000" w:sz="4" w:space="0"/>
            </w:tcBorders>
            <w:noWrap w:val="0"/>
            <w:vAlign w:val="center"/>
          </w:tcPr>
          <w:p w14:paraId="305C1397">
            <w:pPr>
              <w:keepNext w:val="0"/>
              <w:keepLines w:val="0"/>
              <w:pageBreakBefore w:val="0"/>
              <w:widowControl/>
              <w:suppressLineNumbers w:val="0"/>
              <w:kinsoku/>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核心交换机</w:t>
            </w:r>
          </w:p>
        </w:tc>
        <w:tc>
          <w:tcPr>
            <w:tcW w:w="2716" w:type="pct"/>
            <w:tcBorders>
              <w:top w:val="single" w:color="000000" w:sz="4" w:space="0"/>
              <w:left w:val="single" w:color="000000" w:sz="4" w:space="0"/>
              <w:bottom w:val="single" w:color="000000" w:sz="4" w:space="0"/>
              <w:right w:val="single" w:color="000000" w:sz="4" w:space="0"/>
            </w:tcBorders>
            <w:noWrap w:val="0"/>
            <w:vAlign w:val="center"/>
          </w:tcPr>
          <w:p w14:paraId="6768E45D">
            <w:pPr>
              <w:keepNext w:val="0"/>
              <w:keepLines w:val="0"/>
              <w:pageBreakBefore w:val="0"/>
              <w:widowControl/>
              <w:suppressLineNumbers w:val="0"/>
              <w:kinsoku/>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配套业务板卡，带24个千兆光口和2个万兆光口。</w:t>
            </w:r>
          </w:p>
        </w:tc>
        <w:tc>
          <w:tcPr>
            <w:tcW w:w="487" w:type="pct"/>
            <w:tcBorders>
              <w:top w:val="single" w:color="000000" w:sz="4" w:space="0"/>
              <w:left w:val="single" w:color="000000" w:sz="4" w:space="0"/>
              <w:bottom w:val="single" w:color="000000" w:sz="4" w:space="0"/>
              <w:right w:val="single" w:color="000000" w:sz="4" w:space="0"/>
            </w:tcBorders>
            <w:noWrap w:val="0"/>
            <w:vAlign w:val="center"/>
          </w:tcPr>
          <w:p w14:paraId="4BD91AAE">
            <w:pPr>
              <w:keepNext w:val="0"/>
              <w:keepLines w:val="0"/>
              <w:pageBreakBefore w:val="0"/>
              <w:widowControl/>
              <w:suppressLineNumbers w:val="0"/>
              <w:kinsoku/>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w:t>
            </w:r>
          </w:p>
        </w:tc>
        <w:tc>
          <w:tcPr>
            <w:tcW w:w="433" w:type="pct"/>
            <w:tcBorders>
              <w:top w:val="single" w:color="000000" w:sz="4" w:space="0"/>
              <w:left w:val="single" w:color="000000" w:sz="4" w:space="0"/>
              <w:bottom w:val="single" w:color="000000" w:sz="4" w:space="0"/>
              <w:right w:val="single" w:color="000000" w:sz="4" w:space="0"/>
            </w:tcBorders>
            <w:noWrap w:val="0"/>
            <w:vAlign w:val="center"/>
          </w:tcPr>
          <w:p w14:paraId="444D2D18">
            <w:pPr>
              <w:keepNext w:val="0"/>
              <w:keepLines w:val="0"/>
              <w:pageBreakBefore w:val="0"/>
              <w:widowControl/>
              <w:suppressLineNumbers w:val="0"/>
              <w:kinsoku/>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台</w:t>
            </w:r>
          </w:p>
        </w:tc>
      </w:tr>
      <w:tr w14:paraId="3C26D9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2" w:hRule="atLeast"/>
        </w:trPr>
        <w:tc>
          <w:tcPr>
            <w:tcW w:w="480" w:type="pct"/>
            <w:vMerge w:val="continue"/>
            <w:tcBorders>
              <w:top w:val="single" w:color="000000" w:sz="4" w:space="0"/>
              <w:left w:val="single" w:color="000000" w:sz="4" w:space="0"/>
              <w:bottom w:val="single" w:color="000000" w:sz="4" w:space="0"/>
              <w:right w:val="single" w:color="000000" w:sz="4" w:space="0"/>
            </w:tcBorders>
            <w:noWrap w:val="0"/>
            <w:vAlign w:val="center"/>
          </w:tcPr>
          <w:p w14:paraId="032A4238">
            <w:pPr>
              <w:keepNext w:val="0"/>
              <w:keepLines w:val="0"/>
              <w:pageBreakBefore w:val="0"/>
              <w:kinsoku/>
              <w:overflowPunct/>
              <w:topLinePunct w:val="0"/>
              <w:autoSpaceDE/>
              <w:autoSpaceDN/>
              <w:bidi w:val="0"/>
              <w:adjustRightInd/>
              <w:snapToGrid/>
              <w:spacing w:line="240" w:lineRule="auto"/>
              <w:jc w:val="center"/>
              <w:rPr>
                <w:rFonts w:hint="eastAsia" w:ascii="宋体" w:hAnsi="宋体" w:eastAsia="宋体" w:cs="宋体"/>
                <w:i w:val="0"/>
                <w:iCs w:val="0"/>
                <w:color w:val="000000"/>
                <w:sz w:val="22"/>
                <w:szCs w:val="22"/>
                <w:highlight w:val="none"/>
                <w:u w:val="none"/>
              </w:rPr>
            </w:pPr>
          </w:p>
        </w:tc>
        <w:tc>
          <w:tcPr>
            <w:tcW w:w="882" w:type="pct"/>
            <w:vMerge w:val="continue"/>
            <w:tcBorders>
              <w:top w:val="single" w:color="000000" w:sz="4" w:space="0"/>
              <w:left w:val="single" w:color="000000" w:sz="4" w:space="0"/>
              <w:bottom w:val="single" w:color="000000" w:sz="4" w:space="0"/>
              <w:right w:val="single" w:color="000000" w:sz="4" w:space="0"/>
            </w:tcBorders>
            <w:noWrap w:val="0"/>
            <w:vAlign w:val="center"/>
          </w:tcPr>
          <w:p w14:paraId="52CA7437">
            <w:pPr>
              <w:keepNext w:val="0"/>
              <w:keepLines w:val="0"/>
              <w:pageBreakBefore w:val="0"/>
              <w:kinsoku/>
              <w:overflowPunct/>
              <w:topLinePunct w:val="0"/>
              <w:autoSpaceDE/>
              <w:autoSpaceDN/>
              <w:bidi w:val="0"/>
              <w:adjustRightInd/>
              <w:snapToGrid/>
              <w:spacing w:line="240" w:lineRule="auto"/>
              <w:jc w:val="center"/>
              <w:rPr>
                <w:rFonts w:hint="eastAsia" w:ascii="宋体" w:hAnsi="宋体" w:eastAsia="宋体" w:cs="宋体"/>
                <w:i w:val="0"/>
                <w:iCs w:val="0"/>
                <w:color w:val="000000"/>
                <w:sz w:val="22"/>
                <w:szCs w:val="22"/>
                <w:highlight w:val="none"/>
                <w:u w:val="none"/>
              </w:rPr>
            </w:pPr>
          </w:p>
        </w:tc>
        <w:tc>
          <w:tcPr>
            <w:tcW w:w="2716" w:type="pct"/>
            <w:tcBorders>
              <w:top w:val="single" w:color="000000" w:sz="4" w:space="0"/>
              <w:left w:val="single" w:color="000000" w:sz="4" w:space="0"/>
              <w:bottom w:val="single" w:color="000000" w:sz="4" w:space="0"/>
              <w:right w:val="single" w:color="000000" w:sz="4" w:space="0"/>
            </w:tcBorders>
            <w:noWrap w:val="0"/>
            <w:vAlign w:val="center"/>
          </w:tcPr>
          <w:p w14:paraId="03874591">
            <w:pPr>
              <w:keepNext w:val="0"/>
              <w:keepLines w:val="0"/>
              <w:pageBreakBefore w:val="0"/>
              <w:widowControl/>
              <w:suppressLineNumbers w:val="0"/>
              <w:kinsoku/>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配套业务板卡，带24个千兆电口和2个万兆光口。</w:t>
            </w:r>
          </w:p>
        </w:tc>
        <w:tc>
          <w:tcPr>
            <w:tcW w:w="487" w:type="pct"/>
            <w:tcBorders>
              <w:top w:val="single" w:color="000000" w:sz="4" w:space="0"/>
              <w:left w:val="single" w:color="000000" w:sz="4" w:space="0"/>
              <w:bottom w:val="single" w:color="000000" w:sz="4" w:space="0"/>
              <w:right w:val="single" w:color="000000" w:sz="4" w:space="0"/>
            </w:tcBorders>
            <w:noWrap w:val="0"/>
            <w:vAlign w:val="center"/>
          </w:tcPr>
          <w:p w14:paraId="3CC388A3">
            <w:pPr>
              <w:keepNext w:val="0"/>
              <w:keepLines w:val="0"/>
              <w:pageBreakBefore w:val="0"/>
              <w:widowControl/>
              <w:suppressLineNumbers w:val="0"/>
              <w:kinsoku/>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w:t>
            </w:r>
          </w:p>
        </w:tc>
        <w:tc>
          <w:tcPr>
            <w:tcW w:w="433" w:type="pct"/>
            <w:tcBorders>
              <w:top w:val="single" w:color="000000" w:sz="4" w:space="0"/>
              <w:left w:val="single" w:color="000000" w:sz="4" w:space="0"/>
              <w:bottom w:val="single" w:color="000000" w:sz="4" w:space="0"/>
              <w:right w:val="single" w:color="000000" w:sz="4" w:space="0"/>
            </w:tcBorders>
            <w:noWrap w:val="0"/>
            <w:vAlign w:val="center"/>
          </w:tcPr>
          <w:p w14:paraId="326D62DF">
            <w:pPr>
              <w:keepNext w:val="0"/>
              <w:keepLines w:val="0"/>
              <w:pageBreakBefore w:val="0"/>
              <w:widowControl/>
              <w:suppressLineNumbers w:val="0"/>
              <w:kinsoku/>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台</w:t>
            </w:r>
          </w:p>
        </w:tc>
      </w:tr>
      <w:tr w14:paraId="0ED6D0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52" w:hRule="atLeast"/>
        </w:trPr>
        <w:tc>
          <w:tcPr>
            <w:tcW w:w="480" w:type="pct"/>
            <w:vMerge w:val="continue"/>
            <w:tcBorders>
              <w:top w:val="single" w:color="000000" w:sz="4" w:space="0"/>
              <w:left w:val="single" w:color="000000" w:sz="4" w:space="0"/>
              <w:bottom w:val="single" w:color="000000" w:sz="4" w:space="0"/>
              <w:right w:val="single" w:color="000000" w:sz="4" w:space="0"/>
            </w:tcBorders>
            <w:noWrap w:val="0"/>
            <w:vAlign w:val="center"/>
          </w:tcPr>
          <w:p w14:paraId="6CF9A1A1">
            <w:pPr>
              <w:keepNext w:val="0"/>
              <w:keepLines w:val="0"/>
              <w:pageBreakBefore w:val="0"/>
              <w:kinsoku/>
              <w:overflowPunct/>
              <w:topLinePunct w:val="0"/>
              <w:autoSpaceDE/>
              <w:autoSpaceDN/>
              <w:bidi w:val="0"/>
              <w:adjustRightInd/>
              <w:snapToGrid/>
              <w:spacing w:line="240" w:lineRule="auto"/>
              <w:jc w:val="center"/>
              <w:rPr>
                <w:rFonts w:hint="eastAsia" w:ascii="宋体" w:hAnsi="宋体" w:eastAsia="宋体" w:cs="宋体"/>
                <w:i w:val="0"/>
                <w:iCs w:val="0"/>
                <w:color w:val="000000"/>
                <w:sz w:val="22"/>
                <w:szCs w:val="22"/>
                <w:highlight w:val="none"/>
                <w:u w:val="none"/>
              </w:rPr>
            </w:pPr>
          </w:p>
        </w:tc>
        <w:tc>
          <w:tcPr>
            <w:tcW w:w="882" w:type="pct"/>
            <w:vMerge w:val="continue"/>
            <w:tcBorders>
              <w:top w:val="single" w:color="000000" w:sz="4" w:space="0"/>
              <w:left w:val="single" w:color="000000" w:sz="4" w:space="0"/>
              <w:bottom w:val="single" w:color="000000" w:sz="4" w:space="0"/>
              <w:right w:val="single" w:color="000000" w:sz="4" w:space="0"/>
            </w:tcBorders>
            <w:noWrap w:val="0"/>
            <w:vAlign w:val="center"/>
          </w:tcPr>
          <w:p w14:paraId="63D5B638">
            <w:pPr>
              <w:keepNext w:val="0"/>
              <w:keepLines w:val="0"/>
              <w:pageBreakBefore w:val="0"/>
              <w:kinsoku/>
              <w:overflowPunct/>
              <w:topLinePunct w:val="0"/>
              <w:autoSpaceDE/>
              <w:autoSpaceDN/>
              <w:bidi w:val="0"/>
              <w:adjustRightInd/>
              <w:snapToGrid/>
              <w:spacing w:line="240" w:lineRule="auto"/>
              <w:jc w:val="center"/>
              <w:rPr>
                <w:rFonts w:hint="eastAsia" w:ascii="宋体" w:hAnsi="宋体" w:eastAsia="宋体" w:cs="宋体"/>
                <w:i w:val="0"/>
                <w:iCs w:val="0"/>
                <w:color w:val="000000"/>
                <w:sz w:val="22"/>
                <w:szCs w:val="22"/>
                <w:highlight w:val="none"/>
                <w:u w:val="none"/>
              </w:rPr>
            </w:pPr>
          </w:p>
        </w:tc>
        <w:tc>
          <w:tcPr>
            <w:tcW w:w="2716" w:type="pct"/>
            <w:tcBorders>
              <w:top w:val="single" w:color="000000" w:sz="4" w:space="0"/>
              <w:left w:val="single" w:color="000000" w:sz="4" w:space="0"/>
              <w:bottom w:val="single" w:color="000000" w:sz="4" w:space="0"/>
              <w:right w:val="single" w:color="000000" w:sz="4" w:space="0"/>
            </w:tcBorders>
            <w:noWrap w:val="0"/>
            <w:vAlign w:val="center"/>
          </w:tcPr>
          <w:p w14:paraId="1C990FE9">
            <w:pPr>
              <w:keepNext w:val="0"/>
              <w:keepLines w:val="0"/>
              <w:pageBreakBefore w:val="0"/>
              <w:widowControl/>
              <w:suppressLineNumbers w:val="0"/>
              <w:kinsoku/>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1.★交换容量≥758Gbps，包转发率≥252Mpps，</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2.★整机独立业务板卡插槽≥2个。</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3.系统电源槽位≥2个，在满配电源时支持1+1电源冗余。</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4.符合业界主流机柜的尺寸规范要求，设备高度≤1U，设备深度≤600mm。</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5.支持可将≥2台物理设备虚拟化为1台逻辑设备，并可实现跨设备链路聚合。</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 xml:space="preserve">6.支持STP、 RSTP、 MSTP、端口聚合功能。 </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7.支持防环路检测，自动解决环路问题。</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8.支持静态路由、RIPng、OSPFv2、OSPFv3。</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9.设备防雷等级≥6kV。</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10.支持对交换机、无线AP进行统一管理，管理的交换机、无线AP设备数量≥300台 。</w:t>
            </w:r>
          </w:p>
        </w:tc>
        <w:tc>
          <w:tcPr>
            <w:tcW w:w="487" w:type="pct"/>
            <w:tcBorders>
              <w:top w:val="single" w:color="000000" w:sz="4" w:space="0"/>
              <w:left w:val="single" w:color="000000" w:sz="4" w:space="0"/>
              <w:bottom w:val="single" w:color="000000" w:sz="4" w:space="0"/>
              <w:right w:val="single" w:color="000000" w:sz="4" w:space="0"/>
            </w:tcBorders>
            <w:noWrap w:val="0"/>
            <w:vAlign w:val="center"/>
          </w:tcPr>
          <w:p w14:paraId="44B17E40">
            <w:pPr>
              <w:keepNext w:val="0"/>
              <w:keepLines w:val="0"/>
              <w:pageBreakBefore w:val="0"/>
              <w:widowControl/>
              <w:suppressLineNumbers w:val="0"/>
              <w:kinsoku/>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w:t>
            </w:r>
          </w:p>
        </w:tc>
        <w:tc>
          <w:tcPr>
            <w:tcW w:w="433" w:type="pct"/>
            <w:tcBorders>
              <w:top w:val="single" w:color="000000" w:sz="4" w:space="0"/>
              <w:left w:val="single" w:color="000000" w:sz="4" w:space="0"/>
              <w:bottom w:val="single" w:color="000000" w:sz="4" w:space="0"/>
              <w:right w:val="single" w:color="000000" w:sz="4" w:space="0"/>
            </w:tcBorders>
            <w:noWrap w:val="0"/>
            <w:vAlign w:val="center"/>
          </w:tcPr>
          <w:p w14:paraId="2F645F9A">
            <w:pPr>
              <w:keepNext w:val="0"/>
              <w:keepLines w:val="0"/>
              <w:pageBreakBefore w:val="0"/>
              <w:widowControl/>
              <w:suppressLineNumbers w:val="0"/>
              <w:kinsoku/>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台</w:t>
            </w:r>
          </w:p>
        </w:tc>
      </w:tr>
      <w:tr w14:paraId="27E9E5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2" w:hRule="atLeast"/>
        </w:trPr>
        <w:tc>
          <w:tcPr>
            <w:tcW w:w="480" w:type="pct"/>
            <w:vMerge w:val="continue"/>
            <w:tcBorders>
              <w:top w:val="single" w:color="000000" w:sz="4" w:space="0"/>
              <w:left w:val="single" w:color="000000" w:sz="4" w:space="0"/>
              <w:bottom w:val="single" w:color="000000" w:sz="4" w:space="0"/>
              <w:right w:val="single" w:color="000000" w:sz="4" w:space="0"/>
            </w:tcBorders>
            <w:noWrap w:val="0"/>
            <w:vAlign w:val="center"/>
          </w:tcPr>
          <w:p w14:paraId="4B505901">
            <w:pPr>
              <w:keepNext w:val="0"/>
              <w:keepLines w:val="0"/>
              <w:pageBreakBefore w:val="0"/>
              <w:kinsoku/>
              <w:overflowPunct/>
              <w:topLinePunct w:val="0"/>
              <w:autoSpaceDE/>
              <w:autoSpaceDN/>
              <w:bidi w:val="0"/>
              <w:adjustRightInd/>
              <w:snapToGrid/>
              <w:spacing w:line="240" w:lineRule="auto"/>
              <w:jc w:val="center"/>
              <w:rPr>
                <w:rFonts w:hint="eastAsia" w:ascii="宋体" w:hAnsi="宋体" w:eastAsia="宋体" w:cs="宋体"/>
                <w:i w:val="0"/>
                <w:iCs w:val="0"/>
                <w:color w:val="000000"/>
                <w:sz w:val="22"/>
                <w:szCs w:val="22"/>
                <w:highlight w:val="none"/>
                <w:u w:val="none"/>
              </w:rPr>
            </w:pPr>
          </w:p>
        </w:tc>
        <w:tc>
          <w:tcPr>
            <w:tcW w:w="882" w:type="pct"/>
            <w:vMerge w:val="continue"/>
            <w:tcBorders>
              <w:top w:val="single" w:color="000000" w:sz="4" w:space="0"/>
              <w:left w:val="single" w:color="000000" w:sz="4" w:space="0"/>
              <w:bottom w:val="single" w:color="000000" w:sz="4" w:space="0"/>
              <w:right w:val="single" w:color="000000" w:sz="4" w:space="0"/>
            </w:tcBorders>
            <w:noWrap w:val="0"/>
            <w:vAlign w:val="center"/>
          </w:tcPr>
          <w:p w14:paraId="56D46FDF">
            <w:pPr>
              <w:keepNext w:val="0"/>
              <w:keepLines w:val="0"/>
              <w:pageBreakBefore w:val="0"/>
              <w:kinsoku/>
              <w:overflowPunct/>
              <w:topLinePunct w:val="0"/>
              <w:autoSpaceDE/>
              <w:autoSpaceDN/>
              <w:bidi w:val="0"/>
              <w:adjustRightInd/>
              <w:snapToGrid/>
              <w:spacing w:line="240" w:lineRule="auto"/>
              <w:jc w:val="center"/>
              <w:rPr>
                <w:rFonts w:hint="eastAsia" w:ascii="宋体" w:hAnsi="宋体" w:eastAsia="宋体" w:cs="宋体"/>
                <w:i w:val="0"/>
                <w:iCs w:val="0"/>
                <w:color w:val="000000"/>
                <w:sz w:val="22"/>
                <w:szCs w:val="22"/>
                <w:highlight w:val="none"/>
                <w:u w:val="none"/>
              </w:rPr>
            </w:pPr>
          </w:p>
        </w:tc>
        <w:tc>
          <w:tcPr>
            <w:tcW w:w="2716" w:type="pct"/>
            <w:tcBorders>
              <w:top w:val="single" w:color="000000" w:sz="4" w:space="0"/>
              <w:left w:val="single" w:color="000000" w:sz="4" w:space="0"/>
              <w:bottom w:val="single" w:color="000000" w:sz="4" w:space="0"/>
              <w:right w:val="single" w:color="000000" w:sz="4" w:space="0"/>
            </w:tcBorders>
            <w:noWrap w:val="0"/>
            <w:vAlign w:val="center"/>
          </w:tcPr>
          <w:p w14:paraId="7D2C6FA5">
            <w:pPr>
              <w:keepNext w:val="0"/>
              <w:keepLines w:val="0"/>
              <w:pageBreakBefore w:val="0"/>
              <w:widowControl/>
              <w:suppressLineNumbers w:val="0"/>
              <w:kinsoku/>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配套电源（交流，150W）</w:t>
            </w:r>
          </w:p>
        </w:tc>
        <w:tc>
          <w:tcPr>
            <w:tcW w:w="487" w:type="pct"/>
            <w:tcBorders>
              <w:top w:val="single" w:color="000000" w:sz="4" w:space="0"/>
              <w:left w:val="single" w:color="000000" w:sz="4" w:space="0"/>
              <w:bottom w:val="single" w:color="000000" w:sz="4" w:space="0"/>
              <w:right w:val="single" w:color="000000" w:sz="4" w:space="0"/>
            </w:tcBorders>
            <w:noWrap w:val="0"/>
            <w:vAlign w:val="center"/>
          </w:tcPr>
          <w:p w14:paraId="47E69526">
            <w:pPr>
              <w:keepNext w:val="0"/>
              <w:keepLines w:val="0"/>
              <w:pageBreakBefore w:val="0"/>
              <w:widowControl/>
              <w:suppressLineNumbers w:val="0"/>
              <w:kinsoku/>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2</w:t>
            </w:r>
          </w:p>
        </w:tc>
        <w:tc>
          <w:tcPr>
            <w:tcW w:w="433" w:type="pct"/>
            <w:tcBorders>
              <w:top w:val="single" w:color="000000" w:sz="4" w:space="0"/>
              <w:left w:val="single" w:color="000000" w:sz="4" w:space="0"/>
              <w:bottom w:val="single" w:color="000000" w:sz="4" w:space="0"/>
              <w:right w:val="single" w:color="000000" w:sz="4" w:space="0"/>
            </w:tcBorders>
            <w:noWrap w:val="0"/>
            <w:vAlign w:val="center"/>
          </w:tcPr>
          <w:p w14:paraId="0FF68B1B">
            <w:pPr>
              <w:keepNext w:val="0"/>
              <w:keepLines w:val="0"/>
              <w:pageBreakBefore w:val="0"/>
              <w:widowControl/>
              <w:suppressLineNumbers w:val="0"/>
              <w:kinsoku/>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台</w:t>
            </w:r>
          </w:p>
        </w:tc>
      </w:tr>
      <w:tr w14:paraId="313CE3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98"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6FD8B231">
            <w:pPr>
              <w:keepNext w:val="0"/>
              <w:keepLines w:val="0"/>
              <w:pageBreakBefore w:val="0"/>
              <w:widowControl/>
              <w:suppressLineNumbers w:val="0"/>
              <w:kinsoku/>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5</w:t>
            </w:r>
          </w:p>
        </w:tc>
        <w:tc>
          <w:tcPr>
            <w:tcW w:w="882" w:type="pct"/>
            <w:tcBorders>
              <w:top w:val="single" w:color="000000" w:sz="4" w:space="0"/>
              <w:left w:val="single" w:color="000000" w:sz="4" w:space="0"/>
              <w:bottom w:val="single" w:color="000000" w:sz="4" w:space="0"/>
              <w:right w:val="single" w:color="000000" w:sz="4" w:space="0"/>
            </w:tcBorders>
            <w:noWrap w:val="0"/>
            <w:vAlign w:val="center"/>
          </w:tcPr>
          <w:p w14:paraId="2E8FF87B">
            <w:pPr>
              <w:keepNext w:val="0"/>
              <w:keepLines w:val="0"/>
              <w:pageBreakBefore w:val="0"/>
              <w:widowControl/>
              <w:suppressLineNumbers w:val="0"/>
              <w:kinsoku/>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楼层汇聚交换机</w:t>
            </w:r>
          </w:p>
        </w:tc>
        <w:tc>
          <w:tcPr>
            <w:tcW w:w="2716" w:type="pct"/>
            <w:tcBorders>
              <w:top w:val="single" w:color="000000" w:sz="4" w:space="0"/>
              <w:left w:val="single" w:color="000000" w:sz="4" w:space="0"/>
              <w:bottom w:val="single" w:color="000000" w:sz="4" w:space="0"/>
              <w:right w:val="single" w:color="000000" w:sz="4" w:space="0"/>
            </w:tcBorders>
            <w:noWrap w:val="0"/>
            <w:vAlign w:val="center"/>
          </w:tcPr>
          <w:p w14:paraId="3A96D88C">
            <w:pPr>
              <w:keepNext w:val="0"/>
              <w:keepLines w:val="0"/>
              <w:pageBreakBefore w:val="0"/>
              <w:widowControl/>
              <w:suppressLineNumbers w:val="0"/>
              <w:kinsoku/>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1.★实配固化千兆电接口数≥24个，千兆SFP光口≥4个，最大可用端口≥28个</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2.内存256MB，交换容量≥336Gbps，包转发率≥78Mpps</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3.交换缓存≥4.1Mbit</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4.荐整机待机终端≥300个或带≥200W像素IPC150个。</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5.支持生成树 STP / RSTP； 提高容错能力，保证网络的稳定运行和链路的负载均衡，合理使用网络通道，提供冗余链路利用率。</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6.支持防环路检测，自动解决环路问题。</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7.支持静态链路聚合。</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8.支持端口镜像，多对一镜像。</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9.支持VLAN划分，最大支持4094个VLAN</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10.支持防雷等级≥6KV</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11.支持QoS(支持端口输出和输入流量限速)</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12.支持标准的ACL、支持基于IP/MAC扩展的ACL</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13.支持CPU安全保护策略(硬件CPP)</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14.支持交换机0配置上线,支持自组网。</w:t>
            </w:r>
          </w:p>
        </w:tc>
        <w:tc>
          <w:tcPr>
            <w:tcW w:w="487" w:type="pct"/>
            <w:tcBorders>
              <w:top w:val="single" w:color="000000" w:sz="4" w:space="0"/>
              <w:left w:val="single" w:color="000000" w:sz="4" w:space="0"/>
              <w:bottom w:val="single" w:color="000000" w:sz="4" w:space="0"/>
              <w:right w:val="single" w:color="000000" w:sz="4" w:space="0"/>
            </w:tcBorders>
            <w:noWrap w:val="0"/>
            <w:vAlign w:val="center"/>
          </w:tcPr>
          <w:p w14:paraId="79AE33E0">
            <w:pPr>
              <w:keepNext w:val="0"/>
              <w:keepLines w:val="0"/>
              <w:pageBreakBefore w:val="0"/>
              <w:widowControl/>
              <w:suppressLineNumbers w:val="0"/>
              <w:kinsoku/>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16</w:t>
            </w:r>
          </w:p>
        </w:tc>
        <w:tc>
          <w:tcPr>
            <w:tcW w:w="433" w:type="pct"/>
            <w:tcBorders>
              <w:top w:val="single" w:color="000000" w:sz="4" w:space="0"/>
              <w:left w:val="single" w:color="000000" w:sz="4" w:space="0"/>
              <w:bottom w:val="single" w:color="000000" w:sz="4" w:space="0"/>
              <w:right w:val="single" w:color="000000" w:sz="4" w:space="0"/>
            </w:tcBorders>
            <w:noWrap w:val="0"/>
            <w:vAlign w:val="center"/>
          </w:tcPr>
          <w:p w14:paraId="25FDF703">
            <w:pPr>
              <w:keepNext w:val="0"/>
              <w:keepLines w:val="0"/>
              <w:pageBreakBefore w:val="0"/>
              <w:widowControl/>
              <w:suppressLineNumbers w:val="0"/>
              <w:kinsoku/>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台</w:t>
            </w:r>
          </w:p>
        </w:tc>
      </w:tr>
      <w:tr w14:paraId="7475D7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1BD63DDE">
            <w:pPr>
              <w:keepNext w:val="0"/>
              <w:keepLines w:val="0"/>
              <w:pageBreakBefore w:val="0"/>
              <w:widowControl/>
              <w:suppressLineNumbers w:val="0"/>
              <w:kinsoku/>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6</w:t>
            </w:r>
          </w:p>
        </w:tc>
        <w:tc>
          <w:tcPr>
            <w:tcW w:w="882" w:type="pct"/>
            <w:tcBorders>
              <w:top w:val="single" w:color="000000" w:sz="4" w:space="0"/>
              <w:left w:val="single" w:color="000000" w:sz="4" w:space="0"/>
              <w:bottom w:val="single" w:color="000000" w:sz="4" w:space="0"/>
              <w:right w:val="single" w:color="000000" w:sz="4" w:space="0"/>
            </w:tcBorders>
            <w:noWrap w:val="0"/>
            <w:vAlign w:val="center"/>
          </w:tcPr>
          <w:p w14:paraId="6C8DEFFF">
            <w:pPr>
              <w:keepNext w:val="0"/>
              <w:keepLines w:val="0"/>
              <w:pageBreakBefore w:val="0"/>
              <w:widowControl/>
              <w:suppressLineNumbers w:val="0"/>
              <w:kinsoku/>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光模块</w:t>
            </w:r>
          </w:p>
        </w:tc>
        <w:tc>
          <w:tcPr>
            <w:tcW w:w="2716" w:type="pct"/>
            <w:tcBorders>
              <w:top w:val="single" w:color="000000" w:sz="4" w:space="0"/>
              <w:left w:val="single" w:color="000000" w:sz="4" w:space="0"/>
              <w:bottom w:val="single" w:color="000000" w:sz="4" w:space="0"/>
              <w:right w:val="single" w:color="000000" w:sz="4" w:space="0"/>
            </w:tcBorders>
            <w:noWrap w:val="0"/>
            <w:vAlign w:val="center"/>
          </w:tcPr>
          <w:p w14:paraId="6A3037F4">
            <w:pPr>
              <w:keepNext w:val="0"/>
              <w:keepLines w:val="0"/>
              <w:pageBreakBefore w:val="0"/>
              <w:widowControl/>
              <w:suppressLineNumbers w:val="0"/>
              <w:kinsoku/>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千兆单模光模块,最大传输距离10KM,双纤口,适用LC型接头跳线</w:t>
            </w:r>
          </w:p>
        </w:tc>
        <w:tc>
          <w:tcPr>
            <w:tcW w:w="487" w:type="pct"/>
            <w:tcBorders>
              <w:top w:val="single" w:color="000000" w:sz="4" w:space="0"/>
              <w:left w:val="single" w:color="000000" w:sz="4" w:space="0"/>
              <w:bottom w:val="single" w:color="000000" w:sz="4" w:space="0"/>
              <w:right w:val="single" w:color="000000" w:sz="4" w:space="0"/>
            </w:tcBorders>
            <w:noWrap w:val="0"/>
            <w:vAlign w:val="center"/>
          </w:tcPr>
          <w:p w14:paraId="10AAD62D">
            <w:pPr>
              <w:keepNext w:val="0"/>
              <w:keepLines w:val="0"/>
              <w:pageBreakBefore w:val="0"/>
              <w:widowControl/>
              <w:suppressLineNumbers w:val="0"/>
              <w:kinsoku/>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16</w:t>
            </w:r>
          </w:p>
        </w:tc>
        <w:tc>
          <w:tcPr>
            <w:tcW w:w="433" w:type="pct"/>
            <w:tcBorders>
              <w:top w:val="single" w:color="000000" w:sz="4" w:space="0"/>
              <w:left w:val="single" w:color="000000" w:sz="4" w:space="0"/>
              <w:bottom w:val="single" w:color="000000" w:sz="4" w:space="0"/>
              <w:right w:val="single" w:color="000000" w:sz="4" w:space="0"/>
            </w:tcBorders>
            <w:noWrap w:val="0"/>
            <w:vAlign w:val="center"/>
          </w:tcPr>
          <w:p w14:paraId="6061C793">
            <w:pPr>
              <w:keepNext w:val="0"/>
              <w:keepLines w:val="0"/>
              <w:pageBreakBefore w:val="0"/>
              <w:widowControl/>
              <w:suppressLineNumbers w:val="0"/>
              <w:kinsoku/>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个</w:t>
            </w:r>
          </w:p>
        </w:tc>
      </w:tr>
      <w:tr w14:paraId="7059A7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25"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5077BE98">
            <w:pPr>
              <w:keepNext w:val="0"/>
              <w:keepLines w:val="0"/>
              <w:pageBreakBefore w:val="0"/>
              <w:widowControl/>
              <w:suppressLineNumbers w:val="0"/>
              <w:kinsoku/>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7</w:t>
            </w:r>
          </w:p>
        </w:tc>
        <w:tc>
          <w:tcPr>
            <w:tcW w:w="882" w:type="pct"/>
            <w:tcBorders>
              <w:top w:val="single" w:color="000000" w:sz="4" w:space="0"/>
              <w:left w:val="single" w:color="000000" w:sz="4" w:space="0"/>
              <w:bottom w:val="single" w:color="000000" w:sz="4" w:space="0"/>
              <w:right w:val="single" w:color="000000" w:sz="4" w:space="0"/>
            </w:tcBorders>
            <w:noWrap w:val="0"/>
            <w:vAlign w:val="center"/>
          </w:tcPr>
          <w:p w14:paraId="665755CA">
            <w:pPr>
              <w:keepNext w:val="0"/>
              <w:keepLines w:val="0"/>
              <w:pageBreakBefore w:val="0"/>
              <w:widowControl/>
              <w:suppressLineNumbers w:val="0"/>
              <w:kinsoku/>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42U服务器机柜</w:t>
            </w:r>
          </w:p>
        </w:tc>
        <w:tc>
          <w:tcPr>
            <w:tcW w:w="2716" w:type="pct"/>
            <w:tcBorders>
              <w:top w:val="single" w:color="000000" w:sz="4" w:space="0"/>
              <w:left w:val="single" w:color="000000" w:sz="4" w:space="0"/>
              <w:bottom w:val="single" w:color="000000" w:sz="4" w:space="0"/>
              <w:right w:val="single" w:color="000000" w:sz="4" w:space="0"/>
            </w:tcBorders>
            <w:noWrap w:val="0"/>
            <w:vAlign w:val="center"/>
          </w:tcPr>
          <w:p w14:paraId="683C4979">
            <w:pPr>
              <w:keepNext w:val="0"/>
              <w:keepLines w:val="0"/>
              <w:pageBreakBefore w:val="0"/>
              <w:widowControl/>
              <w:suppressLineNumbers w:val="0"/>
              <w:kinsoku/>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1.符合国标和实际使用的42U机柜，≥19英寸。</w:t>
            </w:r>
          </w:p>
          <w:p w14:paraId="508BA177">
            <w:pPr>
              <w:keepNext w:val="0"/>
              <w:keepLines w:val="0"/>
              <w:pageBreakBefore w:val="0"/>
              <w:widowControl/>
              <w:suppressLineNumbers w:val="0"/>
              <w:kinsoku/>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2.机柜尺寸(约)：高2000mm*宽600mm*深800mm；</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3.内容量：≥42U,≥19英寸。</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4.主要材质：优质冷扎钢板，方孔条与安装梁是耐指纹镀铝锌板材，厚度：承重方孔条≥1.8mm；侧板≥1.0mm;</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5.配置(不低于)：电源排插1套10A8位，风扇4只 ，地脚4只，重载脚轮4只 ，方螺母螺钉≥40套，前门玻璃门，后门铁网门（前后门的玻璃门、钢板门、网孔门可更换），支持快速装卸框架结构；</w:t>
            </w:r>
          </w:p>
          <w:p w14:paraId="486F373B">
            <w:pPr>
              <w:keepNext w:val="0"/>
              <w:keepLines w:val="0"/>
              <w:pageBreakBefore w:val="0"/>
              <w:widowControl/>
              <w:suppressLineNumbers w:val="0"/>
              <w:kinsoku/>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6.支持关闭的上部和下部走线通道；支持落地安装时可以选配支脚或脚轮。</w:t>
            </w:r>
          </w:p>
          <w:p w14:paraId="0765F5F9">
            <w:pPr>
              <w:keepNext w:val="0"/>
              <w:keepLines w:val="0"/>
              <w:pageBreakBefore w:val="0"/>
              <w:widowControl/>
              <w:suppressLineNumbers w:val="0"/>
              <w:kinsoku/>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7.防护等级：IP20。</w:t>
            </w:r>
          </w:p>
        </w:tc>
        <w:tc>
          <w:tcPr>
            <w:tcW w:w="487" w:type="pct"/>
            <w:tcBorders>
              <w:top w:val="single" w:color="000000" w:sz="4" w:space="0"/>
              <w:left w:val="single" w:color="000000" w:sz="4" w:space="0"/>
              <w:bottom w:val="single" w:color="000000" w:sz="4" w:space="0"/>
              <w:right w:val="single" w:color="000000" w:sz="4" w:space="0"/>
            </w:tcBorders>
            <w:noWrap w:val="0"/>
            <w:vAlign w:val="center"/>
          </w:tcPr>
          <w:p w14:paraId="075590DA">
            <w:pPr>
              <w:keepNext w:val="0"/>
              <w:keepLines w:val="0"/>
              <w:pageBreakBefore w:val="0"/>
              <w:widowControl/>
              <w:suppressLineNumbers w:val="0"/>
              <w:kinsoku/>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3</w:t>
            </w:r>
          </w:p>
        </w:tc>
        <w:tc>
          <w:tcPr>
            <w:tcW w:w="433" w:type="pct"/>
            <w:tcBorders>
              <w:top w:val="single" w:color="000000" w:sz="4" w:space="0"/>
              <w:left w:val="single" w:color="000000" w:sz="4" w:space="0"/>
              <w:bottom w:val="single" w:color="000000" w:sz="4" w:space="0"/>
              <w:right w:val="single" w:color="000000" w:sz="4" w:space="0"/>
            </w:tcBorders>
            <w:noWrap w:val="0"/>
            <w:vAlign w:val="center"/>
          </w:tcPr>
          <w:p w14:paraId="2ABC85B5">
            <w:pPr>
              <w:keepNext w:val="0"/>
              <w:keepLines w:val="0"/>
              <w:pageBreakBefore w:val="0"/>
              <w:widowControl/>
              <w:suppressLineNumbers w:val="0"/>
              <w:kinsoku/>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台</w:t>
            </w:r>
          </w:p>
        </w:tc>
      </w:tr>
      <w:tr w14:paraId="0E84AD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40"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6BBE33CA">
            <w:pPr>
              <w:keepNext w:val="0"/>
              <w:keepLines w:val="0"/>
              <w:pageBreakBefore w:val="0"/>
              <w:widowControl/>
              <w:suppressLineNumbers w:val="0"/>
              <w:kinsoku/>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2"/>
                <w:szCs w:val="22"/>
                <w:highlight w:val="none"/>
                <w:u w:val="none"/>
                <w:lang w:val="en-US" w:eastAsia="zh-CN"/>
              </w:rPr>
            </w:pPr>
            <w:r>
              <w:rPr>
                <w:rFonts w:hint="eastAsia" w:ascii="宋体" w:hAnsi="宋体" w:eastAsia="宋体" w:cs="宋体"/>
                <w:i w:val="0"/>
                <w:iCs w:val="0"/>
                <w:color w:val="000000"/>
                <w:sz w:val="22"/>
                <w:szCs w:val="22"/>
                <w:highlight w:val="none"/>
                <w:u w:val="none"/>
                <w:lang w:val="en-US" w:eastAsia="zh-CN"/>
              </w:rPr>
              <w:t>8</w:t>
            </w:r>
          </w:p>
        </w:tc>
        <w:tc>
          <w:tcPr>
            <w:tcW w:w="882" w:type="pct"/>
            <w:tcBorders>
              <w:top w:val="single" w:color="000000" w:sz="4" w:space="0"/>
              <w:left w:val="single" w:color="000000" w:sz="4" w:space="0"/>
              <w:bottom w:val="single" w:color="000000" w:sz="4" w:space="0"/>
              <w:right w:val="single" w:color="000000" w:sz="4" w:space="0"/>
            </w:tcBorders>
            <w:noWrap w:val="0"/>
            <w:vAlign w:val="center"/>
          </w:tcPr>
          <w:p w14:paraId="3FF9F499">
            <w:pPr>
              <w:keepNext w:val="0"/>
              <w:keepLines w:val="0"/>
              <w:pageBreakBefore w:val="0"/>
              <w:widowControl/>
              <w:suppressLineNumbers w:val="0"/>
              <w:kinsoku/>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电梯网络摄像机</w:t>
            </w:r>
          </w:p>
        </w:tc>
        <w:tc>
          <w:tcPr>
            <w:tcW w:w="2716" w:type="pct"/>
            <w:tcBorders>
              <w:top w:val="single" w:color="000000" w:sz="4" w:space="0"/>
              <w:left w:val="single" w:color="000000" w:sz="4" w:space="0"/>
              <w:bottom w:val="single" w:color="000000" w:sz="4" w:space="0"/>
              <w:right w:val="single" w:color="000000" w:sz="4" w:space="0"/>
            </w:tcBorders>
            <w:noWrap w:val="0"/>
            <w:vAlign w:val="center"/>
          </w:tcPr>
          <w:p w14:paraId="1BFB16F3">
            <w:pPr>
              <w:keepNext w:val="0"/>
              <w:keepLines w:val="0"/>
              <w:pageBreakBefore w:val="0"/>
              <w:widowControl/>
              <w:suppressLineNumbers w:val="0"/>
              <w:kinsoku/>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1.设备内置GPU芯片、≥1个麦克风、≥1个扬声器，≥1颗红外补光灯，≥1颗白光闪光灯，≥1颗ToF传感器、≥1个温湿度和楼层传感器，≥1个报警输入接口，≥1个报警输出接口，≥1个SD卡卡槽。</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2.设备在额定电源电压DC12V±25%范围内正常工作，且支持POE供电。</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3.设备码流满足：主码流1920x1080、30fps，子码流704x576、25fps。</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4.支持H.265、H.264、MJPEG视频编码格式。</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5.设备水平视场角≥120°，垂直视场角≥75°。</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6.支持视频遮挡检测功能，内置ToF传感器，可通过IE浏览器配置遮挡报警距离、时长及布防时间 ，支持在布防时间内检测到有物体距离摄像机距离低于设定阈值且达到设置遮挡时长时，支持在客户端给出报警提示并可联动声音报警、上传中心、录像、发送邮件及触发报警输出。</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7.支持声光报警功能，当报警输入报警产生时，可在报警布防时间内联动声音报警或白光灯闪烁。</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8.支持人数统计功能，支持多边形（最多允许10条边）人数检测区域，并可实时统计区域中的人员数量及位置，支持预览画面上实现显示统计的人数，支持将检测结果定时上传。</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★9.支持电瓶车入梯报警。</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10.支持楼层显示功能，支持电梯运行状态检测，包括电梯所在楼层检测、上下行状态检测、电梯运行速度检测，可将检测结果实时叠加在预览画面上，并支持将检测结果实时上传服务器。</w:t>
            </w:r>
          </w:p>
        </w:tc>
        <w:tc>
          <w:tcPr>
            <w:tcW w:w="487" w:type="pct"/>
            <w:tcBorders>
              <w:top w:val="single" w:color="000000" w:sz="4" w:space="0"/>
              <w:left w:val="single" w:color="000000" w:sz="4" w:space="0"/>
              <w:bottom w:val="single" w:color="000000" w:sz="4" w:space="0"/>
              <w:right w:val="single" w:color="000000" w:sz="4" w:space="0"/>
            </w:tcBorders>
            <w:noWrap w:val="0"/>
            <w:vAlign w:val="center"/>
          </w:tcPr>
          <w:p w14:paraId="56846EB8">
            <w:pPr>
              <w:keepNext w:val="0"/>
              <w:keepLines w:val="0"/>
              <w:pageBreakBefore w:val="0"/>
              <w:widowControl/>
              <w:suppressLineNumbers w:val="0"/>
              <w:kinsoku/>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2</w:t>
            </w:r>
          </w:p>
        </w:tc>
        <w:tc>
          <w:tcPr>
            <w:tcW w:w="433" w:type="pct"/>
            <w:tcBorders>
              <w:top w:val="single" w:color="000000" w:sz="4" w:space="0"/>
              <w:left w:val="single" w:color="000000" w:sz="4" w:space="0"/>
              <w:bottom w:val="single" w:color="000000" w:sz="4" w:space="0"/>
              <w:right w:val="single" w:color="000000" w:sz="4" w:space="0"/>
            </w:tcBorders>
            <w:noWrap w:val="0"/>
            <w:vAlign w:val="center"/>
          </w:tcPr>
          <w:p w14:paraId="5405A02E">
            <w:pPr>
              <w:keepNext w:val="0"/>
              <w:keepLines w:val="0"/>
              <w:pageBreakBefore w:val="0"/>
              <w:widowControl/>
              <w:suppressLineNumbers w:val="0"/>
              <w:kinsoku/>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台</w:t>
            </w:r>
          </w:p>
        </w:tc>
      </w:tr>
      <w:tr w14:paraId="1EA37C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9"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6D1C274B">
            <w:pPr>
              <w:keepNext w:val="0"/>
              <w:keepLines w:val="0"/>
              <w:pageBreakBefore w:val="0"/>
              <w:widowControl/>
              <w:suppressLineNumbers w:val="0"/>
              <w:kinsoku/>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9</w:t>
            </w:r>
          </w:p>
        </w:tc>
        <w:tc>
          <w:tcPr>
            <w:tcW w:w="882" w:type="pct"/>
            <w:tcBorders>
              <w:top w:val="single" w:color="000000" w:sz="4" w:space="0"/>
              <w:left w:val="single" w:color="000000" w:sz="4" w:space="0"/>
              <w:bottom w:val="single" w:color="000000" w:sz="4" w:space="0"/>
              <w:right w:val="single" w:color="000000" w:sz="4" w:space="0"/>
            </w:tcBorders>
            <w:noWrap w:val="0"/>
            <w:vAlign w:val="center"/>
          </w:tcPr>
          <w:p w14:paraId="195FBE5C">
            <w:pPr>
              <w:keepNext w:val="0"/>
              <w:keepLines w:val="0"/>
              <w:pageBreakBefore w:val="0"/>
              <w:widowControl/>
              <w:suppressLineNumbers w:val="0"/>
              <w:kinsoku/>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电梯网桥</w:t>
            </w:r>
          </w:p>
        </w:tc>
        <w:tc>
          <w:tcPr>
            <w:tcW w:w="2716" w:type="pct"/>
            <w:tcBorders>
              <w:top w:val="single" w:color="000000" w:sz="4" w:space="0"/>
              <w:left w:val="single" w:color="000000" w:sz="4" w:space="0"/>
              <w:bottom w:val="single" w:color="000000" w:sz="4" w:space="0"/>
              <w:right w:val="single" w:color="000000" w:sz="4" w:space="0"/>
            </w:tcBorders>
            <w:noWrap w:val="0"/>
            <w:vAlign w:val="center"/>
          </w:tcPr>
          <w:p w14:paraId="3866EC2C">
            <w:pPr>
              <w:keepNext w:val="0"/>
              <w:keepLines w:val="0"/>
              <w:pageBreakBefore w:val="0"/>
              <w:widowControl/>
              <w:suppressLineNumbers w:val="0"/>
              <w:kinsoku/>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1.无线速率≥300Mbps。</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2.支持≥1个10/100Mbps自协商以太网口。</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3.推荐桥接距离≤300 M。</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4.整机功率≤5W。</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5.支持12V DC和12V非标PoE供电。</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6.支持端口防雷4kV（共模）。</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7.支持工作温度-10℃~45℃。</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8.支持APP、Eweb管理。</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9.支持频谱分析，进行链路最佳信道推荐，估算链路流量，提供可携带的最多摄像头数量。</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10.支持对准工具，提供链路实时信号，最佳信号，快速调节网桥最佳角度。</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11.支持组播、广播风暴抑制，削弱监控之间的广播报文的干扰，提高监控画面的稳定性。</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12.默认出厂配对，支持一键配对，快速设置网桥(录像机端/摄像头端)模式，进行录像机端和摄像头端的组网桥接。</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13.支持高带宽/普通/抗干扰模式切换，适配不同干扰环境。</w:t>
            </w:r>
          </w:p>
        </w:tc>
        <w:tc>
          <w:tcPr>
            <w:tcW w:w="487" w:type="pct"/>
            <w:tcBorders>
              <w:top w:val="single" w:color="000000" w:sz="4" w:space="0"/>
              <w:left w:val="single" w:color="000000" w:sz="4" w:space="0"/>
              <w:bottom w:val="single" w:color="000000" w:sz="4" w:space="0"/>
              <w:right w:val="single" w:color="000000" w:sz="4" w:space="0"/>
            </w:tcBorders>
            <w:noWrap w:val="0"/>
            <w:vAlign w:val="center"/>
          </w:tcPr>
          <w:p w14:paraId="5BC9DA72">
            <w:pPr>
              <w:keepNext w:val="0"/>
              <w:keepLines w:val="0"/>
              <w:pageBreakBefore w:val="0"/>
              <w:widowControl/>
              <w:suppressLineNumbers w:val="0"/>
              <w:kinsoku/>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2</w:t>
            </w:r>
          </w:p>
        </w:tc>
        <w:tc>
          <w:tcPr>
            <w:tcW w:w="433" w:type="pct"/>
            <w:tcBorders>
              <w:top w:val="single" w:color="000000" w:sz="4" w:space="0"/>
              <w:left w:val="single" w:color="000000" w:sz="4" w:space="0"/>
              <w:bottom w:val="single" w:color="000000" w:sz="4" w:space="0"/>
              <w:right w:val="single" w:color="000000" w:sz="4" w:space="0"/>
            </w:tcBorders>
            <w:noWrap w:val="0"/>
            <w:vAlign w:val="center"/>
          </w:tcPr>
          <w:p w14:paraId="5ECBC58F">
            <w:pPr>
              <w:keepNext w:val="0"/>
              <w:keepLines w:val="0"/>
              <w:pageBreakBefore w:val="0"/>
              <w:widowControl/>
              <w:suppressLineNumbers w:val="0"/>
              <w:kinsoku/>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对</w:t>
            </w:r>
          </w:p>
        </w:tc>
      </w:tr>
      <w:tr w14:paraId="1CC77D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30"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103F9EB4">
            <w:pPr>
              <w:keepNext w:val="0"/>
              <w:keepLines w:val="0"/>
              <w:pageBreakBefore w:val="0"/>
              <w:widowControl/>
              <w:suppressLineNumbers w:val="0"/>
              <w:kinsoku/>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10</w:t>
            </w:r>
          </w:p>
        </w:tc>
        <w:tc>
          <w:tcPr>
            <w:tcW w:w="882" w:type="pct"/>
            <w:tcBorders>
              <w:top w:val="single" w:color="000000" w:sz="4" w:space="0"/>
              <w:left w:val="single" w:color="000000" w:sz="4" w:space="0"/>
              <w:bottom w:val="single" w:color="000000" w:sz="4" w:space="0"/>
              <w:right w:val="single" w:color="000000" w:sz="4" w:space="0"/>
            </w:tcBorders>
            <w:noWrap w:val="0"/>
            <w:vAlign w:val="center"/>
          </w:tcPr>
          <w:p w14:paraId="6DE08C84">
            <w:pPr>
              <w:keepNext w:val="0"/>
              <w:keepLines w:val="0"/>
              <w:pageBreakBefore w:val="0"/>
              <w:widowControl/>
              <w:suppressLineNumbers w:val="0"/>
              <w:kinsoku/>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网络高清枪式摄像机</w:t>
            </w:r>
          </w:p>
        </w:tc>
        <w:tc>
          <w:tcPr>
            <w:tcW w:w="2716" w:type="pct"/>
            <w:tcBorders>
              <w:top w:val="single" w:color="000000" w:sz="4" w:space="0"/>
              <w:left w:val="single" w:color="000000" w:sz="4" w:space="0"/>
              <w:bottom w:val="single" w:color="000000" w:sz="4" w:space="0"/>
              <w:right w:val="single" w:color="000000" w:sz="4" w:space="0"/>
            </w:tcBorders>
            <w:noWrap w:val="0"/>
            <w:vAlign w:val="center"/>
          </w:tcPr>
          <w:p w14:paraId="03005C40">
            <w:pPr>
              <w:keepNext w:val="0"/>
              <w:keepLines w:val="0"/>
              <w:pageBreakBefore w:val="0"/>
              <w:widowControl/>
              <w:suppressLineNumbers w:val="0"/>
              <w:kinsoku/>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1.支持输出图像分辨率≥2560×1440。</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★2.靶面尺寸≥1/2.8英寸。</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3.信噪比≥55dB。</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4.支持红外补光、白光补光，有效补光距离≥30m</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5.摄像机应能在额定电源电压 DC12V的±25%范围内正常工作。</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6.内置≥1个麦克风，≥1个RJ45网络接口</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7.需支持IP66防尘防水。</w:t>
            </w:r>
          </w:p>
        </w:tc>
        <w:tc>
          <w:tcPr>
            <w:tcW w:w="487" w:type="pct"/>
            <w:tcBorders>
              <w:top w:val="single" w:color="000000" w:sz="4" w:space="0"/>
              <w:left w:val="single" w:color="000000" w:sz="4" w:space="0"/>
              <w:bottom w:val="single" w:color="000000" w:sz="4" w:space="0"/>
              <w:right w:val="single" w:color="000000" w:sz="4" w:space="0"/>
            </w:tcBorders>
            <w:noWrap w:val="0"/>
            <w:vAlign w:val="center"/>
          </w:tcPr>
          <w:p w14:paraId="3B0DE299">
            <w:pPr>
              <w:keepNext w:val="0"/>
              <w:keepLines w:val="0"/>
              <w:pageBreakBefore w:val="0"/>
              <w:widowControl/>
              <w:suppressLineNumbers w:val="0"/>
              <w:kinsoku/>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143</w:t>
            </w:r>
          </w:p>
        </w:tc>
        <w:tc>
          <w:tcPr>
            <w:tcW w:w="433" w:type="pct"/>
            <w:tcBorders>
              <w:top w:val="single" w:color="000000" w:sz="4" w:space="0"/>
              <w:left w:val="single" w:color="000000" w:sz="4" w:space="0"/>
              <w:bottom w:val="single" w:color="000000" w:sz="4" w:space="0"/>
              <w:right w:val="single" w:color="000000" w:sz="4" w:space="0"/>
            </w:tcBorders>
            <w:noWrap w:val="0"/>
            <w:vAlign w:val="center"/>
          </w:tcPr>
          <w:p w14:paraId="62DA96C3">
            <w:pPr>
              <w:keepNext w:val="0"/>
              <w:keepLines w:val="0"/>
              <w:pageBreakBefore w:val="0"/>
              <w:widowControl/>
              <w:suppressLineNumbers w:val="0"/>
              <w:kinsoku/>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台</w:t>
            </w:r>
          </w:p>
        </w:tc>
      </w:tr>
      <w:tr w14:paraId="017E7D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73"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1CC095B1">
            <w:pPr>
              <w:keepNext w:val="0"/>
              <w:keepLines w:val="0"/>
              <w:pageBreakBefore w:val="0"/>
              <w:widowControl/>
              <w:suppressLineNumbers w:val="0"/>
              <w:kinsoku/>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11</w:t>
            </w:r>
          </w:p>
        </w:tc>
        <w:tc>
          <w:tcPr>
            <w:tcW w:w="882" w:type="pct"/>
            <w:tcBorders>
              <w:top w:val="single" w:color="000000" w:sz="4" w:space="0"/>
              <w:left w:val="single" w:color="000000" w:sz="4" w:space="0"/>
              <w:bottom w:val="single" w:color="000000" w:sz="4" w:space="0"/>
              <w:right w:val="single" w:color="000000" w:sz="4" w:space="0"/>
            </w:tcBorders>
            <w:noWrap w:val="0"/>
            <w:vAlign w:val="center"/>
          </w:tcPr>
          <w:p w14:paraId="68726156">
            <w:pPr>
              <w:keepNext w:val="0"/>
              <w:keepLines w:val="0"/>
              <w:pageBreakBefore w:val="0"/>
              <w:widowControl/>
              <w:suppressLineNumbers w:val="0"/>
              <w:kinsoku/>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摄像机支架</w:t>
            </w:r>
          </w:p>
        </w:tc>
        <w:tc>
          <w:tcPr>
            <w:tcW w:w="2716" w:type="pct"/>
            <w:tcBorders>
              <w:top w:val="single" w:color="000000" w:sz="4" w:space="0"/>
              <w:left w:val="single" w:color="000000" w:sz="4" w:space="0"/>
              <w:bottom w:val="single" w:color="000000" w:sz="4" w:space="0"/>
              <w:right w:val="single" w:color="000000" w:sz="4" w:space="0"/>
            </w:tcBorders>
            <w:noWrap w:val="0"/>
            <w:vAlign w:val="center"/>
          </w:tcPr>
          <w:p w14:paraId="35BC4F7E">
            <w:pPr>
              <w:keepNext w:val="0"/>
              <w:keepLines w:val="0"/>
              <w:pageBreakBefore w:val="0"/>
              <w:widowControl/>
              <w:suppressLineNumbers w:val="0"/>
              <w:kinsoku/>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 防尘防水，适合室内外壁装。</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 兼容设计，支持壁装、抱杆和吊顶安装。</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3. 承重≥1.0KG。</w:t>
            </w:r>
          </w:p>
        </w:tc>
        <w:tc>
          <w:tcPr>
            <w:tcW w:w="487" w:type="pct"/>
            <w:tcBorders>
              <w:top w:val="single" w:color="000000" w:sz="4" w:space="0"/>
              <w:left w:val="single" w:color="000000" w:sz="4" w:space="0"/>
              <w:bottom w:val="single" w:color="000000" w:sz="4" w:space="0"/>
              <w:right w:val="single" w:color="000000" w:sz="4" w:space="0"/>
            </w:tcBorders>
            <w:noWrap w:val="0"/>
            <w:vAlign w:val="center"/>
          </w:tcPr>
          <w:p w14:paraId="5E888987">
            <w:pPr>
              <w:keepNext w:val="0"/>
              <w:keepLines w:val="0"/>
              <w:pageBreakBefore w:val="0"/>
              <w:widowControl/>
              <w:suppressLineNumbers w:val="0"/>
              <w:kinsoku/>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143</w:t>
            </w:r>
          </w:p>
        </w:tc>
        <w:tc>
          <w:tcPr>
            <w:tcW w:w="433" w:type="pct"/>
            <w:tcBorders>
              <w:top w:val="single" w:color="000000" w:sz="4" w:space="0"/>
              <w:left w:val="single" w:color="000000" w:sz="4" w:space="0"/>
              <w:bottom w:val="single" w:color="000000" w:sz="4" w:space="0"/>
              <w:right w:val="single" w:color="000000" w:sz="4" w:space="0"/>
            </w:tcBorders>
            <w:noWrap w:val="0"/>
            <w:vAlign w:val="center"/>
          </w:tcPr>
          <w:p w14:paraId="00A46C11">
            <w:pPr>
              <w:keepNext w:val="0"/>
              <w:keepLines w:val="0"/>
              <w:pageBreakBefore w:val="0"/>
              <w:widowControl/>
              <w:suppressLineNumbers w:val="0"/>
              <w:kinsoku/>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个</w:t>
            </w:r>
          </w:p>
        </w:tc>
      </w:tr>
      <w:tr w14:paraId="0DE60C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30"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505489A6">
            <w:pPr>
              <w:keepNext w:val="0"/>
              <w:keepLines w:val="0"/>
              <w:pageBreakBefore w:val="0"/>
              <w:widowControl/>
              <w:suppressLineNumbers w:val="0"/>
              <w:kinsoku/>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12</w:t>
            </w:r>
          </w:p>
        </w:tc>
        <w:tc>
          <w:tcPr>
            <w:tcW w:w="882" w:type="pct"/>
            <w:tcBorders>
              <w:top w:val="single" w:color="000000" w:sz="4" w:space="0"/>
              <w:left w:val="single" w:color="000000" w:sz="4" w:space="0"/>
              <w:bottom w:val="single" w:color="000000" w:sz="4" w:space="0"/>
              <w:right w:val="single" w:color="000000" w:sz="4" w:space="0"/>
            </w:tcBorders>
            <w:noWrap w:val="0"/>
            <w:vAlign w:val="center"/>
          </w:tcPr>
          <w:p w14:paraId="3C54FF9A">
            <w:pPr>
              <w:keepNext w:val="0"/>
              <w:keepLines w:val="0"/>
              <w:pageBreakBefore w:val="0"/>
              <w:widowControl/>
              <w:suppressLineNumbers w:val="0"/>
              <w:kinsoku/>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接入交换机</w:t>
            </w:r>
          </w:p>
        </w:tc>
        <w:tc>
          <w:tcPr>
            <w:tcW w:w="2716" w:type="pct"/>
            <w:tcBorders>
              <w:top w:val="single" w:color="000000" w:sz="4" w:space="0"/>
              <w:left w:val="single" w:color="000000" w:sz="4" w:space="0"/>
              <w:bottom w:val="single" w:color="000000" w:sz="4" w:space="0"/>
              <w:right w:val="single" w:color="000000" w:sz="4" w:space="0"/>
            </w:tcBorders>
            <w:noWrap w:val="0"/>
            <w:vAlign w:val="center"/>
          </w:tcPr>
          <w:p w14:paraId="7379CE2A">
            <w:pPr>
              <w:keepNext w:val="0"/>
              <w:keepLines w:val="0"/>
              <w:pageBreakBefore w:val="0"/>
              <w:widowControl/>
              <w:suppressLineNumbers w:val="0"/>
              <w:kinsoku/>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1.实配固化千兆电接口数≥6个，千兆SFP光口≥1个，最大可用端口≥7个。</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2.交换容量≥96Gbps，包转发率≥10.5Mpps，</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3.支持PoE/PoE+，整机最大PoE供电功率≥54W，单端口最大PoE供电功率≥30W。</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4.支持端口防雷等级≥6kV，电源防雷等级≥6kV</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5.支持自动防IP冲突、自动防环路、自动防私接。</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6.支持端口镜像，多对一镜像，一对一镜像。</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7.支持DHCP Snooping，避免了上网终端从非法DHCP服务器分配的IP地址，引起的网络异常或安全隐患。</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8.支持VLAN划分，提升网络的安全性、灵活性和管理效率。</w:t>
            </w:r>
          </w:p>
        </w:tc>
        <w:tc>
          <w:tcPr>
            <w:tcW w:w="487" w:type="pct"/>
            <w:tcBorders>
              <w:top w:val="single" w:color="000000" w:sz="4" w:space="0"/>
              <w:left w:val="single" w:color="000000" w:sz="4" w:space="0"/>
              <w:bottom w:val="single" w:color="000000" w:sz="4" w:space="0"/>
              <w:right w:val="single" w:color="000000" w:sz="4" w:space="0"/>
            </w:tcBorders>
            <w:noWrap w:val="0"/>
            <w:vAlign w:val="center"/>
          </w:tcPr>
          <w:p w14:paraId="5DBBB7F5">
            <w:pPr>
              <w:keepNext w:val="0"/>
              <w:keepLines w:val="0"/>
              <w:pageBreakBefore w:val="0"/>
              <w:widowControl/>
              <w:suppressLineNumbers w:val="0"/>
              <w:kinsoku/>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45</w:t>
            </w:r>
          </w:p>
        </w:tc>
        <w:tc>
          <w:tcPr>
            <w:tcW w:w="433" w:type="pct"/>
            <w:tcBorders>
              <w:top w:val="single" w:color="000000" w:sz="4" w:space="0"/>
              <w:left w:val="single" w:color="000000" w:sz="4" w:space="0"/>
              <w:bottom w:val="single" w:color="000000" w:sz="4" w:space="0"/>
              <w:right w:val="single" w:color="000000" w:sz="4" w:space="0"/>
            </w:tcBorders>
            <w:noWrap w:val="0"/>
            <w:vAlign w:val="center"/>
          </w:tcPr>
          <w:p w14:paraId="33413AF5">
            <w:pPr>
              <w:keepNext w:val="0"/>
              <w:keepLines w:val="0"/>
              <w:pageBreakBefore w:val="0"/>
              <w:widowControl/>
              <w:suppressLineNumbers w:val="0"/>
              <w:kinsoku/>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台</w:t>
            </w:r>
          </w:p>
        </w:tc>
      </w:tr>
      <w:tr w14:paraId="37EB9A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3279B214">
            <w:pPr>
              <w:keepNext w:val="0"/>
              <w:keepLines w:val="0"/>
              <w:pageBreakBefore w:val="0"/>
              <w:widowControl/>
              <w:suppressLineNumbers w:val="0"/>
              <w:kinsoku/>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13</w:t>
            </w:r>
          </w:p>
        </w:tc>
        <w:tc>
          <w:tcPr>
            <w:tcW w:w="882" w:type="pct"/>
            <w:tcBorders>
              <w:top w:val="single" w:color="000000" w:sz="4" w:space="0"/>
              <w:left w:val="single" w:color="000000" w:sz="4" w:space="0"/>
              <w:bottom w:val="single" w:color="000000" w:sz="4" w:space="0"/>
              <w:right w:val="single" w:color="000000" w:sz="4" w:space="0"/>
            </w:tcBorders>
            <w:noWrap w:val="0"/>
            <w:vAlign w:val="center"/>
          </w:tcPr>
          <w:p w14:paraId="05EDACE6">
            <w:pPr>
              <w:keepNext w:val="0"/>
              <w:keepLines w:val="0"/>
              <w:pageBreakBefore w:val="0"/>
              <w:widowControl/>
              <w:suppressLineNumbers w:val="0"/>
              <w:kinsoku/>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光纤收发器</w:t>
            </w:r>
          </w:p>
        </w:tc>
        <w:tc>
          <w:tcPr>
            <w:tcW w:w="2716" w:type="pct"/>
            <w:tcBorders>
              <w:top w:val="single" w:color="000000" w:sz="4" w:space="0"/>
              <w:left w:val="single" w:color="000000" w:sz="4" w:space="0"/>
              <w:bottom w:val="single" w:color="000000" w:sz="4" w:space="0"/>
              <w:right w:val="single" w:color="000000" w:sz="4" w:space="0"/>
            </w:tcBorders>
            <w:noWrap w:val="0"/>
            <w:vAlign w:val="center"/>
          </w:tcPr>
          <w:p w14:paraId="49D3A678">
            <w:pPr>
              <w:keepNext w:val="0"/>
              <w:keepLines w:val="0"/>
              <w:pageBreakBefore w:val="0"/>
              <w:widowControl/>
              <w:suppressLineNumbers w:val="0"/>
              <w:kinsoku/>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≥1个10/100/1000Mbps自适应RJ45电口，≥1个1000Mbps SC光口，最大传输距离3kM，非网管型光纤收发器，支持可配合收发器机架使用。</w:t>
            </w:r>
          </w:p>
        </w:tc>
        <w:tc>
          <w:tcPr>
            <w:tcW w:w="487" w:type="pct"/>
            <w:tcBorders>
              <w:top w:val="single" w:color="000000" w:sz="4" w:space="0"/>
              <w:left w:val="single" w:color="000000" w:sz="4" w:space="0"/>
              <w:bottom w:val="single" w:color="000000" w:sz="4" w:space="0"/>
              <w:right w:val="single" w:color="000000" w:sz="4" w:space="0"/>
            </w:tcBorders>
            <w:noWrap w:val="0"/>
            <w:vAlign w:val="center"/>
          </w:tcPr>
          <w:p w14:paraId="7779EEAD">
            <w:pPr>
              <w:keepNext w:val="0"/>
              <w:keepLines w:val="0"/>
              <w:pageBreakBefore w:val="0"/>
              <w:widowControl/>
              <w:suppressLineNumbers w:val="0"/>
              <w:kinsoku/>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43</w:t>
            </w:r>
          </w:p>
        </w:tc>
        <w:tc>
          <w:tcPr>
            <w:tcW w:w="433" w:type="pct"/>
            <w:tcBorders>
              <w:top w:val="single" w:color="000000" w:sz="4" w:space="0"/>
              <w:left w:val="single" w:color="000000" w:sz="4" w:space="0"/>
              <w:bottom w:val="single" w:color="000000" w:sz="4" w:space="0"/>
              <w:right w:val="single" w:color="000000" w:sz="4" w:space="0"/>
            </w:tcBorders>
            <w:noWrap w:val="0"/>
            <w:vAlign w:val="center"/>
          </w:tcPr>
          <w:p w14:paraId="6E752042">
            <w:pPr>
              <w:keepNext w:val="0"/>
              <w:keepLines w:val="0"/>
              <w:pageBreakBefore w:val="0"/>
              <w:widowControl/>
              <w:suppressLineNumbers w:val="0"/>
              <w:kinsoku/>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对</w:t>
            </w:r>
          </w:p>
        </w:tc>
      </w:tr>
      <w:tr w14:paraId="5AB007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5"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745EB2C9">
            <w:pPr>
              <w:keepNext w:val="0"/>
              <w:keepLines w:val="0"/>
              <w:pageBreakBefore w:val="0"/>
              <w:widowControl/>
              <w:suppressLineNumbers w:val="0"/>
              <w:kinsoku/>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14</w:t>
            </w:r>
          </w:p>
        </w:tc>
        <w:tc>
          <w:tcPr>
            <w:tcW w:w="882" w:type="pct"/>
            <w:tcBorders>
              <w:top w:val="single" w:color="000000" w:sz="4" w:space="0"/>
              <w:left w:val="single" w:color="000000" w:sz="4" w:space="0"/>
              <w:bottom w:val="single" w:color="000000" w:sz="4" w:space="0"/>
              <w:right w:val="single" w:color="000000" w:sz="4" w:space="0"/>
            </w:tcBorders>
            <w:noWrap w:val="0"/>
            <w:vAlign w:val="center"/>
          </w:tcPr>
          <w:p w14:paraId="456A178E">
            <w:pPr>
              <w:keepNext w:val="0"/>
              <w:keepLines w:val="0"/>
              <w:pageBreakBefore w:val="0"/>
              <w:widowControl/>
              <w:suppressLineNumbers w:val="0"/>
              <w:kinsoku/>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监控网线</w:t>
            </w:r>
          </w:p>
        </w:tc>
        <w:tc>
          <w:tcPr>
            <w:tcW w:w="2716" w:type="pct"/>
            <w:tcBorders>
              <w:top w:val="single" w:color="000000" w:sz="4" w:space="0"/>
              <w:left w:val="single" w:color="000000" w:sz="4" w:space="0"/>
              <w:bottom w:val="single" w:color="000000" w:sz="4" w:space="0"/>
              <w:right w:val="single" w:color="000000" w:sz="4" w:space="0"/>
            </w:tcBorders>
            <w:noWrap w:val="0"/>
            <w:vAlign w:val="center"/>
          </w:tcPr>
          <w:p w14:paraId="6259B368">
            <w:pPr>
              <w:keepNext w:val="0"/>
              <w:keepLines w:val="0"/>
              <w:pageBreakBefore w:val="0"/>
              <w:widowControl/>
              <w:suppressLineNumbers w:val="0"/>
              <w:kinsoku/>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符合国标和实际使用的六类非屏蔽国标无氧铜</w:t>
            </w:r>
          </w:p>
        </w:tc>
        <w:tc>
          <w:tcPr>
            <w:tcW w:w="487" w:type="pct"/>
            <w:tcBorders>
              <w:top w:val="single" w:color="000000" w:sz="4" w:space="0"/>
              <w:left w:val="single" w:color="000000" w:sz="4" w:space="0"/>
              <w:bottom w:val="single" w:color="000000" w:sz="4" w:space="0"/>
              <w:right w:val="single" w:color="000000" w:sz="4" w:space="0"/>
            </w:tcBorders>
            <w:noWrap w:val="0"/>
            <w:vAlign w:val="center"/>
          </w:tcPr>
          <w:p w14:paraId="7F9124AD">
            <w:pPr>
              <w:keepNext w:val="0"/>
              <w:keepLines w:val="0"/>
              <w:pageBreakBefore w:val="0"/>
              <w:widowControl/>
              <w:suppressLineNumbers w:val="0"/>
              <w:kinsoku/>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11320</w:t>
            </w:r>
          </w:p>
        </w:tc>
        <w:tc>
          <w:tcPr>
            <w:tcW w:w="433" w:type="pct"/>
            <w:tcBorders>
              <w:top w:val="single" w:color="000000" w:sz="4" w:space="0"/>
              <w:left w:val="single" w:color="000000" w:sz="4" w:space="0"/>
              <w:bottom w:val="single" w:color="000000" w:sz="4" w:space="0"/>
              <w:right w:val="single" w:color="000000" w:sz="4" w:space="0"/>
            </w:tcBorders>
            <w:noWrap w:val="0"/>
            <w:vAlign w:val="center"/>
          </w:tcPr>
          <w:p w14:paraId="5E73CD68">
            <w:pPr>
              <w:keepNext w:val="0"/>
              <w:keepLines w:val="0"/>
              <w:pageBreakBefore w:val="0"/>
              <w:widowControl/>
              <w:suppressLineNumbers w:val="0"/>
              <w:kinsoku/>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米</w:t>
            </w:r>
          </w:p>
        </w:tc>
      </w:tr>
      <w:tr w14:paraId="7092C4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674775FB">
            <w:pPr>
              <w:keepNext w:val="0"/>
              <w:keepLines w:val="0"/>
              <w:pageBreakBefore w:val="0"/>
              <w:widowControl/>
              <w:suppressLineNumbers w:val="0"/>
              <w:kinsoku/>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15</w:t>
            </w:r>
          </w:p>
        </w:tc>
        <w:tc>
          <w:tcPr>
            <w:tcW w:w="882" w:type="pct"/>
            <w:tcBorders>
              <w:top w:val="single" w:color="000000" w:sz="4" w:space="0"/>
              <w:left w:val="single" w:color="000000" w:sz="4" w:space="0"/>
              <w:bottom w:val="single" w:color="000000" w:sz="4" w:space="0"/>
              <w:right w:val="single" w:color="000000" w:sz="4" w:space="0"/>
            </w:tcBorders>
            <w:noWrap w:val="0"/>
            <w:vAlign w:val="center"/>
          </w:tcPr>
          <w:p w14:paraId="1A6E8C4E">
            <w:pPr>
              <w:keepNext w:val="0"/>
              <w:keepLines w:val="0"/>
              <w:pageBreakBefore w:val="0"/>
              <w:widowControl/>
              <w:suppressLineNumbers w:val="0"/>
              <w:kinsoku/>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监控电源线</w:t>
            </w:r>
          </w:p>
        </w:tc>
        <w:tc>
          <w:tcPr>
            <w:tcW w:w="2716" w:type="pct"/>
            <w:tcBorders>
              <w:top w:val="single" w:color="000000" w:sz="4" w:space="0"/>
              <w:left w:val="single" w:color="000000" w:sz="4" w:space="0"/>
              <w:bottom w:val="single" w:color="000000" w:sz="4" w:space="0"/>
              <w:right w:val="single" w:color="000000" w:sz="4" w:space="0"/>
            </w:tcBorders>
            <w:noWrap w:val="0"/>
            <w:vAlign w:val="center"/>
          </w:tcPr>
          <w:p w14:paraId="07E8F22E">
            <w:pPr>
              <w:keepNext w:val="0"/>
              <w:keepLines w:val="0"/>
              <w:pageBreakBefore w:val="0"/>
              <w:widowControl/>
              <w:suppressLineNumbers w:val="0"/>
              <w:kinsoku/>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符合国标和实际使用的RVV2*1.0国标无氧铜</w:t>
            </w:r>
          </w:p>
        </w:tc>
        <w:tc>
          <w:tcPr>
            <w:tcW w:w="487" w:type="pct"/>
            <w:tcBorders>
              <w:top w:val="single" w:color="000000" w:sz="4" w:space="0"/>
              <w:left w:val="single" w:color="000000" w:sz="4" w:space="0"/>
              <w:bottom w:val="single" w:color="000000" w:sz="4" w:space="0"/>
              <w:right w:val="single" w:color="000000" w:sz="4" w:space="0"/>
            </w:tcBorders>
            <w:noWrap w:val="0"/>
            <w:vAlign w:val="center"/>
          </w:tcPr>
          <w:p w14:paraId="5F7B440B">
            <w:pPr>
              <w:keepNext w:val="0"/>
              <w:keepLines w:val="0"/>
              <w:pageBreakBefore w:val="0"/>
              <w:widowControl/>
              <w:suppressLineNumbers w:val="0"/>
              <w:kinsoku/>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7000</w:t>
            </w:r>
          </w:p>
        </w:tc>
        <w:tc>
          <w:tcPr>
            <w:tcW w:w="433" w:type="pct"/>
            <w:tcBorders>
              <w:top w:val="single" w:color="000000" w:sz="4" w:space="0"/>
              <w:left w:val="single" w:color="000000" w:sz="4" w:space="0"/>
              <w:bottom w:val="single" w:color="000000" w:sz="4" w:space="0"/>
              <w:right w:val="single" w:color="000000" w:sz="4" w:space="0"/>
            </w:tcBorders>
            <w:noWrap w:val="0"/>
            <w:vAlign w:val="center"/>
          </w:tcPr>
          <w:p w14:paraId="4F95AF42">
            <w:pPr>
              <w:keepNext w:val="0"/>
              <w:keepLines w:val="0"/>
              <w:pageBreakBefore w:val="0"/>
              <w:widowControl/>
              <w:suppressLineNumbers w:val="0"/>
              <w:kinsoku/>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米</w:t>
            </w:r>
          </w:p>
        </w:tc>
      </w:tr>
      <w:tr w14:paraId="595229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13320163">
            <w:pPr>
              <w:keepNext w:val="0"/>
              <w:keepLines w:val="0"/>
              <w:pageBreakBefore w:val="0"/>
              <w:widowControl/>
              <w:suppressLineNumbers w:val="0"/>
              <w:kinsoku/>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16</w:t>
            </w:r>
          </w:p>
        </w:tc>
        <w:tc>
          <w:tcPr>
            <w:tcW w:w="882" w:type="pct"/>
            <w:tcBorders>
              <w:top w:val="single" w:color="000000" w:sz="4" w:space="0"/>
              <w:left w:val="single" w:color="000000" w:sz="4" w:space="0"/>
              <w:bottom w:val="single" w:color="000000" w:sz="4" w:space="0"/>
              <w:right w:val="single" w:color="000000" w:sz="4" w:space="0"/>
            </w:tcBorders>
            <w:noWrap w:val="0"/>
            <w:vAlign w:val="center"/>
          </w:tcPr>
          <w:p w14:paraId="4524B42F">
            <w:pPr>
              <w:keepNext w:val="0"/>
              <w:keepLines w:val="0"/>
              <w:pageBreakBefore w:val="0"/>
              <w:widowControl/>
              <w:suppressLineNumbers w:val="0"/>
              <w:kinsoku/>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室外立杆</w:t>
            </w:r>
          </w:p>
        </w:tc>
        <w:tc>
          <w:tcPr>
            <w:tcW w:w="2716" w:type="pct"/>
            <w:tcBorders>
              <w:top w:val="single" w:color="000000" w:sz="4" w:space="0"/>
              <w:left w:val="single" w:color="000000" w:sz="4" w:space="0"/>
              <w:bottom w:val="single" w:color="000000" w:sz="4" w:space="0"/>
              <w:right w:val="single" w:color="000000" w:sz="4" w:space="0"/>
            </w:tcBorders>
            <w:noWrap w:val="0"/>
            <w:vAlign w:val="center"/>
          </w:tcPr>
          <w:p w14:paraId="02F9C37E">
            <w:pPr>
              <w:keepNext w:val="0"/>
              <w:keepLines w:val="0"/>
              <w:pageBreakBefore w:val="0"/>
              <w:widowControl/>
              <w:suppressLineNumbers w:val="0"/>
              <w:kinsoku/>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1.4m组合立杆，2m加2m。</w:t>
            </w:r>
          </w:p>
          <w:p w14:paraId="64C276C7">
            <w:pPr>
              <w:keepNext w:val="0"/>
              <w:keepLines w:val="0"/>
              <w:pageBreakBefore w:val="0"/>
              <w:widowControl/>
              <w:suppressLineNumbers w:val="0"/>
              <w:kinsoku/>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2.规格:≥114mm变76mm，厚度:2.0mm±0.1，底部法兰对角205厚度8mm±0.1。</w:t>
            </w:r>
          </w:p>
          <w:p w14:paraId="2A0494AD">
            <w:pPr>
              <w:keepNext w:val="0"/>
              <w:keepLines w:val="0"/>
              <w:pageBreakBefore w:val="0"/>
              <w:widowControl/>
              <w:suppressLineNumbers w:val="0"/>
              <w:kinsoku/>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整体经静电喷塑烤漆处理，含枪机横臂，避雷针。</w:t>
            </w:r>
          </w:p>
        </w:tc>
        <w:tc>
          <w:tcPr>
            <w:tcW w:w="487" w:type="pct"/>
            <w:tcBorders>
              <w:top w:val="single" w:color="000000" w:sz="4" w:space="0"/>
              <w:left w:val="single" w:color="000000" w:sz="4" w:space="0"/>
              <w:bottom w:val="single" w:color="000000" w:sz="4" w:space="0"/>
              <w:right w:val="single" w:color="000000" w:sz="4" w:space="0"/>
            </w:tcBorders>
            <w:noWrap w:val="0"/>
            <w:vAlign w:val="center"/>
          </w:tcPr>
          <w:p w14:paraId="29F6A02B">
            <w:pPr>
              <w:keepNext w:val="0"/>
              <w:keepLines w:val="0"/>
              <w:pageBreakBefore w:val="0"/>
              <w:widowControl/>
              <w:suppressLineNumbers w:val="0"/>
              <w:kinsoku/>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4</w:t>
            </w:r>
          </w:p>
        </w:tc>
        <w:tc>
          <w:tcPr>
            <w:tcW w:w="433" w:type="pct"/>
            <w:tcBorders>
              <w:top w:val="single" w:color="000000" w:sz="4" w:space="0"/>
              <w:left w:val="single" w:color="000000" w:sz="4" w:space="0"/>
              <w:bottom w:val="single" w:color="000000" w:sz="4" w:space="0"/>
              <w:right w:val="single" w:color="000000" w:sz="4" w:space="0"/>
            </w:tcBorders>
            <w:noWrap w:val="0"/>
            <w:vAlign w:val="center"/>
          </w:tcPr>
          <w:p w14:paraId="0C14A6AA">
            <w:pPr>
              <w:keepNext w:val="0"/>
              <w:keepLines w:val="0"/>
              <w:pageBreakBefore w:val="0"/>
              <w:widowControl/>
              <w:suppressLineNumbers w:val="0"/>
              <w:kinsoku/>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套</w:t>
            </w:r>
          </w:p>
        </w:tc>
      </w:tr>
      <w:tr w14:paraId="6D742E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2"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640D1E04">
            <w:pPr>
              <w:keepNext w:val="0"/>
              <w:keepLines w:val="0"/>
              <w:pageBreakBefore w:val="0"/>
              <w:widowControl/>
              <w:suppressLineNumbers w:val="0"/>
              <w:kinsoku/>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17</w:t>
            </w:r>
          </w:p>
        </w:tc>
        <w:tc>
          <w:tcPr>
            <w:tcW w:w="882" w:type="pct"/>
            <w:tcBorders>
              <w:top w:val="single" w:color="000000" w:sz="4" w:space="0"/>
              <w:left w:val="single" w:color="000000" w:sz="4" w:space="0"/>
              <w:bottom w:val="single" w:color="000000" w:sz="4" w:space="0"/>
              <w:right w:val="single" w:color="000000" w:sz="4" w:space="0"/>
            </w:tcBorders>
            <w:noWrap w:val="0"/>
            <w:vAlign w:val="center"/>
          </w:tcPr>
          <w:p w14:paraId="39DE8328">
            <w:pPr>
              <w:keepNext w:val="0"/>
              <w:keepLines w:val="0"/>
              <w:pageBreakBefore w:val="0"/>
              <w:widowControl/>
              <w:suppressLineNumbers w:val="0"/>
              <w:kinsoku/>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室外防水箱</w:t>
            </w:r>
          </w:p>
        </w:tc>
        <w:tc>
          <w:tcPr>
            <w:tcW w:w="2716" w:type="pct"/>
            <w:tcBorders>
              <w:top w:val="single" w:color="000000" w:sz="4" w:space="0"/>
              <w:left w:val="single" w:color="000000" w:sz="4" w:space="0"/>
              <w:bottom w:val="single" w:color="000000" w:sz="4" w:space="0"/>
              <w:right w:val="single" w:color="000000" w:sz="4" w:space="0"/>
            </w:tcBorders>
            <w:noWrap w:val="0"/>
            <w:vAlign w:val="center"/>
          </w:tcPr>
          <w:p w14:paraId="630FAD47">
            <w:pPr>
              <w:keepNext w:val="0"/>
              <w:keepLines w:val="0"/>
              <w:pageBreakBefore w:val="0"/>
              <w:widowControl/>
              <w:suppressLineNumbers w:val="0"/>
              <w:kinsoku/>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规格:≥400*300*180mm，不锈钢201材质，带一块背板。</w:t>
            </w:r>
          </w:p>
        </w:tc>
        <w:tc>
          <w:tcPr>
            <w:tcW w:w="487" w:type="pct"/>
            <w:tcBorders>
              <w:top w:val="single" w:color="000000" w:sz="4" w:space="0"/>
              <w:left w:val="single" w:color="000000" w:sz="4" w:space="0"/>
              <w:bottom w:val="single" w:color="000000" w:sz="4" w:space="0"/>
              <w:right w:val="single" w:color="000000" w:sz="4" w:space="0"/>
            </w:tcBorders>
            <w:noWrap w:val="0"/>
            <w:vAlign w:val="center"/>
          </w:tcPr>
          <w:p w14:paraId="3BBF425F">
            <w:pPr>
              <w:keepNext w:val="0"/>
              <w:keepLines w:val="0"/>
              <w:pageBreakBefore w:val="0"/>
              <w:widowControl/>
              <w:suppressLineNumbers w:val="0"/>
              <w:kinsoku/>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14</w:t>
            </w:r>
          </w:p>
        </w:tc>
        <w:tc>
          <w:tcPr>
            <w:tcW w:w="433" w:type="pct"/>
            <w:tcBorders>
              <w:top w:val="single" w:color="000000" w:sz="4" w:space="0"/>
              <w:left w:val="single" w:color="000000" w:sz="4" w:space="0"/>
              <w:bottom w:val="single" w:color="000000" w:sz="4" w:space="0"/>
              <w:right w:val="single" w:color="000000" w:sz="4" w:space="0"/>
            </w:tcBorders>
            <w:noWrap w:val="0"/>
            <w:vAlign w:val="center"/>
          </w:tcPr>
          <w:p w14:paraId="2F24DE2A">
            <w:pPr>
              <w:keepNext w:val="0"/>
              <w:keepLines w:val="0"/>
              <w:pageBreakBefore w:val="0"/>
              <w:widowControl/>
              <w:suppressLineNumbers w:val="0"/>
              <w:kinsoku/>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个</w:t>
            </w:r>
          </w:p>
        </w:tc>
      </w:tr>
      <w:tr w14:paraId="13A123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17"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35FA68E2">
            <w:pPr>
              <w:keepNext w:val="0"/>
              <w:keepLines w:val="0"/>
              <w:pageBreakBefore w:val="0"/>
              <w:widowControl/>
              <w:suppressLineNumbers w:val="0"/>
              <w:kinsoku/>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18</w:t>
            </w:r>
          </w:p>
        </w:tc>
        <w:tc>
          <w:tcPr>
            <w:tcW w:w="882" w:type="pct"/>
            <w:tcBorders>
              <w:top w:val="single" w:color="000000" w:sz="4" w:space="0"/>
              <w:left w:val="single" w:color="000000" w:sz="4" w:space="0"/>
              <w:bottom w:val="single" w:color="000000" w:sz="4" w:space="0"/>
              <w:right w:val="single" w:color="000000" w:sz="4" w:space="0"/>
            </w:tcBorders>
            <w:noWrap w:val="0"/>
            <w:vAlign w:val="center"/>
          </w:tcPr>
          <w:p w14:paraId="54B50D3E">
            <w:pPr>
              <w:keepNext w:val="0"/>
              <w:keepLines w:val="0"/>
              <w:pageBreakBefore w:val="0"/>
              <w:widowControl/>
              <w:suppressLineNumbers w:val="0"/>
              <w:kinsoku/>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立杆部分</w:t>
            </w:r>
          </w:p>
        </w:tc>
        <w:tc>
          <w:tcPr>
            <w:tcW w:w="2716" w:type="pct"/>
            <w:tcBorders>
              <w:top w:val="single" w:color="000000" w:sz="4" w:space="0"/>
              <w:left w:val="single" w:color="000000" w:sz="4" w:space="0"/>
              <w:bottom w:val="single" w:color="000000" w:sz="4" w:space="0"/>
              <w:right w:val="single" w:color="000000" w:sz="4" w:space="0"/>
            </w:tcBorders>
            <w:noWrap w:val="0"/>
            <w:vAlign w:val="center"/>
          </w:tcPr>
          <w:p w14:paraId="3B945A7E">
            <w:pPr>
              <w:keepNext w:val="0"/>
              <w:keepLines w:val="0"/>
              <w:pageBreakBefore w:val="0"/>
              <w:widowControl/>
              <w:suppressLineNumbers w:val="0"/>
              <w:kinsoku/>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符合国标和实际使用的立杆基础开挖、回填、混凝土浇筑、防雷接地等施工及恢复</w:t>
            </w:r>
          </w:p>
        </w:tc>
        <w:tc>
          <w:tcPr>
            <w:tcW w:w="487" w:type="pct"/>
            <w:tcBorders>
              <w:top w:val="single" w:color="000000" w:sz="4" w:space="0"/>
              <w:left w:val="single" w:color="000000" w:sz="4" w:space="0"/>
              <w:bottom w:val="single" w:color="000000" w:sz="4" w:space="0"/>
              <w:right w:val="single" w:color="000000" w:sz="4" w:space="0"/>
            </w:tcBorders>
            <w:noWrap w:val="0"/>
            <w:vAlign w:val="center"/>
          </w:tcPr>
          <w:p w14:paraId="2FBE2659">
            <w:pPr>
              <w:keepNext w:val="0"/>
              <w:keepLines w:val="0"/>
              <w:pageBreakBefore w:val="0"/>
              <w:widowControl/>
              <w:suppressLineNumbers w:val="0"/>
              <w:kinsoku/>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4</w:t>
            </w:r>
          </w:p>
        </w:tc>
        <w:tc>
          <w:tcPr>
            <w:tcW w:w="433" w:type="pct"/>
            <w:tcBorders>
              <w:top w:val="single" w:color="000000" w:sz="4" w:space="0"/>
              <w:left w:val="single" w:color="000000" w:sz="4" w:space="0"/>
              <w:bottom w:val="single" w:color="000000" w:sz="4" w:space="0"/>
              <w:right w:val="single" w:color="000000" w:sz="4" w:space="0"/>
            </w:tcBorders>
            <w:noWrap w:val="0"/>
            <w:vAlign w:val="center"/>
          </w:tcPr>
          <w:p w14:paraId="13DB251A">
            <w:pPr>
              <w:keepNext w:val="0"/>
              <w:keepLines w:val="0"/>
              <w:pageBreakBefore w:val="0"/>
              <w:widowControl/>
              <w:suppressLineNumbers w:val="0"/>
              <w:kinsoku/>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套</w:t>
            </w:r>
          </w:p>
        </w:tc>
      </w:tr>
      <w:tr w14:paraId="2C04F7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73"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030C03E8">
            <w:pPr>
              <w:keepNext w:val="0"/>
              <w:keepLines w:val="0"/>
              <w:pageBreakBefore w:val="0"/>
              <w:widowControl/>
              <w:suppressLineNumbers w:val="0"/>
              <w:kinsoku/>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19</w:t>
            </w:r>
          </w:p>
        </w:tc>
        <w:tc>
          <w:tcPr>
            <w:tcW w:w="882" w:type="pct"/>
            <w:tcBorders>
              <w:top w:val="single" w:color="000000" w:sz="4" w:space="0"/>
              <w:left w:val="single" w:color="000000" w:sz="4" w:space="0"/>
              <w:bottom w:val="single" w:color="000000" w:sz="4" w:space="0"/>
              <w:right w:val="single" w:color="000000" w:sz="4" w:space="0"/>
            </w:tcBorders>
            <w:noWrap w:val="0"/>
            <w:vAlign w:val="center"/>
          </w:tcPr>
          <w:p w14:paraId="27B17736">
            <w:pPr>
              <w:keepNext w:val="0"/>
              <w:keepLines w:val="0"/>
              <w:pageBreakBefore w:val="0"/>
              <w:widowControl/>
              <w:suppressLineNumbers w:val="0"/>
              <w:kinsoku/>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线缆部分</w:t>
            </w:r>
          </w:p>
        </w:tc>
        <w:tc>
          <w:tcPr>
            <w:tcW w:w="2716" w:type="pct"/>
            <w:tcBorders>
              <w:top w:val="single" w:color="000000" w:sz="4" w:space="0"/>
              <w:left w:val="single" w:color="000000" w:sz="4" w:space="0"/>
              <w:bottom w:val="single" w:color="000000" w:sz="4" w:space="0"/>
              <w:right w:val="single" w:color="000000" w:sz="4" w:space="0"/>
            </w:tcBorders>
            <w:noWrap w:val="0"/>
            <w:vAlign w:val="center"/>
          </w:tcPr>
          <w:p w14:paraId="42176B02">
            <w:pPr>
              <w:keepNext w:val="0"/>
              <w:keepLines w:val="0"/>
              <w:pageBreakBefore w:val="0"/>
              <w:widowControl/>
              <w:suppressLineNumbers w:val="0"/>
              <w:kinsoku/>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符合国标和实际使用的水泥地面切割恢复、光纤、网线、电源线套管桥架布置、校园绿化区域开挖恢复等</w:t>
            </w:r>
          </w:p>
        </w:tc>
        <w:tc>
          <w:tcPr>
            <w:tcW w:w="487" w:type="pct"/>
            <w:tcBorders>
              <w:top w:val="single" w:color="000000" w:sz="4" w:space="0"/>
              <w:left w:val="single" w:color="000000" w:sz="4" w:space="0"/>
              <w:bottom w:val="single" w:color="000000" w:sz="4" w:space="0"/>
              <w:right w:val="single" w:color="000000" w:sz="4" w:space="0"/>
            </w:tcBorders>
            <w:noWrap w:val="0"/>
            <w:vAlign w:val="center"/>
          </w:tcPr>
          <w:p w14:paraId="7D7F2D52">
            <w:pPr>
              <w:keepNext w:val="0"/>
              <w:keepLines w:val="0"/>
              <w:pageBreakBefore w:val="0"/>
              <w:widowControl/>
              <w:suppressLineNumbers w:val="0"/>
              <w:kinsoku/>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16000</w:t>
            </w:r>
          </w:p>
        </w:tc>
        <w:tc>
          <w:tcPr>
            <w:tcW w:w="433" w:type="pct"/>
            <w:tcBorders>
              <w:top w:val="single" w:color="000000" w:sz="4" w:space="0"/>
              <w:left w:val="single" w:color="000000" w:sz="4" w:space="0"/>
              <w:bottom w:val="single" w:color="000000" w:sz="4" w:space="0"/>
              <w:right w:val="single" w:color="000000" w:sz="4" w:space="0"/>
            </w:tcBorders>
            <w:noWrap w:val="0"/>
            <w:vAlign w:val="center"/>
          </w:tcPr>
          <w:p w14:paraId="2F6D9BCA">
            <w:pPr>
              <w:keepNext w:val="0"/>
              <w:keepLines w:val="0"/>
              <w:pageBreakBefore w:val="0"/>
              <w:widowControl/>
              <w:suppressLineNumbers w:val="0"/>
              <w:kinsoku/>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米</w:t>
            </w:r>
          </w:p>
        </w:tc>
      </w:tr>
      <w:tr w14:paraId="691D8D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48B90C16">
            <w:pPr>
              <w:keepNext w:val="0"/>
              <w:keepLines w:val="0"/>
              <w:pageBreakBefore w:val="0"/>
              <w:widowControl/>
              <w:suppressLineNumbers w:val="0"/>
              <w:kinsoku/>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20</w:t>
            </w:r>
          </w:p>
        </w:tc>
        <w:tc>
          <w:tcPr>
            <w:tcW w:w="882" w:type="pct"/>
            <w:tcBorders>
              <w:top w:val="single" w:color="000000" w:sz="4" w:space="0"/>
              <w:left w:val="single" w:color="000000" w:sz="4" w:space="0"/>
              <w:bottom w:val="single" w:color="000000" w:sz="4" w:space="0"/>
              <w:right w:val="single" w:color="000000" w:sz="4" w:space="0"/>
            </w:tcBorders>
            <w:noWrap w:val="0"/>
            <w:vAlign w:val="center"/>
          </w:tcPr>
          <w:p w14:paraId="1A040BC4">
            <w:pPr>
              <w:keepNext w:val="0"/>
              <w:keepLines w:val="0"/>
              <w:pageBreakBefore w:val="0"/>
              <w:widowControl/>
              <w:suppressLineNumbers w:val="0"/>
              <w:kinsoku/>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摄像机部分</w:t>
            </w:r>
          </w:p>
        </w:tc>
        <w:tc>
          <w:tcPr>
            <w:tcW w:w="2716" w:type="pct"/>
            <w:tcBorders>
              <w:top w:val="single" w:color="000000" w:sz="4" w:space="0"/>
              <w:left w:val="single" w:color="000000" w:sz="4" w:space="0"/>
              <w:bottom w:val="single" w:color="000000" w:sz="4" w:space="0"/>
              <w:right w:val="single" w:color="000000" w:sz="4" w:space="0"/>
            </w:tcBorders>
            <w:noWrap w:val="0"/>
            <w:vAlign w:val="center"/>
          </w:tcPr>
          <w:p w14:paraId="3C4E9834">
            <w:pPr>
              <w:keepNext w:val="0"/>
              <w:keepLines w:val="0"/>
              <w:pageBreakBefore w:val="0"/>
              <w:widowControl/>
              <w:suppressLineNumbers w:val="0"/>
              <w:kinsoku/>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sz w:val="22"/>
                <w:szCs w:val="22"/>
                <w:highlight w:val="none"/>
                <w:u w:val="none"/>
                <w:lang w:val="en-US"/>
              </w:rPr>
            </w:pPr>
            <w:r>
              <w:rPr>
                <w:rFonts w:hint="eastAsia" w:ascii="宋体" w:hAnsi="宋体" w:eastAsia="宋体" w:cs="宋体"/>
                <w:i w:val="0"/>
                <w:iCs w:val="0"/>
                <w:color w:val="000000"/>
                <w:kern w:val="0"/>
                <w:sz w:val="22"/>
                <w:szCs w:val="22"/>
                <w:highlight w:val="none"/>
                <w:u w:val="none"/>
                <w:lang w:val="en-US" w:eastAsia="zh-CN" w:bidi="ar"/>
              </w:rPr>
              <w:t>摄像机立杆+壁装+吊装+技术服务</w:t>
            </w:r>
          </w:p>
        </w:tc>
        <w:tc>
          <w:tcPr>
            <w:tcW w:w="487" w:type="pct"/>
            <w:tcBorders>
              <w:top w:val="single" w:color="000000" w:sz="4" w:space="0"/>
              <w:left w:val="single" w:color="000000" w:sz="4" w:space="0"/>
              <w:bottom w:val="single" w:color="000000" w:sz="4" w:space="0"/>
              <w:right w:val="single" w:color="000000" w:sz="4" w:space="0"/>
            </w:tcBorders>
            <w:noWrap w:val="0"/>
            <w:vAlign w:val="center"/>
          </w:tcPr>
          <w:p w14:paraId="220A7135">
            <w:pPr>
              <w:keepNext w:val="0"/>
              <w:keepLines w:val="0"/>
              <w:pageBreakBefore w:val="0"/>
              <w:widowControl/>
              <w:suppressLineNumbers w:val="0"/>
              <w:kinsoku/>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138</w:t>
            </w:r>
          </w:p>
        </w:tc>
        <w:tc>
          <w:tcPr>
            <w:tcW w:w="433" w:type="pct"/>
            <w:tcBorders>
              <w:top w:val="single" w:color="000000" w:sz="4" w:space="0"/>
              <w:left w:val="single" w:color="000000" w:sz="4" w:space="0"/>
              <w:bottom w:val="single" w:color="000000" w:sz="4" w:space="0"/>
              <w:right w:val="single" w:color="000000" w:sz="4" w:space="0"/>
            </w:tcBorders>
            <w:noWrap w:val="0"/>
            <w:vAlign w:val="center"/>
          </w:tcPr>
          <w:p w14:paraId="1A34773A">
            <w:pPr>
              <w:keepNext w:val="0"/>
              <w:keepLines w:val="0"/>
              <w:pageBreakBefore w:val="0"/>
              <w:widowControl/>
              <w:suppressLineNumbers w:val="0"/>
              <w:kinsoku/>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台</w:t>
            </w:r>
          </w:p>
        </w:tc>
      </w:tr>
      <w:tr w14:paraId="710F72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5"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4ACE6C0C">
            <w:pPr>
              <w:keepNext w:val="0"/>
              <w:keepLines w:val="0"/>
              <w:pageBreakBefore w:val="0"/>
              <w:widowControl/>
              <w:suppressLineNumbers w:val="0"/>
              <w:kinsoku/>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21</w:t>
            </w:r>
          </w:p>
        </w:tc>
        <w:tc>
          <w:tcPr>
            <w:tcW w:w="882" w:type="pct"/>
            <w:tcBorders>
              <w:top w:val="single" w:color="000000" w:sz="4" w:space="0"/>
              <w:left w:val="single" w:color="000000" w:sz="4" w:space="0"/>
              <w:bottom w:val="single" w:color="000000" w:sz="4" w:space="0"/>
              <w:right w:val="single" w:color="000000" w:sz="4" w:space="0"/>
            </w:tcBorders>
            <w:noWrap w:val="0"/>
            <w:vAlign w:val="center"/>
          </w:tcPr>
          <w:p w14:paraId="1A311D71">
            <w:pPr>
              <w:keepNext w:val="0"/>
              <w:keepLines w:val="0"/>
              <w:pageBreakBefore w:val="0"/>
              <w:widowControl/>
              <w:suppressLineNumbers w:val="0"/>
              <w:kinsoku/>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机房部分</w:t>
            </w:r>
          </w:p>
        </w:tc>
        <w:tc>
          <w:tcPr>
            <w:tcW w:w="2716" w:type="pct"/>
            <w:tcBorders>
              <w:top w:val="single" w:color="000000" w:sz="4" w:space="0"/>
              <w:left w:val="single" w:color="000000" w:sz="4" w:space="0"/>
              <w:bottom w:val="single" w:color="000000" w:sz="4" w:space="0"/>
              <w:right w:val="single" w:color="000000" w:sz="4" w:space="0"/>
            </w:tcBorders>
            <w:noWrap w:val="0"/>
            <w:vAlign w:val="center"/>
          </w:tcPr>
          <w:p w14:paraId="6540A5FD">
            <w:pPr>
              <w:keepNext w:val="0"/>
              <w:keepLines w:val="0"/>
              <w:pageBreakBefore w:val="0"/>
              <w:widowControl/>
              <w:suppressLineNumbers w:val="0"/>
              <w:kinsoku/>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符合国标和实际使用的机房机柜安装、理线、线标注释、接电、监控系统新旧对接调试等</w:t>
            </w:r>
          </w:p>
        </w:tc>
        <w:tc>
          <w:tcPr>
            <w:tcW w:w="487" w:type="pct"/>
            <w:tcBorders>
              <w:top w:val="single" w:color="000000" w:sz="4" w:space="0"/>
              <w:left w:val="single" w:color="000000" w:sz="4" w:space="0"/>
              <w:bottom w:val="single" w:color="000000" w:sz="4" w:space="0"/>
              <w:right w:val="single" w:color="000000" w:sz="4" w:space="0"/>
            </w:tcBorders>
            <w:noWrap w:val="0"/>
            <w:vAlign w:val="center"/>
          </w:tcPr>
          <w:p w14:paraId="7F84F618">
            <w:pPr>
              <w:keepNext w:val="0"/>
              <w:keepLines w:val="0"/>
              <w:pageBreakBefore w:val="0"/>
              <w:widowControl/>
              <w:suppressLineNumbers w:val="0"/>
              <w:kinsoku/>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w:t>
            </w:r>
          </w:p>
        </w:tc>
        <w:tc>
          <w:tcPr>
            <w:tcW w:w="433" w:type="pct"/>
            <w:tcBorders>
              <w:top w:val="single" w:color="000000" w:sz="4" w:space="0"/>
              <w:left w:val="single" w:color="000000" w:sz="4" w:space="0"/>
              <w:bottom w:val="single" w:color="000000" w:sz="4" w:space="0"/>
              <w:right w:val="single" w:color="000000" w:sz="4" w:space="0"/>
            </w:tcBorders>
            <w:noWrap w:val="0"/>
            <w:vAlign w:val="center"/>
          </w:tcPr>
          <w:p w14:paraId="5EF2D592">
            <w:pPr>
              <w:keepNext w:val="0"/>
              <w:keepLines w:val="0"/>
              <w:pageBreakBefore w:val="0"/>
              <w:widowControl/>
              <w:suppressLineNumbers w:val="0"/>
              <w:kinsoku/>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批</w:t>
            </w:r>
          </w:p>
        </w:tc>
      </w:tr>
      <w:tr w14:paraId="39D01D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4B6F2144">
            <w:pPr>
              <w:keepNext w:val="0"/>
              <w:keepLines w:val="0"/>
              <w:pageBreakBefore w:val="0"/>
              <w:widowControl/>
              <w:suppressLineNumbers w:val="0"/>
              <w:kinsoku/>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22</w:t>
            </w:r>
          </w:p>
        </w:tc>
        <w:tc>
          <w:tcPr>
            <w:tcW w:w="882" w:type="pct"/>
            <w:tcBorders>
              <w:top w:val="single" w:color="000000" w:sz="4" w:space="0"/>
              <w:left w:val="single" w:color="000000" w:sz="4" w:space="0"/>
              <w:bottom w:val="single" w:color="000000" w:sz="4" w:space="0"/>
              <w:right w:val="single" w:color="000000" w:sz="4" w:space="0"/>
            </w:tcBorders>
            <w:noWrap w:val="0"/>
            <w:vAlign w:val="center"/>
          </w:tcPr>
          <w:p w14:paraId="4AD40445">
            <w:pPr>
              <w:keepNext w:val="0"/>
              <w:keepLines w:val="0"/>
              <w:pageBreakBefore w:val="0"/>
              <w:widowControl/>
              <w:suppressLineNumbers w:val="0"/>
              <w:kinsoku/>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监控线路分离和组网</w:t>
            </w:r>
          </w:p>
        </w:tc>
        <w:tc>
          <w:tcPr>
            <w:tcW w:w="2716" w:type="pct"/>
            <w:tcBorders>
              <w:top w:val="single" w:color="000000" w:sz="4" w:space="0"/>
              <w:left w:val="single" w:color="000000" w:sz="4" w:space="0"/>
              <w:bottom w:val="single" w:color="000000" w:sz="4" w:space="0"/>
              <w:right w:val="single" w:color="000000" w:sz="4" w:space="0"/>
            </w:tcBorders>
            <w:noWrap w:val="0"/>
            <w:vAlign w:val="center"/>
          </w:tcPr>
          <w:p w14:paraId="58EF0D6F">
            <w:pPr>
              <w:keepNext w:val="0"/>
              <w:keepLines w:val="0"/>
              <w:pageBreakBefore w:val="0"/>
              <w:widowControl/>
              <w:suppressLineNumbers w:val="0"/>
              <w:kinsoku/>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符合国标和实际使用的包含将原先的网络进行分离和整理并与所有的监控网络集成</w:t>
            </w:r>
          </w:p>
        </w:tc>
        <w:tc>
          <w:tcPr>
            <w:tcW w:w="487" w:type="pct"/>
            <w:tcBorders>
              <w:top w:val="single" w:color="000000" w:sz="4" w:space="0"/>
              <w:left w:val="single" w:color="000000" w:sz="4" w:space="0"/>
              <w:bottom w:val="single" w:color="000000" w:sz="4" w:space="0"/>
              <w:right w:val="single" w:color="000000" w:sz="4" w:space="0"/>
            </w:tcBorders>
            <w:noWrap w:val="0"/>
            <w:vAlign w:val="center"/>
          </w:tcPr>
          <w:p w14:paraId="700B90C7">
            <w:pPr>
              <w:keepNext w:val="0"/>
              <w:keepLines w:val="0"/>
              <w:pageBreakBefore w:val="0"/>
              <w:widowControl/>
              <w:suppressLineNumbers w:val="0"/>
              <w:kinsoku/>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w:t>
            </w:r>
          </w:p>
        </w:tc>
        <w:tc>
          <w:tcPr>
            <w:tcW w:w="433" w:type="pct"/>
            <w:tcBorders>
              <w:top w:val="single" w:color="000000" w:sz="4" w:space="0"/>
              <w:left w:val="single" w:color="000000" w:sz="4" w:space="0"/>
              <w:bottom w:val="single" w:color="000000" w:sz="4" w:space="0"/>
              <w:right w:val="single" w:color="000000" w:sz="4" w:space="0"/>
            </w:tcBorders>
            <w:noWrap w:val="0"/>
            <w:vAlign w:val="center"/>
          </w:tcPr>
          <w:p w14:paraId="6208EC44">
            <w:pPr>
              <w:keepNext w:val="0"/>
              <w:keepLines w:val="0"/>
              <w:pageBreakBefore w:val="0"/>
              <w:widowControl/>
              <w:suppressLineNumbers w:val="0"/>
              <w:kinsoku/>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批</w:t>
            </w:r>
          </w:p>
        </w:tc>
      </w:tr>
      <w:tr w14:paraId="1EFFA4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17"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50DC8765">
            <w:pPr>
              <w:keepNext w:val="0"/>
              <w:keepLines w:val="0"/>
              <w:pageBreakBefore w:val="0"/>
              <w:widowControl/>
              <w:suppressLineNumbers w:val="0"/>
              <w:kinsoku/>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23</w:t>
            </w:r>
          </w:p>
        </w:tc>
        <w:tc>
          <w:tcPr>
            <w:tcW w:w="882" w:type="pct"/>
            <w:tcBorders>
              <w:top w:val="single" w:color="000000" w:sz="4" w:space="0"/>
              <w:left w:val="single" w:color="000000" w:sz="4" w:space="0"/>
              <w:bottom w:val="single" w:color="000000" w:sz="4" w:space="0"/>
              <w:right w:val="single" w:color="000000" w:sz="4" w:space="0"/>
            </w:tcBorders>
            <w:noWrap w:val="0"/>
            <w:vAlign w:val="center"/>
          </w:tcPr>
          <w:p w14:paraId="0027B3D4">
            <w:pPr>
              <w:keepNext w:val="0"/>
              <w:keepLines w:val="0"/>
              <w:pageBreakBefore w:val="0"/>
              <w:widowControl/>
              <w:suppressLineNumbers w:val="0"/>
              <w:kinsoku/>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辅材</w:t>
            </w:r>
          </w:p>
        </w:tc>
        <w:tc>
          <w:tcPr>
            <w:tcW w:w="2716" w:type="pct"/>
            <w:tcBorders>
              <w:top w:val="single" w:color="000000" w:sz="4" w:space="0"/>
              <w:left w:val="single" w:color="000000" w:sz="4" w:space="0"/>
              <w:bottom w:val="single" w:color="000000" w:sz="4" w:space="0"/>
              <w:right w:val="single" w:color="000000" w:sz="4" w:space="0"/>
            </w:tcBorders>
            <w:noWrap w:val="0"/>
            <w:vAlign w:val="center"/>
          </w:tcPr>
          <w:p w14:paraId="1B8C30D2">
            <w:pPr>
              <w:keepNext w:val="0"/>
              <w:keepLines w:val="0"/>
              <w:pageBreakBefore w:val="0"/>
              <w:widowControl/>
              <w:suppressLineNumbers w:val="0"/>
              <w:kinsoku/>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符合国标和实际使用的水晶头、线管、跳线、地笼、沙石等</w:t>
            </w:r>
          </w:p>
        </w:tc>
        <w:tc>
          <w:tcPr>
            <w:tcW w:w="487" w:type="pct"/>
            <w:tcBorders>
              <w:top w:val="single" w:color="000000" w:sz="4" w:space="0"/>
              <w:left w:val="single" w:color="000000" w:sz="4" w:space="0"/>
              <w:bottom w:val="single" w:color="000000" w:sz="4" w:space="0"/>
              <w:right w:val="single" w:color="000000" w:sz="4" w:space="0"/>
            </w:tcBorders>
            <w:noWrap w:val="0"/>
            <w:vAlign w:val="center"/>
          </w:tcPr>
          <w:p w14:paraId="062AADC3">
            <w:pPr>
              <w:keepNext w:val="0"/>
              <w:keepLines w:val="0"/>
              <w:pageBreakBefore w:val="0"/>
              <w:widowControl/>
              <w:suppressLineNumbers w:val="0"/>
              <w:kinsoku/>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w:t>
            </w:r>
          </w:p>
        </w:tc>
        <w:tc>
          <w:tcPr>
            <w:tcW w:w="433" w:type="pct"/>
            <w:tcBorders>
              <w:top w:val="single" w:color="000000" w:sz="4" w:space="0"/>
              <w:left w:val="single" w:color="000000" w:sz="4" w:space="0"/>
              <w:bottom w:val="single" w:color="000000" w:sz="4" w:space="0"/>
              <w:right w:val="single" w:color="000000" w:sz="4" w:space="0"/>
            </w:tcBorders>
            <w:noWrap w:val="0"/>
            <w:vAlign w:val="center"/>
          </w:tcPr>
          <w:p w14:paraId="0F653622">
            <w:pPr>
              <w:keepNext w:val="0"/>
              <w:keepLines w:val="0"/>
              <w:pageBreakBefore w:val="0"/>
              <w:widowControl/>
              <w:suppressLineNumbers w:val="0"/>
              <w:kinsoku/>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批</w:t>
            </w:r>
          </w:p>
        </w:tc>
      </w:tr>
      <w:tr w14:paraId="1BC78A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5000" w:type="pct"/>
            <w:gridSpan w:val="5"/>
            <w:tcBorders>
              <w:top w:val="single" w:color="000000" w:sz="4" w:space="0"/>
              <w:left w:val="single" w:color="000000" w:sz="4" w:space="0"/>
              <w:bottom w:val="single" w:color="000000" w:sz="4" w:space="0"/>
              <w:right w:val="single" w:color="000000" w:sz="4" w:space="0"/>
            </w:tcBorders>
            <w:noWrap w:val="0"/>
            <w:vAlign w:val="center"/>
          </w:tcPr>
          <w:p w14:paraId="68ECFF57">
            <w:pPr>
              <w:keepNext w:val="0"/>
              <w:keepLines w:val="0"/>
              <w:pageBreakBefore w:val="0"/>
              <w:widowControl/>
              <w:suppressLineNumbers w:val="0"/>
              <w:kinsoku/>
              <w:overflowPunct/>
              <w:topLinePunct w:val="0"/>
              <w:autoSpaceDE/>
              <w:autoSpaceDN/>
              <w:bidi w:val="0"/>
              <w:adjustRightInd/>
              <w:snapToGrid/>
              <w:spacing w:line="240" w:lineRule="auto"/>
              <w:jc w:val="both"/>
              <w:textAlignment w:val="center"/>
              <w:rPr>
                <w:rFonts w:hint="eastAsia"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说明：1.带★条款的</w:t>
            </w:r>
            <w:r>
              <w:rPr>
                <w:rFonts w:hint="eastAsia" w:ascii="宋体" w:hAnsi="宋体" w:cs="宋体"/>
                <w:b w:val="0"/>
                <w:bCs w:val="0"/>
                <w:color w:val="000000"/>
                <w:sz w:val="22"/>
                <w:szCs w:val="22"/>
                <w:highlight w:val="none"/>
                <w:lang w:val="en-US" w:eastAsia="zh-CN"/>
              </w:rPr>
              <w:t>指标</w:t>
            </w:r>
            <w:r>
              <w:rPr>
                <w:rFonts w:hint="eastAsia" w:ascii="宋体" w:hAnsi="宋体" w:eastAsia="宋体" w:cs="宋体"/>
                <w:b w:val="0"/>
                <w:bCs w:val="0"/>
                <w:color w:val="000000"/>
                <w:sz w:val="22"/>
                <w:szCs w:val="22"/>
                <w:highlight w:val="none"/>
                <w:lang w:val="en-US" w:eastAsia="zh-CN"/>
              </w:rPr>
              <w:t>均应以要求的形式(如★条款无形式要求的，可</w:t>
            </w:r>
            <w:r>
              <w:rPr>
                <w:rFonts w:hint="eastAsia" w:ascii="宋体" w:hAnsi="宋体" w:cs="宋体"/>
                <w:b w:val="0"/>
                <w:bCs w:val="0"/>
                <w:color w:val="000000"/>
                <w:sz w:val="22"/>
                <w:szCs w:val="22"/>
                <w:highlight w:val="none"/>
                <w:lang w:val="en-US" w:eastAsia="zh-CN"/>
              </w:rPr>
              <w:t>提供</w:t>
            </w:r>
            <w:r>
              <w:rPr>
                <w:rFonts w:hint="eastAsia" w:ascii="宋体" w:hAnsi="宋体" w:eastAsia="宋体" w:cs="宋体"/>
                <w:b w:val="0"/>
                <w:bCs w:val="0"/>
                <w:color w:val="000000"/>
                <w:sz w:val="22"/>
                <w:szCs w:val="22"/>
                <w:highlight w:val="none"/>
                <w:lang w:val="en-US" w:eastAsia="zh-CN"/>
              </w:rPr>
              <w:t>不限于原厂印刷的产品说明书、制造商官方网站截图、第三方机构检验报告、带标识(说明)的功能截图等任意形式)提供相应的证明材料。任意一条带★条款</w:t>
            </w:r>
            <w:r>
              <w:rPr>
                <w:rFonts w:hint="eastAsia" w:ascii="宋体" w:hAnsi="宋体" w:cs="宋体"/>
                <w:b w:val="0"/>
                <w:bCs w:val="0"/>
                <w:color w:val="000000"/>
                <w:sz w:val="22"/>
                <w:szCs w:val="22"/>
                <w:highlight w:val="none"/>
                <w:lang w:val="en-US" w:eastAsia="zh-CN"/>
              </w:rPr>
              <w:t>的指标</w:t>
            </w:r>
            <w:r>
              <w:rPr>
                <w:rFonts w:hint="eastAsia" w:ascii="宋体" w:hAnsi="宋体" w:eastAsia="宋体" w:cs="宋体"/>
                <w:b w:val="0"/>
                <w:bCs w:val="0"/>
                <w:color w:val="000000"/>
                <w:sz w:val="22"/>
                <w:szCs w:val="22"/>
                <w:highlight w:val="none"/>
                <w:lang w:val="en-US" w:eastAsia="zh-CN"/>
              </w:rPr>
              <w:t>未响应或者不满足的，将按无效响应处理。</w:t>
            </w:r>
          </w:p>
          <w:p w14:paraId="2672E61D">
            <w:pPr>
              <w:keepNext w:val="0"/>
              <w:keepLines w:val="0"/>
              <w:pageBreakBefore w:val="0"/>
              <w:widowControl/>
              <w:suppressLineNumbers w:val="0"/>
              <w:kinsoku/>
              <w:overflowPunct/>
              <w:topLinePunct w:val="0"/>
              <w:autoSpaceDE/>
              <w:autoSpaceDN/>
              <w:bidi w:val="0"/>
              <w:adjustRightInd/>
              <w:snapToGrid/>
              <w:spacing w:line="240" w:lineRule="auto"/>
              <w:jc w:val="both"/>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b w:val="0"/>
                <w:bCs w:val="0"/>
                <w:color w:val="000000"/>
                <w:sz w:val="22"/>
                <w:szCs w:val="22"/>
                <w:highlight w:val="none"/>
                <w:lang w:val="en-US" w:eastAsia="zh-CN"/>
              </w:rPr>
              <w:t>2.需求清单中的</w:t>
            </w:r>
            <w:r>
              <w:rPr>
                <w:rFonts w:hint="eastAsia" w:ascii="宋体" w:hAnsi="宋体" w:eastAsia="宋体" w:cs="宋体"/>
                <w:b w:val="0"/>
                <w:bCs w:val="0"/>
                <w:color w:val="000000"/>
                <w:sz w:val="22"/>
                <w:szCs w:val="22"/>
                <w:highlight w:val="none"/>
                <w:lang w:val="en-CA"/>
              </w:rPr>
              <w:t>“支持..；具备..；配备..”等描述，为已具备的功能要求，且后期使用费用包含在</w:t>
            </w:r>
            <w:r>
              <w:rPr>
                <w:rFonts w:hint="eastAsia" w:ascii="宋体" w:hAnsi="宋体" w:eastAsia="宋体" w:cs="宋体"/>
                <w:b w:val="0"/>
                <w:bCs w:val="0"/>
                <w:color w:val="000000"/>
                <w:sz w:val="22"/>
                <w:szCs w:val="22"/>
                <w:highlight w:val="none"/>
                <w:lang w:val="en-US" w:eastAsia="zh-CN"/>
              </w:rPr>
              <w:t>响应(投标)</w:t>
            </w:r>
            <w:r>
              <w:rPr>
                <w:rFonts w:hint="eastAsia" w:ascii="宋体" w:hAnsi="宋体" w:eastAsia="宋体" w:cs="宋体"/>
                <w:b w:val="0"/>
                <w:bCs w:val="0"/>
                <w:color w:val="000000"/>
                <w:sz w:val="22"/>
                <w:szCs w:val="22"/>
                <w:highlight w:val="none"/>
                <w:lang w:val="en-CA"/>
              </w:rPr>
              <w:t>报价中</w:t>
            </w:r>
            <w:r>
              <w:rPr>
                <w:rFonts w:hint="eastAsia" w:ascii="宋体" w:hAnsi="宋体" w:eastAsia="宋体" w:cs="宋体"/>
                <w:b w:val="0"/>
                <w:bCs w:val="0"/>
                <w:color w:val="000000"/>
                <w:sz w:val="22"/>
                <w:szCs w:val="22"/>
                <w:highlight w:val="none"/>
                <w:lang w:val="en-CA" w:eastAsia="zh-CN"/>
              </w:rPr>
              <w:t>；</w:t>
            </w:r>
            <w:r>
              <w:rPr>
                <w:rFonts w:hint="eastAsia" w:ascii="宋体" w:hAnsi="宋体" w:eastAsia="宋体" w:cs="宋体"/>
                <w:b w:val="0"/>
                <w:bCs w:val="0"/>
                <w:color w:val="000000"/>
                <w:sz w:val="22"/>
                <w:szCs w:val="22"/>
                <w:highlight w:val="none"/>
                <w:lang w:val="en-US" w:eastAsia="zh-CN"/>
              </w:rPr>
              <w:t>成交后，成交供应商不允许以任何形式就以上</w:t>
            </w:r>
            <w:r>
              <w:rPr>
                <w:rFonts w:hint="eastAsia" w:ascii="宋体" w:hAnsi="宋体" w:eastAsia="宋体" w:cs="宋体"/>
                <w:b w:val="0"/>
                <w:bCs w:val="0"/>
                <w:color w:val="000000"/>
                <w:sz w:val="22"/>
                <w:szCs w:val="22"/>
                <w:highlight w:val="none"/>
                <w:lang w:val="en-CA"/>
              </w:rPr>
              <w:t>已具备的功能</w:t>
            </w:r>
            <w:r>
              <w:rPr>
                <w:rFonts w:hint="eastAsia" w:ascii="宋体" w:hAnsi="宋体" w:eastAsia="宋体" w:cs="宋体"/>
                <w:b w:val="0"/>
                <w:bCs w:val="0"/>
                <w:color w:val="000000"/>
                <w:sz w:val="22"/>
                <w:szCs w:val="22"/>
                <w:highlight w:val="none"/>
                <w:lang w:val="en-US" w:eastAsia="zh-CN"/>
              </w:rPr>
              <w:t>向采购人收取费用，一律按虚假应标处理，由成交供应商承担因此产生的一切后果和责任。</w:t>
            </w:r>
          </w:p>
        </w:tc>
      </w:tr>
    </w:tbl>
    <w:p w14:paraId="4A307ED0">
      <w:pPr>
        <w:keepNext w:val="0"/>
        <w:keepLines w:val="0"/>
        <w:pageBreakBefore w:val="0"/>
        <w:kinsoku/>
        <w:overflowPunct/>
        <w:topLinePunct w:val="0"/>
        <w:autoSpaceDE/>
        <w:autoSpaceDN/>
        <w:bidi w:val="0"/>
        <w:adjustRightInd/>
        <w:snapToGrid/>
        <w:spacing w:line="240" w:lineRule="auto"/>
        <w:textAlignment w:val="auto"/>
        <w:rPr>
          <w:rFonts w:hint="eastAsia" w:ascii="宋体" w:hAnsi="宋体" w:eastAsia="宋体" w:cs="宋体"/>
          <w:b/>
          <w:color w:val="FF0000"/>
          <w:szCs w:val="21"/>
        </w:rPr>
      </w:pPr>
    </w:p>
    <w:p w14:paraId="490E319C">
      <w:pPr>
        <w:keepNext w:val="0"/>
        <w:keepLines w:val="0"/>
        <w:pageBreakBefore w:val="0"/>
        <w:kinsoku/>
        <w:overflowPunct/>
        <w:topLinePunct w:val="0"/>
        <w:autoSpaceDE/>
        <w:autoSpaceDN/>
        <w:bidi w:val="0"/>
        <w:adjustRightInd/>
        <w:snapToGrid/>
        <w:spacing w:line="240" w:lineRule="auto"/>
        <w:textAlignment w:val="auto"/>
        <w:rPr>
          <w:rFonts w:hint="eastAsia" w:ascii="宋体" w:hAnsi="宋体" w:eastAsia="宋体" w:cs="宋体"/>
          <w:b/>
          <w:color w:val="FF0000"/>
          <w:szCs w:val="21"/>
        </w:rPr>
      </w:pPr>
    </w:p>
    <w:p w14:paraId="2B13312D">
      <w:pPr>
        <w:keepNext w:val="0"/>
        <w:keepLines w:val="0"/>
        <w:pageBreakBefore w:val="0"/>
        <w:kinsoku/>
        <w:overflowPunct/>
        <w:topLinePunct w:val="0"/>
        <w:autoSpaceDE/>
        <w:autoSpaceDN/>
        <w:bidi w:val="0"/>
        <w:adjustRightInd/>
        <w:snapToGrid/>
        <w:spacing w:line="240" w:lineRule="auto"/>
        <w:textAlignment w:val="auto"/>
        <w:rPr>
          <w:rFonts w:hint="eastAsia" w:ascii="宋体" w:hAnsi="宋体" w:eastAsia="宋体" w:cs="宋体"/>
          <w:b/>
          <w:color w:val="FF0000"/>
          <w:szCs w:val="21"/>
        </w:rPr>
      </w:pPr>
    </w:p>
    <w:p w14:paraId="3C0B6008">
      <w:pPr>
        <w:keepNext w:val="0"/>
        <w:keepLines w:val="0"/>
        <w:pageBreakBefore w:val="0"/>
        <w:kinsoku/>
        <w:overflowPunct/>
        <w:topLinePunct w:val="0"/>
        <w:autoSpaceDE/>
        <w:autoSpaceDN/>
        <w:bidi w:val="0"/>
        <w:adjustRightInd/>
        <w:snapToGrid/>
        <w:spacing w:line="240" w:lineRule="auto"/>
        <w:textAlignment w:val="auto"/>
        <w:rPr>
          <w:rFonts w:hint="eastAsia" w:ascii="宋体" w:hAnsi="宋体" w:eastAsia="宋体" w:cs="宋体"/>
          <w:b/>
          <w:color w:val="FF0000"/>
          <w:szCs w:val="21"/>
        </w:rPr>
      </w:pPr>
    </w:p>
    <w:p w14:paraId="3B3D8071">
      <w:pPr>
        <w:keepNext w:val="0"/>
        <w:keepLines w:val="0"/>
        <w:pageBreakBefore w:val="0"/>
        <w:kinsoku/>
        <w:overflowPunct/>
        <w:topLinePunct w:val="0"/>
        <w:autoSpaceDE/>
        <w:autoSpaceDN/>
        <w:bidi w:val="0"/>
        <w:adjustRightInd/>
        <w:snapToGrid/>
        <w:spacing w:line="240" w:lineRule="auto"/>
        <w:textAlignment w:val="auto"/>
        <w:rPr>
          <w:rFonts w:hint="eastAsia" w:ascii="宋体" w:hAnsi="宋体" w:eastAsia="宋体" w:cs="宋体"/>
          <w:b/>
          <w:color w:val="FF0000"/>
          <w:szCs w:val="21"/>
        </w:rPr>
      </w:pPr>
      <w:r>
        <w:rPr>
          <w:rFonts w:hint="eastAsia" w:ascii="宋体" w:hAnsi="宋体" w:eastAsia="宋体" w:cs="宋体"/>
          <w:b/>
          <w:color w:val="FF0000"/>
          <w:szCs w:val="21"/>
        </w:rPr>
        <w:t>注：此附件采购需求仅作为潜在供应商知晓项目基本情况，采购文件具体内容请供应商用户登录“陕西省政府采购综合管理平台（以下简称“政府采购平台”），进入项目电子化交易系统”内下载的电子采购文件为准。</w:t>
      </w:r>
    </w:p>
    <w:p w14:paraId="05367AEF">
      <w:pPr>
        <w:keepNext w:val="0"/>
        <w:keepLines w:val="0"/>
        <w:pageBreakBefore w:val="0"/>
        <w:kinsoku/>
        <w:overflowPunct/>
        <w:topLinePunct w:val="0"/>
        <w:autoSpaceDE/>
        <w:autoSpaceDN/>
        <w:bidi w:val="0"/>
        <w:adjustRightInd/>
        <w:snapToGrid/>
        <w:spacing w:line="240" w:lineRule="auto"/>
      </w:pPr>
    </w:p>
    <w:sectPr>
      <w:pgSz w:w="11906" w:h="16838"/>
      <w:pgMar w:top="1276" w:right="1644" w:bottom="1276" w:left="1644"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 w:name="仿宋_GB2312">
    <w:altName w:val="仿宋"/>
    <w:panose1 w:val="00000000000000000000"/>
    <w:charset w:val="00"/>
    <w:family w:val="auto"/>
    <w:pitch w:val="default"/>
    <w:sig w:usb0="00000000"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2"/>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08B48E4"/>
    <w:rsid w:val="07555394"/>
    <w:rsid w:val="0B6F53F1"/>
    <w:rsid w:val="22C40329"/>
    <w:rsid w:val="308B48E4"/>
    <w:rsid w:val="4770243A"/>
    <w:rsid w:val="4D2C6E03"/>
    <w:rsid w:val="4D507C61"/>
    <w:rsid w:val="5251013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99"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paragraph" w:styleId="3">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paragraph" w:styleId="4">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5">
    <w:name w:val="Body Text"/>
    <w:basedOn w:val="1"/>
    <w:qFormat/>
    <w:uiPriority w:val="0"/>
    <w:pPr>
      <w:spacing w:after="120"/>
    </w:pPr>
    <w:rPr>
      <w:szCs w:val="22"/>
    </w:rPr>
  </w:style>
  <w:style w:type="paragraph" w:styleId="6">
    <w:name w:val="Normal (Web)"/>
    <w:basedOn w:val="1"/>
    <w:qFormat/>
    <w:uiPriority w:val="0"/>
    <w:pPr>
      <w:spacing w:before="0" w:beforeAutospacing="1" w:after="0" w:afterAutospacing="1"/>
      <w:ind w:left="0" w:right="0"/>
      <w:jc w:val="left"/>
    </w:pPr>
    <w:rPr>
      <w:kern w:val="0"/>
      <w:sz w:val="24"/>
      <w:lang w:val="en-US" w:eastAsia="zh-CN" w:bidi="ar"/>
    </w:rPr>
  </w:style>
  <w:style w:type="paragraph" w:styleId="7">
    <w:name w:val="Body Text First Indent"/>
    <w:basedOn w:val="5"/>
    <w:unhideWhenUsed/>
    <w:qFormat/>
    <w:uiPriority w:val="99"/>
    <w:pPr>
      <w:ind w:firstLine="420" w:firstLineChars="100"/>
    </w:pPr>
  </w:style>
  <w:style w:type="character" w:styleId="10">
    <w:name w:val="Strong"/>
    <w:basedOn w:val="9"/>
    <w:qFormat/>
    <w:uiPriority w:val="0"/>
    <w:rPr>
      <w:b/>
    </w:rPr>
  </w:style>
  <w:style w:type="paragraph" w:customStyle="1" w:styleId="11">
    <w:name w:val="null3"/>
    <w:qFormat/>
    <w:uiPriority w:val="0"/>
    <w:rPr>
      <w:rFonts w:hint="eastAsia" w:ascii="Calibri" w:hAnsi="Calibri" w:eastAsia="宋体" w:cs="Times New Roman"/>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13</Pages>
  <Words>4990</Words>
  <Characters>5127</Characters>
  <Lines>0</Lines>
  <Paragraphs>0</Paragraphs>
  <TotalTime>1</TotalTime>
  <ScaleCrop>false</ScaleCrop>
  <LinksUpToDate>false</LinksUpToDate>
  <CharactersWithSpaces>5151</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2026-07-16T01:47:00Z</dcterms:created>
  <dc:creator>杜航</dc:creator>
  <cp:lastModifiedBy>杜航</cp:lastModifiedBy>
  <dcterms:modified xsi:type="dcterms:W3CDTF">2026-07-16T08:21:50Z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C29240DEBB1C41E981608530B202700C_11</vt:lpwstr>
  </property>
  <property fmtid="{D5CDD505-2E9C-101B-9397-08002B2CF9AE}" pid="4" name="KSOTemplateDocerSaveRecord">
    <vt:lpwstr>eyJoZGlkIjoiNGVjNGI1ZWQxMDUyODY5ZDAxOTAyNjljNjE1NWUwNGQiLCJ1c2VySWQiOiIzMDgwODY2MDYifQ==</vt:lpwstr>
  </property>
</Properties>
</file>